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480" w:lineRule="auto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From Theoretical Coverage to Estimable Model Families: A Meta-Analytic Structural Equation Modeling Study of AI Adoption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Author Note</w:t>
      </w:r>
    </w:p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This rebuild corrects the reporting layer of the Paper A scaffold. It adds APA-style table rules, a PRISMA 2020-style flow diagram, publication-oriented MASEM figures, and explicit source-count boundaries. Final author information, target-journal details, and full-text eligibility boxes require team confirmation.</w:t>
      </w:r>
    </w:p>
    <w:p>
      <w:pPr>
        <w:pStyle w:val="Heading1"/>
        <w:spacing w:line="480" w:lineRule="auto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Abstract</w:t>
      </w:r>
    </w:p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AI adoption research in education draws on technology acceptance, unified acceptance, trust, self-efficacy, and anxiety traditions, but individual studies rarely report complete correlation matrices needed to test the whole theoretical system. This study reconstructs AI adoption as a 10-construct theoretical target and evaluates which parts of that target are empirically estimable using model-family MASEM. The current PRISMA count lock identifies 224 unique included reports/studies after resolving a 225-row screening include set by merging one duplicate DOI. The full10 target achieved 45/45 pairwise coverage but zero complete 10-construct matrices, so empirical MASEM was conducted through core7 attitude-mediation and trust6 AI-reliance model-family descendants.</w:t>
      </w:r>
    </w:p>
    <w:p>
      <w:pPr>
        <w:pStyle w:val="Heading1"/>
        <w:spacing w:line="480" w:lineRule="auto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Method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PRISMA Count Lock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The repository previously contained a 224 versus 225 included-count discrepancy. The current audit found 225 included screening rows and one duplicate included DOI row, yielding a working lock of 224 unique included reports/studies.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Table 1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PRISMA Count Lock for Paper 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color="000000" w:sz="6" w:space="0"/>
          <w:left w:val="nil" w:color="000000" w:sz="6" w:space="0"/>
          <w:bottom w:val="single" w:color="000000" w:sz="6" w:space="0"/>
          <w:right w:val="nil" w:color="000000" w:sz="6" w:space="0"/>
          <w:insideH w:val="nil" w:color="000000" w:sz="6" w:space="0"/>
          <w:insideV w:val="nil" w:color="000000" w:sz="6" w:space="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Item</w:t>
            </w:r>
          </w:p>
        </w:tc>
        <w:tc>
          <w:tcPr>
            <w:tcW w:type="dxa" w:w="468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Count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Records identified from databases</w:t>
            </w:r>
          </w:p>
        </w:tc>
        <w:tc>
          <w:tcPr>
            <w:tcW w:type="dxa" w:w="468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22166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Duplicate records removed</w:t>
            </w:r>
          </w:p>
        </w:tc>
        <w:tc>
          <w:tcPr>
            <w:tcW w:type="dxa" w:w="468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5977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Records after deduplication/screened</w:t>
            </w:r>
          </w:p>
        </w:tc>
        <w:tc>
          <w:tcPr>
            <w:tcW w:type="dxa" w:w="468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16189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Records excluded before human review</w:t>
            </w:r>
          </w:p>
        </w:tc>
        <w:tc>
          <w:tcPr>
            <w:tcW w:type="dxa" w:w="468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15532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Human-reviewed records</w:t>
            </w:r>
          </w:p>
        </w:tc>
        <w:tc>
          <w:tcPr>
            <w:tcW w:type="dxa" w:w="468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657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Human-reviewed excluded rows</w:t>
            </w:r>
          </w:p>
        </w:tc>
        <w:tc>
          <w:tcPr>
            <w:tcW w:type="dxa" w:w="468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432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Human-reviewed included rows</w:t>
            </w:r>
          </w:p>
        </w:tc>
        <w:tc>
          <w:tcPr>
            <w:tcW w:type="dxa" w:w="468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225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Duplicate included DOI rows merged</w:t>
            </w:r>
          </w:p>
        </w:tc>
        <w:tc>
          <w:tcPr>
            <w:tcW w:type="dxa" w:w="468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Unique included reports/studies current lock</w:t>
            </w:r>
          </w:p>
        </w:tc>
        <w:tc>
          <w:tcPr>
            <w:tcW w:type="dxa" w:w="468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224</w:t>
            </w:r>
          </w:p>
        </w:tc>
      </w:tr>
    </w:tbl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The final full-text eligibility boxes still require team confirmation before journal submission.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Figure 1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PRISMA 2020 Flow Diagram for Paper 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63227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prisma_2020_flow_diagram_paper_a_202606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6322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The figure follows the PRISMA 2020 flow-logic format using currently locked local counts; full-text boxes remain pending team confirmation.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Theoretical Model-Family Specification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Table 2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Construct Genealogy and Model-Family Role in Paper 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color="000000" w:sz="6" w:space="0"/>
          <w:left w:val="nil" w:color="000000" w:sz="6" w:space="0"/>
          <w:bottom w:val="single" w:color="000000" w:sz="6" w:space="0"/>
          <w:right w:val="nil" w:color="000000" w:sz="6" w:space="0"/>
          <w:insideH w:val="nil" w:color="000000" w:sz="6" w:space="0"/>
          <w:insideV w:val="nil" w:color="000000" w:sz="6" w:space="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Construct</w:t>
            </w:r>
          </w:p>
        </w:tc>
        <w:tc>
          <w:tcPr>
            <w:tcW w:type="dxa" w:w="1872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Label</w:t>
            </w:r>
          </w:p>
        </w:tc>
        <w:tc>
          <w:tcPr>
            <w:tcW w:type="dxa" w:w="1872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Origin</w:t>
            </w:r>
          </w:p>
        </w:tc>
        <w:tc>
          <w:tcPr>
            <w:tcW w:type="dxa" w:w="1872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AI-Adoption Function</w:t>
            </w:r>
          </w:p>
        </w:tc>
        <w:tc>
          <w:tcPr>
            <w:tcW w:type="dxa" w:w="1872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Role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PE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Performance expectancy / perceived usefulness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TAM, TAM2, UTAUT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Instrumental usefulness: AI improves learning, teaching, productivity, or task performance.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full10; core7; trust6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EE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Effort expectancy / perceived ease of use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TAM, computer self-efficacy, UTAUT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Operational ease: AI is manageable, learnable, and low burden.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full10; core7; trust6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SI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Social influence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UTAUT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Normative and institutional endorsement mechanism.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full10; core7; trust6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FC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Facilitating conditions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UTAUT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Resource and infrastructure mechanism enabling adoption and use.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full10; core7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ATT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Attitude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TRA/TPB, TAM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Evaluative mediator translating beliefs into intention.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full10; core7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Trust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Trust in automation, trust in IS, AI reliance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Reliance mechanism under AI opacity, uncertainty, and vulnerability.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full10; trust6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ANX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Anxiety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Technology readiness, affective threat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Threat/unease mechanism retained in theory but underidentified for primary MASEM.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full10; future mechanism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SE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Self-efficacy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Social cognitive theory, computer self-efficacy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Capability mechanism; currently feasible mainly in smaller supplemental sets.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full10; future mechanism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BI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Behavioral intention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TRA/TPB, TAM, UTAUT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Proximal motivational adoption outcome.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full10; core7; trust6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UB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Use behavior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TAM, UTAUT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Behavioral adoption/use outcome.</w:t>
            </w:r>
          </w:p>
        </w:tc>
        <w:tc>
          <w:tcPr>
            <w:tcW w:type="dxa" w:w="1872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full10; core7; trust6</w:t>
            </w:r>
          </w:p>
        </w:tc>
      </w:tr>
    </w:tbl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PE = performance expectancy; EE = effort expectancy; ATT = attitude; TRU = trust; ANX = anxiety; SE = self-efficacy; BI = behavioral intention; UB = use behavior.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Figure 2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Theoretical Genealogy of Paper A Model Families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74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theoretical_genealogy_full10_model_family_202606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4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The full10 target preserves theory; core7 and trust6 are empirical descendants supported by complete-case MASEM feasibility.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Figure 3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Paper A Analytic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844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paper_a_analytic_workflow_202606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84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The workflow separates PRISMA count lock, source-anchored coding, matrix diagnosis, MASEM, supplemental diagnostics, and share-safe OSF packaging.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Matrix-Feasibility Diagnosis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Table 3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Model-Family Matrix Feasibility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color="000000" w:sz="6" w:space="0"/>
          <w:left w:val="nil" w:color="000000" w:sz="6" w:space="0"/>
          <w:bottom w:val="single" w:color="000000" w:sz="6" w:space="0"/>
          <w:right w:val="nil" w:color="000000" w:sz="6" w:space="0"/>
          <w:insideH w:val="nil" w:color="000000" w:sz="6" w:space="0"/>
          <w:insideV w:val="nil" w:color="000000" w:sz="6" w:space="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Model family</w:t>
            </w:r>
          </w:p>
        </w:tc>
        <w:tc>
          <w:tcPr>
            <w:tcW w:type="dxa" w:w="1337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Constructs</w:t>
            </w:r>
          </w:p>
        </w:tc>
        <w:tc>
          <w:tcPr>
            <w:tcW w:type="dxa" w:w="1337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Required pairs</w:t>
            </w:r>
          </w:p>
        </w:tc>
        <w:tc>
          <w:tcPr>
            <w:tcW w:type="dxa" w:w="1337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Observed pairs</w:t>
            </w:r>
          </w:p>
        </w:tc>
        <w:tc>
          <w:tcPr>
            <w:tcW w:type="dxa" w:w="1337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Partial studies</w:t>
            </w:r>
          </w:p>
        </w:tc>
        <w:tc>
          <w:tcPr>
            <w:tcW w:type="dxa" w:w="1337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Positive-definite complete cases</w:t>
            </w:r>
          </w:p>
        </w:tc>
        <w:tc>
          <w:tcPr>
            <w:tcW w:type="dxa" w:w="1337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Role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core7 ATT mediation</w:t>
            </w:r>
          </w:p>
        </w:tc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PE,EE,SI,FC,ATT,BI,UB</w:t>
            </w:r>
          </w:p>
        </w:tc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21</w:t>
            </w:r>
          </w:p>
        </w:tc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21</w:t>
            </w:r>
          </w:p>
        </w:tc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72</w:t>
            </w:r>
          </w:p>
        </w:tc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primary empirical model-family member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trust6 trust mechanism</w:t>
            </w:r>
          </w:p>
        </w:tc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PE,EE,SI,TRU,BI,UB</w:t>
            </w:r>
          </w:p>
        </w:tc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15</w:t>
            </w:r>
          </w:p>
        </w:tc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73</w:t>
            </w:r>
          </w:p>
        </w:tc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primary empirical model-family member</w:t>
            </w:r>
          </w:p>
        </w:tc>
      </w:tr>
      <w:tr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full10 theoretical target</w:t>
            </w:r>
          </w:p>
        </w:tc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PE,EE,SI,FC,ATT,SE,TRU,ANX,BI,UB</w:t>
            </w:r>
          </w:p>
        </w:tc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45</w:t>
            </w:r>
          </w:p>
        </w:tc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45</w:t>
            </w:r>
          </w:p>
        </w:tc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77</w:t>
            </w:r>
          </w:p>
        </w:tc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337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theoretical target and evidence map; not current primary SEM estimate</w:t>
            </w:r>
          </w:p>
        </w:tc>
      </w:tr>
    </w:tbl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Full10 has complete pairwise coverage but no complete 10-construct matrices; core7 and trust6 are the empirical model-family routes.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Figure 8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Model-Family Feasibility Diagnosis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6843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8_model_feasibility_plot_202606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84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Bars compare required pairs, observed pairs, and positive-definite complete-case matrices by model family.</w:t>
      </w:r>
    </w:p>
    <w:p>
      <w:pPr>
        <w:pStyle w:val="Heading1"/>
        <w:spacing w:line="480" w:lineRule="auto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Results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Full10 Evidence Map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Figure 4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Full10 Evidence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8686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full10_evidence_map_publication_202606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868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Cells show pooled pairwise correlations. This is an evidence map, not a full10 SEM estimate.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Primary Model-Family Fit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Table 4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Primary Model-Family MASEM Fit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color="000000" w:sz="6" w:space="0"/>
          <w:left w:val="nil" w:color="000000" w:sz="6" w:space="0"/>
          <w:bottom w:val="single" w:color="000000" w:sz="6" w:space="0"/>
          <w:right w:val="nil" w:color="000000" w:sz="6" w:space="0"/>
          <w:insideH w:val="nil" w:color="000000" w:sz="6" w:space="0"/>
          <w:insideV w:val="nil" w:color="000000" w:sz="6" w:space="0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Model</w:t>
            </w:r>
          </w:p>
        </w:tc>
        <w:tc>
          <w:tcPr>
            <w:tcW w:type="dxa" w:w="936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k</w:t>
            </w:r>
          </w:p>
        </w:tc>
        <w:tc>
          <w:tcPr>
            <w:tcW w:type="dxa" w:w="936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N_eff</w:t>
            </w:r>
          </w:p>
        </w:tc>
        <w:tc>
          <w:tcPr>
            <w:tcW w:type="dxa" w:w="936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χ²</w:t>
            </w:r>
          </w:p>
        </w:tc>
        <w:tc>
          <w:tcPr>
            <w:tcW w:type="dxa" w:w="936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df</w:t>
            </w:r>
          </w:p>
        </w:tc>
        <w:tc>
          <w:tcPr>
            <w:tcW w:type="dxa" w:w="936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p</w:t>
            </w:r>
          </w:p>
        </w:tc>
        <w:tc>
          <w:tcPr>
            <w:tcW w:type="dxa" w:w="936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CFI</w:t>
            </w:r>
          </w:p>
        </w:tc>
        <w:tc>
          <w:tcPr>
            <w:tcW w:type="dxa" w:w="936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TLI</w:t>
            </w:r>
          </w:p>
        </w:tc>
        <w:tc>
          <w:tcPr>
            <w:tcW w:type="dxa" w:w="936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RMSEA</w:t>
            </w:r>
          </w:p>
        </w:tc>
        <w:tc>
          <w:tcPr>
            <w:tcW w:type="dxa" w:w="936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SRMR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Core7 ATT mediation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3172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6.146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.292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0.999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0.996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0.009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0.043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Trust6 trust mechanism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10315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8.957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.062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0.996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0.985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0.011</w:t>
            </w:r>
          </w:p>
        </w:tc>
        <w:tc>
          <w:tcPr>
            <w:tcW w:type="dxa" w:w="936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0.040</w:t>
            </w:r>
          </w:p>
        </w:tc>
      </w:tr>
    </w:tbl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Path p values are not reported because Stage 2 returned likelihood-based CIs but not finite standard errors for all paths.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Primary Structural Paths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Table 5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Primary MASEM Structural Path Estimates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color="000000" w:sz="6" w:space="0"/>
          <w:left w:val="nil" w:color="000000" w:sz="6" w:space="0"/>
          <w:bottom w:val="single" w:color="000000" w:sz="6" w:space="0"/>
          <w:right w:val="nil" w:color="000000" w:sz="6" w:space="0"/>
          <w:insideH w:val="nil" w:color="000000" w:sz="6" w:space="0"/>
          <w:insideV w:val="nil" w:color="000000" w:sz="6" w:space="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Model</w:t>
            </w:r>
          </w:p>
        </w:tc>
        <w:tc>
          <w:tcPr>
            <w:tcW w:type="dxa" w:w="156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From</w:t>
            </w:r>
          </w:p>
        </w:tc>
        <w:tc>
          <w:tcPr>
            <w:tcW w:type="dxa" w:w="156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To</w:t>
            </w:r>
          </w:p>
        </w:tc>
        <w:tc>
          <w:tcPr>
            <w:tcW w:type="dxa" w:w="156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Estimate</w:t>
            </w:r>
          </w:p>
        </w:tc>
        <w:tc>
          <w:tcPr>
            <w:tcW w:type="dxa" w:w="156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95% CI</w:t>
            </w:r>
          </w:p>
        </w:tc>
        <w:tc>
          <w:tcPr>
            <w:tcW w:type="dxa" w:w="156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Inference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Core7 ATT mediation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ATT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0.157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[-0.170, 0.654]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not supported 95ci includes zero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Core7 ATT mediation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EE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ATT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0.127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[NA, NA]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ci incomplete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Core7 ATT mediation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ATT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0.107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[-0.012, 0.215]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not supported 95ci includes zero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Core7 ATT mediation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FC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ATT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0.336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[0.099, 0.400]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supported positive 95ci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Core7 ATT mediation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0.187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[NA, 0.582]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ci incomplete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Core7 ATT mediation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EE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0.122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[NA, 0.347]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ci incomplete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Core7 ATT mediation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0.190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[0.190, 0.530]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supported positive 95ci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Core7 ATT mediation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ATT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0.512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[0.300, 0.738]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supported positive 95ci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Core7 ATT mediation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FC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UB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0.332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[0.114, 0.544]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supported positive 95ci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Core7 ATT mediation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UB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0.575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[0.397, 0.753]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supported positive 95ci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Trust6 trust mechanism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0.261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[NA, 0.438]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ci incomplete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Trust6 trust mechanism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EE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0.140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[-0.024, 0.285]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not supported 95ci includes zero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Trust6 trust mechanism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0.107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[-0.049, 0.257]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not supported 95ci includes zero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Trust6 trust mechanism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0.365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[NA, 0.512]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ci incomplete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Trust6 trust mechanism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EE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0.225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[0.045, 0.375]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supported positive 95ci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Trust6 trust mechanism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0.184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[-0.017, 0.372]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not supported 95ci includes zero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Trust6 trust mechanism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0.243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[0.126, 0.352]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supported positive 95ci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Trust6 trust mechanism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UB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0.714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[0.650, 0.781]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supported positive 95ci</w:t>
            </w:r>
          </w:p>
        </w:tc>
      </w:tr>
    </w:tbl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Supported paths are classified by 95% confidence intervals excluding zero; incomplete intervals are reported as indeterminate, not significant.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Figure 5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Core7 MASEM Path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5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core7_publication_masem_path_2026061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Solid paths indicate CIs excluding zero; dashed paths include zero; dotted paths have incomplete intervals.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Figure 6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Trust6 MASEM Path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145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trust6_publication_masem_path_202606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Trust is reported as an AI reliance mechanism rather than a fully mediating mechanism.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Figure 7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Primary Path Estimate Coefficient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686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path_estimate_coefficient_plot_202606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8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Points are standardized path estimates. Horizontal bars are likelihood-based 95% CIs where available.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Supplemental Diagnostics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Table 6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Supplemental Reduced and Alternative Model-Family Diagnostics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color="000000" w:sz="6" w:space="0"/>
          <w:left w:val="nil" w:color="000000" w:sz="6" w:space="0"/>
          <w:bottom w:val="single" w:color="000000" w:sz="6" w:space="0"/>
          <w:right w:val="nil" w:color="000000" w:sz="6" w:space="0"/>
          <w:insideH w:val="nil" w:color="000000" w:sz="6" w:space="0"/>
          <w:insideV w:val="nil" w:color="000000" w:sz="6" w:space="0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Model</w:t>
            </w:r>
          </w:p>
        </w:tc>
        <w:tc>
          <w:tcPr>
            <w:tcW w:type="dxa" w:w="104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k</w:t>
            </w:r>
          </w:p>
        </w:tc>
        <w:tc>
          <w:tcPr>
            <w:tcW w:type="dxa" w:w="104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Status</w:t>
            </w:r>
          </w:p>
        </w:tc>
        <w:tc>
          <w:tcPr>
            <w:tcW w:type="dxa" w:w="104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χ²</w:t>
            </w:r>
          </w:p>
        </w:tc>
        <w:tc>
          <w:tcPr>
            <w:tcW w:type="dxa" w:w="104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df</w:t>
            </w:r>
          </w:p>
        </w:tc>
        <w:tc>
          <w:tcPr>
            <w:tcW w:type="dxa" w:w="104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p</w:t>
            </w:r>
          </w:p>
        </w:tc>
        <w:tc>
          <w:tcPr>
            <w:tcW w:type="dxa" w:w="104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CFI</w:t>
            </w:r>
          </w:p>
        </w:tc>
        <w:tc>
          <w:tcPr>
            <w:tcW w:type="dxa" w:w="104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RMSEA</w:t>
            </w:r>
          </w:p>
        </w:tc>
        <w:tc>
          <w:tcPr>
            <w:tcW w:type="dxa" w:w="104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AIC</w:t>
            </w:r>
          </w:p>
        </w:tc>
      </w:tr>
      <w:tr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core7_full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converged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6.146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.292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0.999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0.009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-3.854</w:t>
            </w:r>
          </w:p>
        </w:tc>
      </w:tr>
      <w:tr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core6_no_ATT_direct_beliefs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17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converged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1.780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.619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1.000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0.000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-4.220</w:t>
            </w:r>
          </w:p>
        </w:tc>
      </w:tr>
      <w:tr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core7_pure_ATT_mediation_no_direct_belief_BI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status_6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18.318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.019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0.991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0.020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2.318</w:t>
            </w:r>
          </w:p>
        </w:tc>
      </w:tr>
      <w:tr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trust6_full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converged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8.957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.062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0.996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0.011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0.957</w:t>
            </w:r>
          </w:p>
        </w:tc>
      </w:tr>
      <w:tr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trust5_no_TRU_direct_acceptance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20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converged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6.496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.090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0.997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0.008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0.496</w:t>
            </w:r>
          </w:p>
        </w:tc>
      </w:tr>
      <w:tr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trust6_trust_mediator_no_direct_belief_BI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converged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150.683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&lt; .001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0.888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0.045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136.683</w:t>
            </w:r>
          </w:p>
        </w:tc>
      </w:tr>
      <w:tr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se4_capability_effort_intention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status_6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2.916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.233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0.999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0.022</w:t>
            </w:r>
          </w:p>
        </w:tc>
        <w:tc>
          <w:tcPr>
            <w:tcW w:type="dxa" w:w="104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-1.084</w:t>
            </w:r>
          </w:p>
        </w:tc>
      </w:tr>
    </w:tbl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These are diagnostic comparisons; construct removal can change k and matrix structure, so they are not definitive nested tests.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PE Versus EE Role Comparison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Table 7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Performance Expectancy and Effort Expectancy as Distinct Mechanisms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color="000000" w:sz="6" w:space="0"/>
          <w:left w:val="nil" w:color="000000" w:sz="6" w:space="0"/>
          <w:bottom w:val="single" w:color="000000" w:sz="6" w:space="0"/>
          <w:right w:val="nil" w:color="000000" w:sz="6" w:space="0"/>
          <w:insideH w:val="nil" w:color="000000" w:sz="6" w:space="0"/>
          <w:insideV w:val="nil" w:color="000000" w:sz="6" w:space="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Model</w:t>
            </w:r>
          </w:p>
        </w:tc>
        <w:tc>
          <w:tcPr>
            <w:tcW w:type="dxa" w:w="156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Predictor</w:t>
            </w:r>
          </w:p>
        </w:tc>
        <w:tc>
          <w:tcPr>
            <w:tcW w:type="dxa" w:w="156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Target</w:t>
            </w:r>
          </w:p>
        </w:tc>
        <w:tc>
          <w:tcPr>
            <w:tcW w:type="dxa" w:w="156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Estimate</w:t>
            </w:r>
          </w:p>
        </w:tc>
        <w:tc>
          <w:tcPr>
            <w:tcW w:type="dxa" w:w="156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95% CI</w:t>
            </w:r>
          </w:p>
        </w:tc>
        <w:tc>
          <w:tcPr>
            <w:tcW w:type="dxa" w:w="156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Inference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Core7 ATT mediation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ATT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0.157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[-0.170, 0.654]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not supported 95ci includes zero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Core7 ATT mediation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EE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ATT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0.127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[NA, NA]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ci incomplete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Core7 ATT mediation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0.187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[NA, 0.582]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ci incomplete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Core7 ATT mediation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EE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0.122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[NA, 0.347]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ci incomplete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Trust6 trust mechanism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0.261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[NA, 0.438]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ci incomplete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Trust6 trust mechanism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EE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0.140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[-0.024, 0.285]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not supported 95ci includes zero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Trust6 trust mechanism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0.365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[NA, 0.512]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ci incomplete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Trust6 trust mechanism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EE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0.225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[0.045, 0.375]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supported positive 95ci</w:t>
            </w:r>
          </w:p>
        </w:tc>
      </w:tr>
    </w:tbl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The comparison concerns PE and EE roles across outcomes, not the PE-EE correlation.</w:t>
      </w:r>
    </w:p>
    <w:p>
      <w:pPr>
        <w:pStyle w:val="Heading2"/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Anxiety and Self-Efficacy Feasibility</w:t>
      </w:r>
    </w:p>
    <w:p>
      <w:pPr>
        <w:spacing w:line="480" w:lineRule="auto" w:after="0"/>
      </w:pPr>
      <w:r>
        <w:rPr>
          <w:rFonts w:ascii="Times New Roman" w:hAnsi="Times New Roman"/>
          <w:b/>
          <w:i w:val="0"/>
          <w:color w:val="000000"/>
          <w:sz w:val="24"/>
        </w:rPr>
        <w:t>Table 8</w:t>
      </w:r>
    </w:p>
    <w:p>
      <w:pPr>
        <w:spacing w:line="480" w:lineRule="auto" w:after="0"/>
      </w:pPr>
      <w:r>
        <w:rPr>
          <w:rFonts w:ascii="Times New Roman" w:hAnsi="Times New Roman"/>
          <w:b w:val="0"/>
          <w:i/>
          <w:color w:val="000000"/>
          <w:sz w:val="24"/>
        </w:rPr>
        <w:t>Targeted Anxiety and Self-Efficacy Feasibility Attempts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color="000000" w:sz="6" w:space="0"/>
          <w:left w:val="nil" w:color="000000" w:sz="6" w:space="0"/>
          <w:bottom w:val="single" w:color="000000" w:sz="6" w:space="0"/>
          <w:right w:val="nil" w:color="000000" w:sz="6" w:space="0"/>
          <w:insideH w:val="nil" w:color="000000" w:sz="6" w:space="0"/>
          <w:insideV w:val="nil" w:color="000000" w:sz="6" w:space="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Model</w:t>
            </w:r>
          </w:p>
        </w:tc>
        <w:tc>
          <w:tcPr>
            <w:tcW w:type="dxa" w:w="156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Constructs</w:t>
            </w:r>
          </w:p>
        </w:tc>
        <w:tc>
          <w:tcPr>
            <w:tcW w:type="dxa" w:w="156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k</w:t>
            </w:r>
          </w:p>
        </w:tc>
        <w:tc>
          <w:tcPr>
            <w:tcW w:type="dxa" w:w="156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Status</w:t>
            </w:r>
          </w:p>
        </w:tc>
        <w:tc>
          <w:tcPr>
            <w:tcW w:type="dxa" w:w="156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CFI</w:t>
            </w:r>
          </w:p>
        </w:tc>
        <w:tc>
          <w:tcPr>
            <w:tcW w:type="dxa" w:w="1560"/>
            <w:vAlign w:val="top"/>
            <w:tcBorders>
              <w:bottom w:val="single" w:color="000000" w:sz="6" w:space="0"/>
            </w:tcBorders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RMSEA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se4_capability_effort_intention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SE,EE,BI,UB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status_6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0.999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0.022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se4_capability_attitude_intention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SE,ATT,BI,UB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not_run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NA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NA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anx4_threat_attitude_intention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ANX,ATT,BI,UB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not_run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NA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NA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anx4_trust_threat_reliance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ANX,TRU,BI,UB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not_run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NA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NA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se_anx_bi_capability_threat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SE,ANX,BI,UB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not_run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NA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NA</w:t>
            </w:r>
          </w:p>
        </w:tc>
      </w:tr>
      <w:tr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se_anx_tru_bi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SE,ANX,TRU,BI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not_run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NA</w:t>
            </w:r>
          </w:p>
        </w:tc>
        <w:tc>
          <w:tcPr>
            <w:tcW w:type="dxa" w:w="1560"/>
            <w:vAlign w:val="top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NA</w:t>
            </w:r>
          </w:p>
        </w:tc>
      </w:tr>
    </w:tbl>
    <w:p>
      <w:pPr>
        <w:spacing w:line="480" w:lineRule="auto" w:after="0"/>
      </w:pPr>
      <w:r>
        <w:rPr>
          <w:rFonts w:ascii="Times New Roman" w:hAnsi="Times New Roman"/>
          <w:b w:val="0"/>
          <w:i w:val="0"/>
          <w:color w:val="000000"/>
          <w:sz w:val="24"/>
        </w:rPr>
        <w:t>Note. ANX and SE remain theory-relevant but currently underidentified for primary complete-case MASEM.</w:t>
      </w:r>
    </w:p>
    <w:p>
      <w:pPr>
        <w:pStyle w:val="Heading1"/>
        <w:spacing w:line="480" w:lineRule="auto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Discussion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The reporting rebuild strengthens Paper A by separating what is theoretically covered from what is structurally estimable. Full10 remains valuable as a theoretical target and evidence map; core7 and trust6 provide the current empirical model-family MASEM evidence. The next scientific step is not to force full10, but to finalize PRISMA/full-text boxes and improve source reporting so future analyses can test anxiety and self-efficacy more directly.</w:t>
      </w:r>
    </w:p>
    <w:p>
      <w:pPr>
        <w:pStyle w:val="Heading1"/>
        <w:spacing w:line="480" w:lineRule="auto" w:after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Data Availability</w:t>
      </w:r>
    </w:p>
    <w:p>
      <w:pPr>
        <w:spacing w:line="480" w:lineRule="auto" w:after="0"/>
        <w:ind w:firstLine="720"/>
      </w:pPr>
      <w:r>
        <w:rPr>
          <w:rFonts w:ascii="Times New Roman" w:hAnsi="Times New Roman"/>
          <w:b w:val="0"/>
          <w:i w:val="0"/>
          <w:color w:val="000000"/>
          <w:sz w:val="24"/>
        </w:rPr>
        <w:t>A share-safe Paper A public repository package is prepared locally and intended for a Paper A component under https://osf.io/mkrgd/overview. Raw PDFs, private source documents, raw coder workbooks, and runtime files are excluded.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8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