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AI Adoption MASEM — Phase 0 Calibration Consensus Meeting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Date: 2026-03-24   |   Attendees: R1, R2, R3, R4   |   Manual: v3.0 / Release v0.3.0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Purpose: Resolve HIGH-priority discrepancies and clarify codebook ambiguities before Phase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Inter-Rater Reliability Summary</w:t>
      </w:r>
    </w:p>
    <w:tbl>
      <w:tblPr>
        <w:tblStyle w:val="Table1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Mean Fleiss κ (12 vars)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Substantial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 (κ ≥ 0.80)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 /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0b0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Needs revision (κ &lt; 0.60)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 /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Requires codebook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sample_size ICC(2,1)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Coverage 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0.819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r_value ICC(2,1)  (n=45)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0.9325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CORRELATIONS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Critical discrepancies Δ&gt;0.01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14 pairs / 4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Review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2. STUDY_METADATA Categorical Variables</w:t>
      </w:r>
    </w:p>
    <w:tbl>
      <w:tblPr>
        <w:tblStyle w:val="Table2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Fleiss 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study_design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data_collection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Fair/Poor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theoretical_framework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+0.880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sample_type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Substantial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0b0" w:val="clea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education_level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+0.568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ai_tool_name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Fair/Poor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temporal_period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-0.026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Fair/Poor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0b0" w:val="clea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common_method_bias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+0.506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0b0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3. Critical r_value Discrepancies (Δ &gt; 0.01) — RED = outlier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Outlier cells highlighted in red. Consensus column = median of available values.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R3 values ~3–4× lower than R1/R2/R4. Likely wrong table or unstandardized values. R3 must re-verify.</w:t>
      </w:r>
    </w:p>
    <w:tbl>
      <w:tblPr>
        <w:tblStyle w:val="Table3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4"/>
        <w:gridCol w:w="1344"/>
        <w:gridCol w:w="1344"/>
        <w:gridCol w:w="1344"/>
        <w:gridCol w:w="1344"/>
        <w:gridCol w:w="1344"/>
        <w:gridCol w:w="1344"/>
        <w:tblGridChange w:id="0">
          <w:tblGrid>
            <w:gridCol w:w="1344"/>
            <w:gridCol w:w="1344"/>
            <w:gridCol w:w="1344"/>
            <w:gridCol w:w="1344"/>
            <w:gridCol w:w="1344"/>
            <w:gridCol w:w="1344"/>
            <w:gridCol w:w="134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Agreed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BI–EE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____0.623___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BI–PE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 0.681____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BI–SI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0.520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R4 EE–PE = 0.884 (others ≈ 0.667). R4 EE–SE = 0.702 (others ≈ 0.790). Cell transposition suspected.</w:t>
      </w:r>
    </w:p>
    <w:tbl>
      <w:tblPr>
        <w:tblStyle w:val="Table4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4"/>
        <w:gridCol w:w="1344"/>
        <w:gridCol w:w="1344"/>
        <w:gridCol w:w="1344"/>
        <w:gridCol w:w="1344"/>
        <w:gridCol w:w="1344"/>
        <w:gridCol w:w="1344"/>
        <w:tblGridChange w:id="0">
          <w:tblGrid>
            <w:gridCol w:w="1344"/>
            <w:gridCol w:w="1344"/>
            <w:gridCol w:w="1344"/>
            <w:gridCol w:w="1344"/>
            <w:gridCol w:w="1344"/>
            <w:gridCol w:w="1344"/>
            <w:gridCol w:w="134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Agreed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EE–PE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EE–SE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PE–SE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0.742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S185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R2 BI–SI = 0.216 vs R3/R4 = 0.433. R2 re-verifies.</w:t>
      </w:r>
    </w:p>
    <w:tbl>
      <w:tblPr>
        <w:tblStyle w:val="Table5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4"/>
        <w:gridCol w:w="1344"/>
        <w:gridCol w:w="1344"/>
        <w:gridCol w:w="1344"/>
        <w:gridCol w:w="1344"/>
        <w:gridCol w:w="1344"/>
        <w:gridCol w:w="1344"/>
        <w:tblGridChange w:id="0">
          <w:tblGrid>
            <w:gridCol w:w="1344"/>
            <w:gridCol w:w="1344"/>
            <w:gridCol w:w="1344"/>
            <w:gridCol w:w="1344"/>
            <w:gridCol w:w="1344"/>
            <w:gridCol w:w="1344"/>
            <w:gridCol w:w="134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Agreed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BI–SI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Study S208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R2 EE–SI = 0.632 vs others ≈ 0.362. R2 re-verifies.</w:t>
      </w:r>
    </w:p>
    <w:tbl>
      <w:tblPr>
        <w:tblStyle w:val="Table6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4"/>
        <w:gridCol w:w="1344"/>
        <w:gridCol w:w="1344"/>
        <w:gridCol w:w="1344"/>
        <w:gridCol w:w="1344"/>
        <w:gridCol w:w="1344"/>
        <w:gridCol w:w="1344"/>
        <w:tblGridChange w:id="0">
          <w:tblGrid>
            <w:gridCol w:w="1344"/>
            <w:gridCol w:w="1344"/>
            <w:gridCol w:w="1344"/>
            <w:gridCol w:w="1344"/>
            <w:gridCol w:w="1344"/>
            <w:gridCol w:w="1344"/>
            <w:gridCol w:w="1344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Agreed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EE–SI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0.362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0.361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4. Coverage Disagreements — Pairs Coded by Some but Not All</w:t>
      </w:r>
    </w:p>
    <w:tbl>
      <w:tblPr>
        <w:tblStyle w:val="Table7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1568"/>
        <w:gridCol w:w="1568"/>
        <w:gridCol w:w="1568"/>
        <w:gridCol w:w="1568"/>
        <w:gridCol w:w="1568"/>
        <w:tblGridChange w:id="0">
          <w:tblGrid>
            <w:gridCol w:w="1568"/>
            <w:gridCol w:w="1568"/>
            <w:gridCol w:w="1568"/>
            <w:gridCol w:w="1568"/>
            <w:gridCol w:w="1568"/>
            <w:gridCol w:w="15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R1/R3 beta-converted; R2/R4 blank. Confirm beta→r permitted; R2/R4 extract.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R3 only. Verify two-model averaging protocol. If confirmed, all extract from R3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R1/R3 beta-converted (N=50 borderline). Decision: include or exclude study?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5. BI vs. UB Disambiguation (v0.3.0 Framework)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Apply 3-step item-level decision: (1) classify items by linguistic markers, (2) majority rule &gt;66%, (3) nomological fallback.</w:t>
      </w:r>
    </w:p>
    <w:tbl>
      <w:tblPr>
        <w:tblStyle w:val="Table8"/>
        <w:tblW w:w="94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8"/>
        <w:gridCol w:w="1568"/>
        <w:gridCol w:w="1568"/>
        <w:gridCol w:w="1568"/>
        <w:gridCol w:w="1568"/>
        <w:gridCol w:w="1568"/>
        <w:tblGridChange w:id="0">
          <w:tblGrid>
            <w:gridCol w:w="1568"/>
            <w:gridCol w:w="1568"/>
            <w:gridCol w:w="1568"/>
            <w:gridCol w:w="1568"/>
            <w:gridCol w:w="1568"/>
            <w:gridCol w:w="1568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R2/R4 pending extraction. Expected consensus = 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BI+UB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R3 coded both. Verify whether BI and UB are separately measured.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R4 pending. Expected consensus = 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BI+UB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R4 added PE–UB. Verify if UB is distinct construct or mislabeled 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R2/R4 pending extraction. Expected consensus = BI.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6. Codebook Clarifications Needed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data_collection  (κ=0.314)</w:t>
      </w:r>
      <w:r w:rsidDel="00000000" w:rsidR="00000000" w:rsidRPr="00000000">
        <w:rPr>
          <w:rtl w:val="0"/>
        </w:rPr>
        <w:t xml:space="preserve">  |  Studies: S147, S185, S222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Issue: R3 codes "mixed" for survey+system log or multiple instruments. Others code "survey".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Q: Does a non-self-report component (logs, tests) qualify as "mixed"?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Decision: _______________________________________________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education_level  (κ=0.568)</w:t>
      </w:r>
      <w:r w:rsidDel="00000000" w:rsidR="00000000" w:rsidRPr="00000000">
        <w:rPr>
          <w:rtl w:val="0"/>
        </w:rPr>
        <w:t xml:space="preserve">  |  Studies: S059, S110, S145, S208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Issue: R3/R4 code "undergraduate" for unspecified university samples; R1/R2 code "mixed".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i w:val="1"/>
          <w:iCs w:val="1"/>
          <w:rtl w:val="0"/>
        </w:rPr>
        <w:t xml:space="preserve">Q: Default to "undergraduate" for unspecified university students, or require explicit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Decision: _______________________________________________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ai_tool_name  (κ=0.398)</w:t>
      </w:r>
      <w:r w:rsidDel="00000000" w:rsidR="00000000" w:rsidRPr="00000000">
        <w:rPr>
          <w:rtl w:val="0"/>
        </w:rPr>
        <w:t xml:space="preserve">  |  Studies: S028, S145, S194, S208, S222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Issue: Free-text field: 6 variants for same tool across raters.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i w:val="1"/>
          <w:iCs w:val="1"/>
          <w:rtl w:val="0"/>
        </w:rPr>
        <w:t xml:space="preserve">Rule: Use shortest official English name; comma-separate for multi-tool.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Canonical entries: _______________________________________________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common_method_bias  (κ=0.506)</w:t>
      </w:r>
      <w:r w:rsidDel="00000000" w:rsidR="00000000" w:rsidRPr="00000000">
        <w:rPr>
          <w:rtl w:val="0"/>
        </w:rPr>
        <w:t xml:space="preserve">  |  Studies: S059, S194, S218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Issue: Harman single-factor test: R2 codes "partial"; R1/R3/R4 code "not_addressed".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i w:val="1"/>
          <w:iCs w:val="1"/>
          <w:rtl w:val="0"/>
        </w:rPr>
        <w:t xml:space="preserve">Q: Does Harman test alone = "partial" or "not_addressed"?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Decision: _______________________________________________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country  (κ=0.750)</w:t>
      </w:r>
      <w:r w:rsidDel="00000000" w:rsidR="00000000" w:rsidRPr="00000000">
        <w:rPr>
          <w:rtl w:val="0"/>
        </w:rPr>
        <w:t xml:space="preserve">  |  Studies: S110, S147, S222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Issue: R2 uses adjectival forms ("Malaysian"). S222: R1=Taiwan, R2/R4=China, R3=blank.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i w:val="1"/>
          <w:iCs w:val="1"/>
          <w:rtl w:val="0"/>
        </w:rPr>
        <w:t xml:space="preserve">Rule: Use ISO noun form (Malaysia, not Malaysian). S222: verify in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S222 country confirmed: _______________________________________________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7. Action Items Before Phase 1 Completion</w:t>
      </w:r>
    </w:p>
    <w:tbl>
      <w:tblPr>
        <w:tblStyle w:val="Table9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Re-check S110 BI–EE, BI–PE, BI–SI source tables (values ~3–4× too low).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Re-check S028 EE–PE (0.884 → expected ≈0.667) and EE–SE (0.702 → expected ≈0.790).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Re-check S185 BI–SI (0.216 → expected 0.433) and S208 EE–SI (0.632 → expected 0.362).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R2/R4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Extract r_values for S059, S222 (beta_converted). Confirm S147 two-model averaging.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cc" w:val="clea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cc" w:val="clea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Backfill r_source for all 23 coded entries (direct / beta_converted / fornell_larcker_*).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Resolve BI/UB for S059, S147, S208, S218, S222 using v0.3.0 framework.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Agree on codebook definitions (Section 6) and update coding manual v3.1.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Tag Fornell-Larcker sourced entries with fornell_larcker_cbsem or _plssem where applicable.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After corrections: PI generates updated consensus file and final IRR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Reference files: </w:t>
      </w:r>
      <w:r w:rsidDel="00000000" w:rsidR="00000000" w:rsidRPr="00000000">
        <w:rPr>
          <w:sz w:val="16"/>
          <w:szCs w:val="16"/>
          <w:rtl w:val="0"/>
        </w:rPr>
        <w:t xml:space="preserve">calibration_report_v1.md  |  AI_Adoption_MASEM_Calibration_Consensus.xlsx  |  github.com/HosungYou/jornal_AI-adoption_meta  |  Generated 2026-03-24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d64Cjhc/pdT1PqVSrZEQsN6xQ==">CgMxLjA4AHIhMXJpWlBpZ3N5V0tFMFhBdW1HREp5VHlfR2llOVRIUDMz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