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pPr>
    </w:p>
    <w:p>
      <w:pPr>
        <w:spacing w:line="480" w:lineRule="auto"/>
      </w:pPr>
    </w:p>
    <w:p>
      <w:pPr>
        <w:spacing w:line="480" w:lineRule="auto"/>
      </w:pPr>
    </w:p>
    <w:p>
      <w:pPr>
        <w:spacing w:line="480" w:lineRule="auto"/>
        <w:jc w:val="center"/>
      </w:pPr>
      <w:r>
        <w:rPr>
          <w:rFonts w:ascii="Times New Roman" w:hAnsi="Times New Roman"/>
          <w:b/>
          <w:sz w:val="24"/>
        </w:rPr>
        <w:t>AI Adoption in Higher Education:</w:t>
        <w:br/>
        <w:t>A Meta-Analytic Structural Equation Modeling Approach</w:t>
        <w:br/>
        <w:t>Integrating Traditional Acceptance Factors</w:t>
        <w:br/>
        <w:t>and AI-Specific Psychological Constructs</w:t>
      </w:r>
    </w:p>
    <w:p>
      <w:pPr>
        <w:spacing w:line="480" w:lineRule="auto"/>
        <w:jc w:val="center"/>
      </w:pPr>
      <w:r>
        <w:rPr>
          <w:sz w:val="24"/>
        </w:rPr>
      </w:r>
    </w:p>
    <w:p>
      <w:pPr>
        <w:spacing w:line="480" w:lineRule="auto"/>
        <w:jc w:val="center"/>
      </w:pPr>
      <w:r>
        <w:rPr>
          <w:rFonts w:ascii="Times New Roman" w:hAnsi="Times New Roman"/>
          <w:sz w:val="24"/>
        </w:rPr>
        <w:t>Hosung You</w:t>
      </w:r>
    </w:p>
    <w:p>
      <w:pPr>
        <w:spacing w:line="480" w:lineRule="auto"/>
        <w:jc w:val="center"/>
      </w:pPr>
      <w:r>
        <w:rPr>
          <w:rFonts w:ascii="Times New Roman" w:hAnsi="Times New Roman"/>
          <w:sz w:val="24"/>
        </w:rPr>
        <w:t>College of Education, Pennsylvania State University</w:t>
      </w:r>
    </w:p>
    <w:p>
      <w:pPr>
        <w:spacing w:line="480" w:lineRule="auto"/>
        <w:jc w:val="center"/>
      </w:pPr>
      <w:r>
        <w:rPr>
          <w:rFonts w:ascii="Times New Roman" w:hAnsi="Times New Roman"/>
          <w:sz w:val="24"/>
        </w:rPr>
        <w:t>April 2026</w:t>
      </w:r>
    </w:p>
    <w:p>
      <w:pPr>
        <w:spacing w:line="480" w:lineRule="auto" w:before="240"/>
        <w:jc w:val="center"/>
      </w:pPr>
      <w:r>
        <w:rPr>
          <w:rFonts w:ascii="Times New Roman" w:hAnsi="Times New Roman"/>
          <w:i/>
          <w:sz w:val="20"/>
        </w:rPr>
        <w:t>Proposal Brief for Journal Venue Selection</w:t>
      </w:r>
    </w:p>
    <w:p>
      <w:r>
        <w:br w:type="page"/>
      </w:r>
    </w:p>
    <w:p>
      <w:pPr>
        <w:spacing w:before="240" w:after="0" w:line="480" w:lineRule="auto"/>
        <w:jc w:val="center"/>
      </w:pPr>
      <w:r>
        <w:rPr>
          <w:rFonts w:ascii="Times New Roman" w:hAnsi="Times New Roman"/>
          <w:b/>
          <w:sz w:val="24"/>
        </w:rPr>
        <w:t>Abstract</w:t>
      </w:r>
    </w:p>
    <w:p>
      <w:pPr>
        <w:spacing w:line="480" w:lineRule="auto" w:after="0"/>
      </w:pPr>
      <w:r>
        <w:rPr>
          <w:rFonts w:ascii="Times New Roman" w:hAnsi="Times New Roman"/>
          <w:sz w:val="24"/>
        </w:rPr>
        <w:t>This study employs meta-analytic structural equation modeling (MASEM) to synthesize the structural relationships among 10 latent constructs driving artificial intelligence (AI) adoption in higher education. Drawing from a corpus of 224 empirical studies (2015-2025) identified through systematic search of four databases (Web of Science, Scopus, PsycINFO, IEEE Xplore; initial yield: 22,166 records), the study integrates traditional technology acceptance constructs (Performance Expectancy, Effort Expectancy, Social Influence, Facilitating Conditions, Attitude, Self-Efficacy, Behavioral Intention, Use Behavior) with AI-specific psychological factors (Trust in AI, AI Anxiety). The primary structural model follows a TRA/TPB-TAM mediation architecture in which Performance Expectancy and Effort Expectancy influence Behavioral Intention through Attitude, while Trust and Anxiety operate as AI-specific enablers and inhibitors, respectively. The analytical approach employs Cheung's (2015) two-stage MASEM (TSSEM) for the primary analysis, supplemented by one-stage MASEM (OSMASEM; Jak &amp; Cheung, 2020) for continuous moderator testing (publication year, cultural individualism). Expected contributions include: (a) the first MASEM of AI adoption in higher education integrating both traditional acceptance factors and AI-specific constructs, (b) empirical adjudication between competing theoretical architectures, and (c) evidence-based recommendations for institutional AI adoption strategy.</w:t>
      </w:r>
    </w:p>
    <w:p>
      <w:pPr>
        <w:spacing w:line="480" w:lineRule="auto"/>
        <w:ind w:firstLine="720"/>
      </w:pPr>
      <w:r>
        <w:rPr>
          <w:rFonts w:ascii="Times New Roman" w:hAnsi="Times New Roman"/>
          <w:i/>
          <w:sz w:val="24"/>
        </w:rPr>
        <w:t xml:space="preserve">Keywords: </w:t>
      </w:r>
      <w:r>
        <w:rPr>
          <w:rFonts w:ascii="Times New Roman" w:hAnsi="Times New Roman"/>
          <w:sz w:val="24"/>
        </w:rPr>
        <w:t>meta-analytic structural equation modeling, artificial intelligence adoption, higher education, technology acceptance, trust in AI, AI anxiety, UTAUT, Theory of Reasoned Action</w:t>
      </w:r>
    </w:p>
    <w:p>
      <w:r>
        <w:br w:type="page"/>
      </w:r>
    </w:p>
    <w:p>
      <w:pPr>
        <w:spacing w:before="240" w:after="0" w:line="480" w:lineRule="auto"/>
        <w:jc w:val="center"/>
      </w:pPr>
      <w:r>
        <w:rPr>
          <w:rFonts w:ascii="Times New Roman" w:hAnsi="Times New Roman"/>
          <w:b/>
          <w:sz w:val="24"/>
        </w:rPr>
        <w:t>Introduction and Problem Statement</w:t>
      </w:r>
    </w:p>
    <w:p>
      <w:pPr>
        <w:spacing w:line="480" w:lineRule="auto" w:after="0"/>
        <w:ind w:firstLine="720"/>
      </w:pPr>
      <w:r>
        <w:rPr>
          <w:rFonts w:ascii="Times New Roman" w:hAnsi="Times New Roman"/>
          <w:sz w:val="24"/>
        </w:rPr>
        <w:t>The rapid proliferation of artificial intelligence (AI) tools in higher education, including large language models (e.g., ChatGPT, Claude), intelligent tutoring systems, AI-powered writing assistants, and automated assessment platforms, has created urgent demand for theoretically grounded understanding of adoption determinants. Technology acceptance research has generated a substantial body of empirical findings, yet this literature remains fragmented across competing theoretical frameworks (TAM, UTAUT, TPB, UTAUT2) and isolated by study-level designs that cannot simultaneously test the full network of structural relationships.</w:t>
      </w:r>
    </w:p>
    <w:p>
      <w:pPr>
        <w:spacing w:line="480" w:lineRule="auto" w:after="0"/>
        <w:ind w:firstLine="720"/>
      </w:pPr>
      <w:r>
        <w:rPr>
          <w:rFonts w:ascii="Times New Roman" w:hAnsi="Times New Roman"/>
          <w:sz w:val="24"/>
        </w:rPr>
        <w:t>Meta-analytic structural equation modeling (MASEM; Cheung, 2015; Viswesvaran &amp; Ones, 1995) addresses this fragmentation by pooling inter-construct correlation matrices across studies and fitting structural models to the pooled matrix. While MASEM has been applied to general technology acceptance (Scherer et al., 2019; Blut et al., 2022), no published MASEM focuses specifically on AI adoption in higher education, integrating both traditional acceptance factors and the AI-specific psychological constructs (Trust in AI, AI Anxiety) that primary researchers have consistently judged important enough to measure.</w:t>
      </w:r>
    </w:p>
    <w:p>
      <w:pPr>
        <w:spacing w:before="240" w:after="0" w:line="480" w:lineRule="auto"/>
      </w:pPr>
      <w:r>
        <w:rPr>
          <w:rFonts w:ascii="Times New Roman" w:hAnsi="Times New Roman"/>
          <w:b/>
          <w:sz w:val="24"/>
        </w:rPr>
        <w:t>Research Gap</w:t>
      </w:r>
    </w:p>
    <w:p>
      <w:pPr>
        <w:spacing w:line="480" w:lineRule="auto" w:after="0"/>
        <w:ind w:firstLine="720"/>
      </w:pPr>
      <w:r>
        <w:rPr>
          <w:rFonts w:ascii="Times New Roman" w:hAnsi="Times New Roman"/>
          <w:sz w:val="24"/>
        </w:rPr>
        <w:t>Three gaps motivate this study. First, existing meta-analyses of technology acceptance (e.g., Blut et al., 2022; Scherer et al., 2019) predate the generative AI era and do not include AI-specific constructs. Second, no MASEM has integrated Trust in AI and AI Anxiety alongside traditional UTAUT constructs in a single structural model, despite consistent empirical evidence that these constructs predict adoption intention above and beyond Performance Expectancy and Effort Expectancy. Third, the structural role of Attitude (ATT) in AI adoption remains contested: UTAUT (Venkatesh et al., 2003) dropped ATT on parsimony grounds, yet 36.2% of the AI adoption corpus (k = 81 studies) retains it, suggesting that evaluative judgment plays a more prominent role when technologies are perceived as autonomous agents.</w:t>
      </w:r>
    </w:p>
    <w:p>
      <w:pPr>
        <w:spacing w:before="240" w:after="0" w:line="480" w:lineRule="auto"/>
        <w:jc w:val="center"/>
      </w:pPr>
      <w:r>
        <w:rPr>
          <w:rFonts w:ascii="Times New Roman" w:hAnsi="Times New Roman"/>
          <w:b/>
          <w:sz w:val="24"/>
        </w:rPr>
        <w:t>Theoretical Framework</w:t>
      </w:r>
    </w:p>
    <w:p>
      <w:pPr>
        <w:spacing w:before="240" w:after="0" w:line="480" w:lineRule="auto"/>
      </w:pPr>
      <w:r>
        <w:rPr>
          <w:rFonts w:ascii="Times New Roman" w:hAnsi="Times New Roman"/>
          <w:b/>
          <w:sz w:val="24"/>
        </w:rPr>
        <w:t>Theory Development Pathway</w:t>
      </w:r>
    </w:p>
    <w:p>
      <w:pPr>
        <w:spacing w:line="480" w:lineRule="auto" w:after="0"/>
        <w:ind w:firstLine="720"/>
      </w:pPr>
      <w:r>
        <w:rPr>
          <w:rFonts w:ascii="Times New Roman" w:hAnsi="Times New Roman"/>
          <w:sz w:val="24"/>
        </w:rPr>
        <w:t>The structural model synthesizes five decades of behavioral intention theory. The Theory of Reasoned Action (TRA; Fishbein &amp; Ajzen, 1975) established that behavioral beliefs form attitudes, which combine with subjective norms to predict behavioral intention. The Technology Acceptance Model (TAM; Davis, 1989) operationalized this for IT adoption by identifying Perceived Usefulness (Performance Expectancy, PE) and Perceived Ease of Use (Effort Expectancy, EE) as the core belief antecedents of Attitude. The Theory of Planned Behavior (TPB; Ajzen, 1991) extended TRA by adding Perceived Behavioral Control, later decomposed into Self-Efficacy (SE) and Facilitating Conditions (FC) by Taylor and Todd (1995). The Unified Theory of Acceptance and Use of Technology (UTAUT; Venkatesh et al., 2003) synthesized eight prior models into four core constructs (PE, EE, SI, FC) but dropped Attitude on parsimony grounds.</w:t>
      </w:r>
    </w:p>
    <w:p>
      <w:pPr>
        <w:spacing w:line="480" w:lineRule="auto" w:after="0"/>
        <w:ind w:firstLine="720"/>
      </w:pPr>
      <w:r>
        <w:rPr>
          <w:rFonts w:ascii="Times New Roman" w:hAnsi="Times New Roman"/>
          <w:sz w:val="24"/>
        </w:rPr>
        <w:t>The present study reinstates Attitude as a mediating construct, following the TAM/TRA-style architecture (PE/EE to ATT to BI), based on evidence that ATT plays a more prominent mediating role when the technology is perceived as an autonomous agent (Scherer et al., 2019). This reinstatement positions the model between UTAUT (which dropped ATT) and UTAUT2 (which added Hedonic Motivation but not ATT), creating a theoretically distinctive architecture.</w:t>
      </w:r>
    </w:p>
    <w:p>
      <w:pPr>
        <w:spacing w:before="240" w:after="0" w:line="480" w:lineRule="auto"/>
      </w:pPr>
      <w:r>
        <w:rPr>
          <w:rFonts w:ascii="Times New Roman" w:hAnsi="Times New Roman"/>
          <w:b/>
          <w:sz w:val="24"/>
        </w:rPr>
        <w:t>AI-Specific Extensions</w:t>
      </w:r>
    </w:p>
    <w:p>
      <w:pPr>
        <w:spacing w:line="480" w:lineRule="auto" w:after="0"/>
        <w:ind w:firstLine="720"/>
      </w:pPr>
      <w:r>
        <w:rPr>
          <w:rFonts w:ascii="Times New Roman" w:hAnsi="Times New Roman"/>
          <w:sz w:val="24"/>
        </w:rPr>
        <w:t>Two Tier 2 constructs extend the model beyond traditional technology acceptance: Trust in AI (TRU) and AI Anxiety (ANX). Trust in AI captures the relational disposition required when users must delegate cognitive judgment to an autonomous agent (Glikson &amp; Woolley, 2020; Siau &amp; Wang, 2018), a psychological process absent from passive-tool interactions. AI Anxiety captures existential threat appraisals unique to AI systems (job displacement, loss of agency, cognitive replacement; Wang &amp; Wang, 2022), qualitatively distinct from traditional computer anxiety (Compeau &amp; Higgins, 1995). Neither construct is reducible to existing Tier 1 constructs: TRU is discriminant from PE (relational vs. instrumental), and ANX is discriminant from SE (threat appraisal vs. capability belief).</w:t>
      </w:r>
    </w:p>
    <w:p>
      <w:pPr>
        <w:spacing w:before="240" w:after="0" w:line="480" w:lineRule="auto"/>
      </w:pPr>
      <w:r>
        <w:rPr>
          <w:rFonts w:ascii="Times New Roman" w:hAnsi="Times New Roman"/>
          <w:b/>
          <w:sz w:val="24"/>
        </w:rPr>
        <w:t>10-Construct Structural Model</w:t>
      </w:r>
    </w:p>
    <w:p>
      <w:pPr>
        <w:spacing w:before="240" w:after="0" w:line="480" w:lineRule="auto"/>
      </w:pPr>
      <w:r>
        <w:rPr>
          <w:rFonts w:ascii="Times New Roman" w:hAnsi="Times New Roman"/>
          <w:b/>
          <w:sz w:val="24"/>
        </w:rPr>
        <w:t>Table 1</w:t>
      </w:r>
    </w:p>
    <w:p>
      <w:pPr>
        <w:spacing w:before="0" w:after="120" w:line="480" w:lineRule="auto"/>
      </w:pPr>
      <w:r>
        <w:rPr>
          <w:rFonts w:ascii="Times New Roman" w:hAnsi="Times New Roman"/>
          <w:i/>
          <w:sz w:val="24"/>
        </w:rPr>
        <w:t>Construct Definitions, Coverage, and Structural Positions in Model A</w:t>
      </w:r>
    </w:p>
    <w:tbl>
      <w:tblPr>
        <w:tblW w:type="auto" w:w="0"/>
        <w:jc w:val="left"/>
        <w:tblLook w:firstColumn="1" w:firstRow="1" w:lastColumn="0" w:lastRow="0" w:noHBand="0" w:noVBand="1" w:val="04A0"/>
        <w:tblBorders>
          <w:top w:val="nil" w:sz="8" w:color="000000" w:space="0"/>
          <w:bottom w:val="nil" w:sz="8" w:color="000000" w:space="0"/>
          <w:left w:val="nil" w:sz="8" w:color="000000" w:space="0"/>
          <w:right w:val="nil" w:sz="8" w:color="000000" w:space="0"/>
          <w:insideH w:val="nil" w:sz="8" w:color="000000" w:space="0"/>
          <w:insideV w:val="nil" w:sz="8" w:color="000000" w:space="0"/>
        </w:tblBorders>
      </w:tblPr>
      <w:tblGrid>
        <w:gridCol w:w="1872"/>
        <w:gridCol w:w="1872"/>
        <w:gridCol w:w="1872"/>
        <w:gridCol w:w="1872"/>
        <w:gridCol w:w="1872"/>
      </w:tblGrid>
      <w:tr>
        <w:tc>
          <w:tcPr>
            <w:tcW w:type="dxa" w:w="1872"/>
            <w:tcBorders>
              <w:top w:val="single" w:sz="12" w:color="000000" w:space="0"/>
              <w:bottom w:val="single" w:sz="8" w:color="000000" w:space="0"/>
              <w:left w:val="nil" w:sz="8" w:color="000000" w:space="0"/>
              <w:right w:val="nil" w:sz="8" w:color="000000" w:space="0"/>
            </w:tcBorders>
          </w:tcPr>
          <w:p>
            <w:pPr>
              <w:spacing w:before="40" w:after="40" w:line="276" w:lineRule="auto"/>
            </w:pPr>
            <w:r>
              <w:rPr>
                <w:rFonts w:ascii="Times New Roman" w:hAnsi="Times New Roman"/>
                <w:b/>
                <w:sz w:val="22"/>
              </w:rPr>
              <w:t>Construct</w:t>
            </w:r>
          </w:p>
        </w:tc>
        <w:tc>
          <w:tcPr>
            <w:tcW w:type="dxa" w:w="1872"/>
            <w:tcBorders>
              <w:top w:val="single" w:sz="12" w:color="000000" w:space="0"/>
              <w:bottom w:val="single" w:sz="8" w:color="000000" w:space="0"/>
              <w:left w:val="nil" w:sz="8" w:color="000000" w:space="0"/>
              <w:right w:val="nil" w:sz="8" w:color="000000" w:space="0"/>
            </w:tcBorders>
          </w:tcPr>
          <w:p>
            <w:pPr>
              <w:spacing w:before="40" w:after="40" w:line="276" w:lineRule="auto"/>
            </w:pPr>
            <w:r>
              <w:rPr>
                <w:rFonts w:ascii="Times New Roman" w:hAnsi="Times New Roman"/>
                <w:b/>
                <w:sz w:val="22"/>
              </w:rPr>
              <w:t>Abbr.</w:t>
            </w:r>
          </w:p>
        </w:tc>
        <w:tc>
          <w:tcPr>
            <w:tcW w:type="dxa" w:w="1872"/>
            <w:tcBorders>
              <w:top w:val="single" w:sz="12" w:color="000000" w:space="0"/>
              <w:bottom w:val="single" w:sz="8" w:color="000000" w:space="0"/>
              <w:left w:val="nil" w:sz="8" w:color="000000" w:space="0"/>
              <w:right w:val="nil" w:sz="8" w:color="000000" w:space="0"/>
            </w:tcBorders>
          </w:tcPr>
          <w:p>
            <w:pPr>
              <w:spacing w:before="40" w:after="40" w:line="276" w:lineRule="auto"/>
            </w:pPr>
            <w:r>
              <w:rPr>
                <w:rFonts w:ascii="Times New Roman" w:hAnsi="Times New Roman"/>
                <w:b/>
                <w:sz w:val="22"/>
              </w:rPr>
              <w:t>k</w:t>
            </w:r>
          </w:p>
        </w:tc>
        <w:tc>
          <w:tcPr>
            <w:tcW w:type="dxa" w:w="1872"/>
            <w:tcBorders>
              <w:top w:val="single" w:sz="12" w:color="000000" w:space="0"/>
              <w:bottom w:val="single" w:sz="8" w:color="000000" w:space="0"/>
              <w:left w:val="nil" w:sz="8" w:color="000000" w:space="0"/>
              <w:right w:val="nil" w:sz="8" w:color="000000" w:space="0"/>
            </w:tcBorders>
          </w:tcPr>
          <w:p>
            <w:pPr>
              <w:spacing w:before="40" w:after="40" w:line="276" w:lineRule="auto"/>
            </w:pPr>
            <w:r>
              <w:rPr>
                <w:rFonts w:ascii="Times New Roman" w:hAnsi="Times New Roman"/>
                <w:b/>
                <w:sz w:val="22"/>
              </w:rPr>
              <w:t>Primary Theory</w:t>
            </w:r>
          </w:p>
        </w:tc>
        <w:tc>
          <w:tcPr>
            <w:tcW w:type="dxa" w:w="1872"/>
            <w:tcBorders>
              <w:top w:val="single" w:sz="12" w:color="000000" w:space="0"/>
              <w:bottom w:val="single" w:sz="8" w:color="000000" w:space="0"/>
              <w:left w:val="nil" w:sz="8" w:color="000000" w:space="0"/>
              <w:right w:val="nil" w:sz="8" w:color="000000" w:space="0"/>
            </w:tcBorders>
          </w:tcPr>
          <w:p>
            <w:pPr>
              <w:spacing w:before="40" w:after="40" w:line="276" w:lineRule="auto"/>
            </w:pPr>
            <w:r>
              <w:rPr>
                <w:rFonts w:ascii="Times New Roman" w:hAnsi="Times New Roman"/>
                <w:b/>
                <w:sz w:val="22"/>
              </w:rPr>
              <w:t>Structural Position</w:t>
            </w:r>
          </w:p>
        </w:tc>
      </w:tr>
      <w:tr>
        <w:tc>
          <w:tcPr>
            <w:tcW w:type="dxa" w:w="1872"/>
            <w:tcBorders>
              <w:top w:val="nil" w:sz="8" w:color="000000" w:space="0"/>
              <w:bottom w:val="nil" w:sz="8" w:color="000000" w:space="0"/>
              <w:left w:val="nil" w:sz="8" w:color="000000" w:space="0"/>
              <w:right w:val="nil" w:sz="8" w:color="000000" w:space="0"/>
            </w:tcBorders>
          </w:tcPr>
          <w:p>
            <w:pPr>
              <w:spacing w:before="20" w:after="20" w:line="276" w:lineRule="auto"/>
            </w:pPr>
            <w:r>
              <w:rPr>
                <w:rFonts w:ascii="Times New Roman" w:hAnsi="Times New Roman"/>
                <w:sz w:val="22"/>
              </w:rPr>
              <w:t>Performance Expectancy</w:t>
            </w:r>
          </w:p>
        </w:tc>
        <w:tc>
          <w:tcPr>
            <w:tcW w:type="dxa" w:w="1872"/>
            <w:tcBorders>
              <w:top w:val="nil" w:sz="8" w:color="000000" w:space="0"/>
              <w:bottom w:val="nil" w:sz="8" w:color="000000" w:space="0"/>
              <w:left w:val="nil" w:sz="8" w:color="000000" w:space="0"/>
              <w:right w:val="nil" w:sz="8" w:color="000000" w:space="0"/>
            </w:tcBorders>
          </w:tcPr>
          <w:p>
            <w:pPr>
              <w:spacing w:before="20" w:after="20" w:line="276" w:lineRule="auto"/>
            </w:pPr>
            <w:r>
              <w:rPr>
                <w:rFonts w:ascii="Times New Roman" w:hAnsi="Times New Roman"/>
                <w:sz w:val="22"/>
              </w:rPr>
              <w:t>PE</w:t>
            </w:r>
          </w:p>
        </w:tc>
        <w:tc>
          <w:tcPr>
            <w:tcW w:type="dxa" w:w="1872"/>
            <w:tcBorders>
              <w:top w:val="nil" w:sz="8" w:color="000000" w:space="0"/>
              <w:bottom w:val="nil" w:sz="8" w:color="000000" w:space="0"/>
              <w:left w:val="nil" w:sz="8" w:color="000000" w:space="0"/>
              <w:right w:val="nil" w:sz="8" w:color="000000" w:space="0"/>
            </w:tcBorders>
          </w:tcPr>
          <w:p>
            <w:pPr>
              <w:spacing w:before="20" w:after="20" w:line="276" w:lineRule="auto"/>
            </w:pPr>
            <w:r>
              <w:rPr>
                <w:rFonts w:ascii="Times New Roman" w:hAnsi="Times New Roman"/>
                <w:sz w:val="22"/>
              </w:rPr>
              <w:t>186</w:t>
            </w:r>
          </w:p>
        </w:tc>
        <w:tc>
          <w:tcPr>
            <w:tcW w:type="dxa" w:w="1872"/>
            <w:tcBorders>
              <w:top w:val="nil" w:sz="8" w:color="000000" w:space="0"/>
              <w:bottom w:val="nil" w:sz="8" w:color="000000" w:space="0"/>
              <w:left w:val="nil" w:sz="8" w:color="000000" w:space="0"/>
              <w:right w:val="nil" w:sz="8" w:color="000000" w:space="0"/>
            </w:tcBorders>
          </w:tcPr>
          <w:p>
            <w:pPr>
              <w:spacing w:before="20" w:after="20" w:line="276" w:lineRule="auto"/>
            </w:pPr>
            <w:r>
              <w:rPr>
                <w:rFonts w:ascii="Times New Roman" w:hAnsi="Times New Roman"/>
                <w:sz w:val="22"/>
              </w:rPr>
              <w:t>TAM/UTAUT</w:t>
            </w:r>
          </w:p>
        </w:tc>
        <w:tc>
          <w:tcPr>
            <w:tcW w:type="dxa" w:w="1872"/>
            <w:tcBorders>
              <w:top w:val="nil" w:sz="8" w:color="000000" w:space="0"/>
              <w:bottom w:val="nil" w:sz="8" w:color="000000" w:space="0"/>
              <w:left w:val="nil" w:sz="8" w:color="000000" w:space="0"/>
              <w:right w:val="nil" w:sz="8" w:color="000000" w:space="0"/>
            </w:tcBorders>
          </w:tcPr>
          <w:p>
            <w:pPr>
              <w:spacing w:before="20" w:after="20" w:line="276" w:lineRule="auto"/>
            </w:pPr>
            <w:r>
              <w:rPr>
                <w:rFonts w:ascii="Times New Roman" w:hAnsi="Times New Roman"/>
                <w:sz w:val="22"/>
              </w:rPr>
              <w:t>Exogenous; PE to ATT</w:t>
            </w:r>
          </w:p>
        </w:tc>
      </w:tr>
      <w:tr>
        <w:tc>
          <w:tcPr>
            <w:tcW w:type="dxa" w:w="1872"/>
            <w:tcBorders>
              <w:top w:val="nil" w:sz="8" w:color="000000" w:space="0"/>
              <w:bottom w:val="nil" w:sz="8" w:color="000000" w:space="0"/>
              <w:left w:val="nil" w:sz="8" w:color="000000" w:space="0"/>
              <w:right w:val="nil" w:sz="8" w:color="000000" w:space="0"/>
            </w:tcBorders>
          </w:tcPr>
          <w:p>
            <w:pPr>
              <w:spacing w:before="20" w:after="20" w:line="276" w:lineRule="auto"/>
            </w:pPr>
            <w:r>
              <w:rPr>
                <w:rFonts w:ascii="Times New Roman" w:hAnsi="Times New Roman"/>
                <w:sz w:val="22"/>
              </w:rPr>
              <w:t>Effort Expectancy</w:t>
            </w:r>
          </w:p>
        </w:tc>
        <w:tc>
          <w:tcPr>
            <w:tcW w:type="dxa" w:w="1872"/>
            <w:tcBorders>
              <w:top w:val="nil" w:sz="8" w:color="000000" w:space="0"/>
              <w:bottom w:val="nil" w:sz="8" w:color="000000" w:space="0"/>
              <w:left w:val="nil" w:sz="8" w:color="000000" w:space="0"/>
              <w:right w:val="nil" w:sz="8" w:color="000000" w:space="0"/>
            </w:tcBorders>
          </w:tcPr>
          <w:p>
            <w:pPr>
              <w:spacing w:before="20" w:after="20" w:line="276" w:lineRule="auto"/>
            </w:pPr>
            <w:r>
              <w:rPr>
                <w:rFonts w:ascii="Times New Roman" w:hAnsi="Times New Roman"/>
                <w:sz w:val="22"/>
              </w:rPr>
              <w:t>EE</w:t>
            </w:r>
          </w:p>
        </w:tc>
        <w:tc>
          <w:tcPr>
            <w:tcW w:type="dxa" w:w="1872"/>
            <w:tcBorders>
              <w:top w:val="nil" w:sz="8" w:color="000000" w:space="0"/>
              <w:bottom w:val="nil" w:sz="8" w:color="000000" w:space="0"/>
              <w:left w:val="nil" w:sz="8" w:color="000000" w:space="0"/>
              <w:right w:val="nil" w:sz="8" w:color="000000" w:space="0"/>
            </w:tcBorders>
          </w:tcPr>
          <w:p>
            <w:pPr>
              <w:spacing w:before="20" w:after="20" w:line="276" w:lineRule="auto"/>
            </w:pPr>
            <w:r>
              <w:rPr>
                <w:rFonts w:ascii="Times New Roman" w:hAnsi="Times New Roman"/>
                <w:sz w:val="22"/>
              </w:rPr>
              <w:t>162</w:t>
            </w:r>
          </w:p>
        </w:tc>
        <w:tc>
          <w:tcPr>
            <w:tcW w:type="dxa" w:w="1872"/>
            <w:tcBorders>
              <w:top w:val="nil" w:sz="8" w:color="000000" w:space="0"/>
              <w:bottom w:val="nil" w:sz="8" w:color="000000" w:space="0"/>
              <w:left w:val="nil" w:sz="8" w:color="000000" w:space="0"/>
              <w:right w:val="nil" w:sz="8" w:color="000000" w:space="0"/>
            </w:tcBorders>
          </w:tcPr>
          <w:p>
            <w:pPr>
              <w:spacing w:before="20" w:after="20" w:line="276" w:lineRule="auto"/>
            </w:pPr>
            <w:r>
              <w:rPr>
                <w:rFonts w:ascii="Times New Roman" w:hAnsi="Times New Roman"/>
                <w:sz w:val="22"/>
              </w:rPr>
              <w:t>TAM/UTAUT</w:t>
            </w:r>
          </w:p>
        </w:tc>
        <w:tc>
          <w:tcPr>
            <w:tcW w:type="dxa" w:w="1872"/>
            <w:tcBorders>
              <w:top w:val="nil" w:sz="8" w:color="000000" w:space="0"/>
              <w:bottom w:val="nil" w:sz="8" w:color="000000" w:space="0"/>
              <w:left w:val="nil" w:sz="8" w:color="000000" w:space="0"/>
              <w:right w:val="nil" w:sz="8" w:color="000000" w:space="0"/>
            </w:tcBorders>
          </w:tcPr>
          <w:p>
            <w:pPr>
              <w:spacing w:before="20" w:after="20" w:line="276" w:lineRule="auto"/>
            </w:pPr>
            <w:r>
              <w:rPr>
                <w:rFonts w:ascii="Times New Roman" w:hAnsi="Times New Roman"/>
                <w:sz w:val="22"/>
              </w:rPr>
              <w:t>Exogenous; EE to ATT, PE</w:t>
            </w:r>
          </w:p>
        </w:tc>
      </w:tr>
      <w:tr>
        <w:tc>
          <w:tcPr>
            <w:tcW w:type="dxa" w:w="1872"/>
            <w:tcBorders>
              <w:top w:val="nil" w:sz="8" w:color="000000" w:space="0"/>
              <w:bottom w:val="nil" w:sz="8" w:color="000000" w:space="0"/>
              <w:left w:val="nil" w:sz="8" w:color="000000" w:space="0"/>
              <w:right w:val="nil" w:sz="8" w:color="000000" w:space="0"/>
            </w:tcBorders>
          </w:tcPr>
          <w:p>
            <w:pPr>
              <w:spacing w:before="20" w:after="20" w:line="276" w:lineRule="auto"/>
            </w:pPr>
            <w:r>
              <w:rPr>
                <w:rFonts w:ascii="Times New Roman" w:hAnsi="Times New Roman"/>
                <w:sz w:val="22"/>
              </w:rPr>
              <w:t>Social Influence</w:t>
            </w:r>
          </w:p>
        </w:tc>
        <w:tc>
          <w:tcPr>
            <w:tcW w:type="dxa" w:w="1872"/>
            <w:tcBorders>
              <w:top w:val="nil" w:sz="8" w:color="000000" w:space="0"/>
              <w:bottom w:val="nil" w:sz="8" w:color="000000" w:space="0"/>
              <w:left w:val="nil" w:sz="8" w:color="000000" w:space="0"/>
              <w:right w:val="nil" w:sz="8" w:color="000000" w:space="0"/>
            </w:tcBorders>
          </w:tcPr>
          <w:p>
            <w:pPr>
              <w:spacing w:before="20" w:after="20" w:line="276" w:lineRule="auto"/>
            </w:pPr>
            <w:r>
              <w:rPr>
                <w:rFonts w:ascii="Times New Roman" w:hAnsi="Times New Roman"/>
                <w:sz w:val="22"/>
              </w:rPr>
              <w:t>SI</w:t>
            </w:r>
          </w:p>
        </w:tc>
        <w:tc>
          <w:tcPr>
            <w:tcW w:type="dxa" w:w="1872"/>
            <w:tcBorders>
              <w:top w:val="nil" w:sz="8" w:color="000000" w:space="0"/>
              <w:bottom w:val="nil" w:sz="8" w:color="000000" w:space="0"/>
              <w:left w:val="nil" w:sz="8" w:color="000000" w:space="0"/>
              <w:right w:val="nil" w:sz="8" w:color="000000" w:space="0"/>
            </w:tcBorders>
          </w:tcPr>
          <w:p>
            <w:pPr>
              <w:spacing w:before="20" w:after="20" w:line="276" w:lineRule="auto"/>
            </w:pPr>
            <w:r>
              <w:rPr>
                <w:rFonts w:ascii="Times New Roman" w:hAnsi="Times New Roman"/>
                <w:sz w:val="22"/>
              </w:rPr>
              <w:t>114</w:t>
            </w:r>
          </w:p>
        </w:tc>
        <w:tc>
          <w:tcPr>
            <w:tcW w:type="dxa" w:w="1872"/>
            <w:tcBorders>
              <w:top w:val="nil" w:sz="8" w:color="000000" w:space="0"/>
              <w:bottom w:val="nil" w:sz="8" w:color="000000" w:space="0"/>
              <w:left w:val="nil" w:sz="8" w:color="000000" w:space="0"/>
              <w:right w:val="nil" w:sz="8" w:color="000000" w:space="0"/>
            </w:tcBorders>
          </w:tcPr>
          <w:p>
            <w:pPr>
              <w:spacing w:before="20" w:after="20" w:line="276" w:lineRule="auto"/>
            </w:pPr>
            <w:r>
              <w:rPr>
                <w:rFonts w:ascii="Times New Roman" w:hAnsi="Times New Roman"/>
                <w:sz w:val="22"/>
              </w:rPr>
              <w:t>UTAUT/TPB</w:t>
            </w:r>
          </w:p>
        </w:tc>
        <w:tc>
          <w:tcPr>
            <w:tcW w:type="dxa" w:w="1872"/>
            <w:tcBorders>
              <w:top w:val="nil" w:sz="8" w:color="000000" w:space="0"/>
              <w:bottom w:val="nil" w:sz="8" w:color="000000" w:space="0"/>
              <w:left w:val="nil" w:sz="8" w:color="000000" w:space="0"/>
              <w:right w:val="nil" w:sz="8" w:color="000000" w:space="0"/>
            </w:tcBorders>
          </w:tcPr>
          <w:p>
            <w:pPr>
              <w:spacing w:before="20" w:after="20" w:line="276" w:lineRule="auto"/>
            </w:pPr>
            <w:r>
              <w:rPr>
                <w:rFonts w:ascii="Times New Roman" w:hAnsi="Times New Roman"/>
                <w:sz w:val="22"/>
              </w:rPr>
              <w:t>Exogenous; SI to BI</w:t>
            </w:r>
          </w:p>
        </w:tc>
      </w:tr>
      <w:tr>
        <w:tc>
          <w:tcPr>
            <w:tcW w:type="dxa" w:w="1872"/>
            <w:tcBorders>
              <w:top w:val="nil" w:sz="8" w:color="000000" w:space="0"/>
              <w:bottom w:val="nil" w:sz="8" w:color="000000" w:space="0"/>
              <w:left w:val="nil" w:sz="8" w:color="000000" w:space="0"/>
              <w:right w:val="nil" w:sz="8" w:color="000000" w:space="0"/>
            </w:tcBorders>
          </w:tcPr>
          <w:p>
            <w:pPr>
              <w:spacing w:before="20" w:after="20" w:line="276" w:lineRule="auto"/>
            </w:pPr>
            <w:r>
              <w:rPr>
                <w:rFonts w:ascii="Times New Roman" w:hAnsi="Times New Roman"/>
                <w:sz w:val="22"/>
              </w:rPr>
              <w:t>Facilitating Conditions</w:t>
            </w:r>
          </w:p>
        </w:tc>
        <w:tc>
          <w:tcPr>
            <w:tcW w:type="dxa" w:w="1872"/>
            <w:tcBorders>
              <w:top w:val="nil" w:sz="8" w:color="000000" w:space="0"/>
              <w:bottom w:val="nil" w:sz="8" w:color="000000" w:space="0"/>
              <w:left w:val="nil" w:sz="8" w:color="000000" w:space="0"/>
              <w:right w:val="nil" w:sz="8" w:color="000000" w:space="0"/>
            </w:tcBorders>
          </w:tcPr>
          <w:p>
            <w:pPr>
              <w:spacing w:before="20" w:after="20" w:line="276" w:lineRule="auto"/>
            </w:pPr>
            <w:r>
              <w:rPr>
                <w:rFonts w:ascii="Times New Roman" w:hAnsi="Times New Roman"/>
                <w:sz w:val="22"/>
              </w:rPr>
              <w:t>FC</w:t>
            </w:r>
          </w:p>
        </w:tc>
        <w:tc>
          <w:tcPr>
            <w:tcW w:type="dxa" w:w="1872"/>
            <w:tcBorders>
              <w:top w:val="nil" w:sz="8" w:color="000000" w:space="0"/>
              <w:bottom w:val="nil" w:sz="8" w:color="000000" w:space="0"/>
              <w:left w:val="nil" w:sz="8" w:color="000000" w:space="0"/>
              <w:right w:val="nil" w:sz="8" w:color="000000" w:space="0"/>
            </w:tcBorders>
          </w:tcPr>
          <w:p>
            <w:pPr>
              <w:spacing w:before="20" w:after="20" w:line="276" w:lineRule="auto"/>
            </w:pPr>
            <w:r>
              <w:rPr>
                <w:rFonts w:ascii="Times New Roman" w:hAnsi="Times New Roman"/>
                <w:sz w:val="22"/>
              </w:rPr>
              <w:t>105</w:t>
            </w:r>
          </w:p>
        </w:tc>
        <w:tc>
          <w:tcPr>
            <w:tcW w:type="dxa" w:w="1872"/>
            <w:tcBorders>
              <w:top w:val="nil" w:sz="8" w:color="000000" w:space="0"/>
              <w:bottom w:val="nil" w:sz="8" w:color="000000" w:space="0"/>
              <w:left w:val="nil" w:sz="8" w:color="000000" w:space="0"/>
              <w:right w:val="nil" w:sz="8" w:color="000000" w:space="0"/>
            </w:tcBorders>
          </w:tcPr>
          <w:p>
            <w:pPr>
              <w:spacing w:before="20" w:after="20" w:line="276" w:lineRule="auto"/>
            </w:pPr>
            <w:r>
              <w:rPr>
                <w:rFonts w:ascii="Times New Roman" w:hAnsi="Times New Roman"/>
                <w:sz w:val="22"/>
              </w:rPr>
              <w:t>UTAUT</w:t>
            </w:r>
          </w:p>
        </w:tc>
        <w:tc>
          <w:tcPr>
            <w:tcW w:type="dxa" w:w="1872"/>
            <w:tcBorders>
              <w:top w:val="nil" w:sz="8" w:color="000000" w:space="0"/>
              <w:bottom w:val="nil" w:sz="8" w:color="000000" w:space="0"/>
              <w:left w:val="nil" w:sz="8" w:color="000000" w:space="0"/>
              <w:right w:val="nil" w:sz="8" w:color="000000" w:space="0"/>
            </w:tcBorders>
          </w:tcPr>
          <w:p>
            <w:pPr>
              <w:spacing w:before="20" w:after="20" w:line="276" w:lineRule="auto"/>
            </w:pPr>
            <w:r>
              <w:rPr>
                <w:rFonts w:ascii="Times New Roman" w:hAnsi="Times New Roman"/>
                <w:sz w:val="22"/>
              </w:rPr>
              <w:t>Exogenous; FC to UB</w:t>
            </w:r>
          </w:p>
        </w:tc>
      </w:tr>
      <w:tr>
        <w:tc>
          <w:tcPr>
            <w:tcW w:type="dxa" w:w="1872"/>
            <w:tcBorders>
              <w:top w:val="nil" w:sz="8" w:color="000000" w:space="0"/>
              <w:bottom w:val="nil" w:sz="8" w:color="000000" w:space="0"/>
              <w:left w:val="nil" w:sz="8" w:color="000000" w:space="0"/>
              <w:right w:val="nil" w:sz="8" w:color="000000" w:space="0"/>
            </w:tcBorders>
          </w:tcPr>
          <w:p>
            <w:pPr>
              <w:spacing w:before="20" w:after="20" w:line="276" w:lineRule="auto"/>
            </w:pPr>
            <w:r>
              <w:rPr>
                <w:rFonts w:ascii="Times New Roman" w:hAnsi="Times New Roman"/>
                <w:sz w:val="22"/>
              </w:rPr>
              <w:t>Attitude</w:t>
            </w:r>
          </w:p>
        </w:tc>
        <w:tc>
          <w:tcPr>
            <w:tcW w:type="dxa" w:w="1872"/>
            <w:tcBorders>
              <w:top w:val="nil" w:sz="8" w:color="000000" w:space="0"/>
              <w:bottom w:val="nil" w:sz="8" w:color="000000" w:space="0"/>
              <w:left w:val="nil" w:sz="8" w:color="000000" w:space="0"/>
              <w:right w:val="nil" w:sz="8" w:color="000000" w:space="0"/>
            </w:tcBorders>
          </w:tcPr>
          <w:p>
            <w:pPr>
              <w:spacing w:before="20" w:after="20" w:line="276" w:lineRule="auto"/>
            </w:pPr>
            <w:r>
              <w:rPr>
                <w:rFonts w:ascii="Times New Roman" w:hAnsi="Times New Roman"/>
                <w:sz w:val="22"/>
              </w:rPr>
              <w:t>ATT</w:t>
            </w:r>
          </w:p>
        </w:tc>
        <w:tc>
          <w:tcPr>
            <w:tcW w:type="dxa" w:w="1872"/>
            <w:tcBorders>
              <w:top w:val="nil" w:sz="8" w:color="000000" w:space="0"/>
              <w:bottom w:val="nil" w:sz="8" w:color="000000" w:space="0"/>
              <w:left w:val="nil" w:sz="8" w:color="000000" w:space="0"/>
              <w:right w:val="nil" w:sz="8" w:color="000000" w:space="0"/>
            </w:tcBorders>
          </w:tcPr>
          <w:p>
            <w:pPr>
              <w:spacing w:before="20" w:after="20" w:line="276" w:lineRule="auto"/>
            </w:pPr>
            <w:r>
              <w:rPr>
                <w:rFonts w:ascii="Times New Roman" w:hAnsi="Times New Roman"/>
                <w:sz w:val="22"/>
              </w:rPr>
              <w:t>81</w:t>
            </w:r>
          </w:p>
        </w:tc>
        <w:tc>
          <w:tcPr>
            <w:tcW w:type="dxa" w:w="1872"/>
            <w:tcBorders>
              <w:top w:val="nil" w:sz="8" w:color="000000" w:space="0"/>
              <w:bottom w:val="nil" w:sz="8" w:color="000000" w:space="0"/>
              <w:left w:val="nil" w:sz="8" w:color="000000" w:space="0"/>
              <w:right w:val="nil" w:sz="8" w:color="000000" w:space="0"/>
            </w:tcBorders>
          </w:tcPr>
          <w:p>
            <w:pPr>
              <w:spacing w:before="20" w:after="20" w:line="276" w:lineRule="auto"/>
            </w:pPr>
            <w:r>
              <w:rPr>
                <w:rFonts w:ascii="Times New Roman" w:hAnsi="Times New Roman"/>
                <w:sz w:val="22"/>
              </w:rPr>
              <w:t>TAM/TPB</w:t>
            </w:r>
          </w:p>
        </w:tc>
        <w:tc>
          <w:tcPr>
            <w:tcW w:type="dxa" w:w="1872"/>
            <w:tcBorders>
              <w:top w:val="nil" w:sz="8" w:color="000000" w:space="0"/>
              <w:bottom w:val="nil" w:sz="8" w:color="000000" w:space="0"/>
              <w:left w:val="nil" w:sz="8" w:color="000000" w:space="0"/>
              <w:right w:val="nil" w:sz="8" w:color="000000" w:space="0"/>
            </w:tcBorders>
          </w:tcPr>
          <w:p>
            <w:pPr>
              <w:spacing w:before="20" w:after="20" w:line="276" w:lineRule="auto"/>
            </w:pPr>
            <w:r>
              <w:rPr>
                <w:rFonts w:ascii="Times New Roman" w:hAnsi="Times New Roman"/>
                <w:sz w:val="22"/>
              </w:rPr>
              <w:t>Endogenous; mediator</w:t>
            </w:r>
          </w:p>
        </w:tc>
      </w:tr>
      <w:tr>
        <w:tc>
          <w:tcPr>
            <w:tcW w:type="dxa" w:w="1872"/>
            <w:tcBorders>
              <w:top w:val="nil" w:sz="8" w:color="000000" w:space="0"/>
              <w:bottom w:val="nil" w:sz="8" w:color="000000" w:space="0"/>
              <w:left w:val="nil" w:sz="8" w:color="000000" w:space="0"/>
              <w:right w:val="nil" w:sz="8" w:color="000000" w:space="0"/>
            </w:tcBorders>
          </w:tcPr>
          <w:p>
            <w:pPr>
              <w:spacing w:before="20" w:after="20" w:line="276" w:lineRule="auto"/>
            </w:pPr>
            <w:r>
              <w:rPr>
                <w:rFonts w:ascii="Times New Roman" w:hAnsi="Times New Roman"/>
                <w:sz w:val="22"/>
              </w:rPr>
              <w:t>Self-Efficacy</w:t>
            </w:r>
          </w:p>
        </w:tc>
        <w:tc>
          <w:tcPr>
            <w:tcW w:type="dxa" w:w="1872"/>
            <w:tcBorders>
              <w:top w:val="nil" w:sz="8" w:color="000000" w:space="0"/>
              <w:bottom w:val="nil" w:sz="8" w:color="000000" w:space="0"/>
              <w:left w:val="nil" w:sz="8" w:color="000000" w:space="0"/>
              <w:right w:val="nil" w:sz="8" w:color="000000" w:space="0"/>
            </w:tcBorders>
          </w:tcPr>
          <w:p>
            <w:pPr>
              <w:spacing w:before="20" w:after="20" w:line="276" w:lineRule="auto"/>
            </w:pPr>
            <w:r>
              <w:rPr>
                <w:rFonts w:ascii="Times New Roman" w:hAnsi="Times New Roman"/>
                <w:sz w:val="22"/>
              </w:rPr>
              <w:t>SE</w:t>
            </w:r>
          </w:p>
        </w:tc>
        <w:tc>
          <w:tcPr>
            <w:tcW w:type="dxa" w:w="1872"/>
            <w:tcBorders>
              <w:top w:val="nil" w:sz="8" w:color="000000" w:space="0"/>
              <w:bottom w:val="nil" w:sz="8" w:color="000000" w:space="0"/>
              <w:left w:val="nil" w:sz="8" w:color="000000" w:space="0"/>
              <w:right w:val="nil" w:sz="8" w:color="000000" w:space="0"/>
            </w:tcBorders>
          </w:tcPr>
          <w:p>
            <w:pPr>
              <w:spacing w:before="20" w:after="20" w:line="276" w:lineRule="auto"/>
            </w:pPr>
            <w:r>
              <w:rPr>
                <w:rFonts w:ascii="Times New Roman" w:hAnsi="Times New Roman"/>
                <w:sz w:val="22"/>
              </w:rPr>
              <w:t>44</w:t>
            </w:r>
          </w:p>
        </w:tc>
        <w:tc>
          <w:tcPr>
            <w:tcW w:type="dxa" w:w="1872"/>
            <w:tcBorders>
              <w:top w:val="nil" w:sz="8" w:color="000000" w:space="0"/>
              <w:bottom w:val="nil" w:sz="8" w:color="000000" w:space="0"/>
              <w:left w:val="nil" w:sz="8" w:color="000000" w:space="0"/>
              <w:right w:val="nil" w:sz="8" w:color="000000" w:space="0"/>
            </w:tcBorders>
          </w:tcPr>
          <w:p>
            <w:pPr>
              <w:spacing w:before="20" w:after="20" w:line="276" w:lineRule="auto"/>
            </w:pPr>
            <w:r>
              <w:rPr>
                <w:rFonts w:ascii="Times New Roman" w:hAnsi="Times New Roman"/>
                <w:sz w:val="22"/>
              </w:rPr>
              <w:t>SCT</w:t>
            </w:r>
          </w:p>
        </w:tc>
        <w:tc>
          <w:tcPr>
            <w:tcW w:type="dxa" w:w="1872"/>
            <w:tcBorders>
              <w:top w:val="nil" w:sz="8" w:color="000000" w:space="0"/>
              <w:bottom w:val="nil" w:sz="8" w:color="000000" w:space="0"/>
              <w:left w:val="nil" w:sz="8" w:color="000000" w:space="0"/>
              <w:right w:val="nil" w:sz="8" w:color="000000" w:space="0"/>
            </w:tcBorders>
          </w:tcPr>
          <w:p>
            <w:pPr>
              <w:spacing w:before="20" w:after="20" w:line="276" w:lineRule="auto"/>
            </w:pPr>
            <w:r>
              <w:rPr>
                <w:rFonts w:ascii="Times New Roman" w:hAnsi="Times New Roman"/>
                <w:sz w:val="22"/>
              </w:rPr>
              <w:t>Exogenous; SE to BI</w:t>
            </w:r>
          </w:p>
        </w:tc>
      </w:tr>
      <w:tr>
        <w:tc>
          <w:tcPr>
            <w:tcW w:type="dxa" w:w="1872"/>
            <w:tcBorders>
              <w:top w:val="nil" w:sz="8" w:color="000000" w:space="0"/>
              <w:bottom w:val="nil" w:sz="8" w:color="000000" w:space="0"/>
              <w:left w:val="nil" w:sz="8" w:color="000000" w:space="0"/>
              <w:right w:val="nil" w:sz="8" w:color="000000" w:space="0"/>
            </w:tcBorders>
          </w:tcPr>
          <w:p>
            <w:pPr>
              <w:spacing w:before="20" w:after="20" w:line="276" w:lineRule="auto"/>
            </w:pPr>
            <w:r>
              <w:rPr>
                <w:rFonts w:ascii="Times New Roman" w:hAnsi="Times New Roman"/>
                <w:sz w:val="22"/>
              </w:rPr>
              <w:t>AI Anxiety</w:t>
            </w:r>
          </w:p>
        </w:tc>
        <w:tc>
          <w:tcPr>
            <w:tcW w:type="dxa" w:w="1872"/>
            <w:tcBorders>
              <w:top w:val="nil" w:sz="8" w:color="000000" w:space="0"/>
              <w:bottom w:val="nil" w:sz="8" w:color="000000" w:space="0"/>
              <w:left w:val="nil" w:sz="8" w:color="000000" w:space="0"/>
              <w:right w:val="nil" w:sz="8" w:color="000000" w:space="0"/>
            </w:tcBorders>
          </w:tcPr>
          <w:p>
            <w:pPr>
              <w:spacing w:before="20" w:after="20" w:line="276" w:lineRule="auto"/>
            </w:pPr>
            <w:r>
              <w:rPr>
                <w:rFonts w:ascii="Times New Roman" w:hAnsi="Times New Roman"/>
                <w:sz w:val="22"/>
              </w:rPr>
              <w:t>ANX</w:t>
            </w:r>
          </w:p>
        </w:tc>
        <w:tc>
          <w:tcPr>
            <w:tcW w:type="dxa" w:w="1872"/>
            <w:tcBorders>
              <w:top w:val="nil" w:sz="8" w:color="000000" w:space="0"/>
              <w:bottom w:val="nil" w:sz="8" w:color="000000" w:space="0"/>
              <w:left w:val="nil" w:sz="8" w:color="000000" w:space="0"/>
              <w:right w:val="nil" w:sz="8" w:color="000000" w:space="0"/>
            </w:tcBorders>
          </w:tcPr>
          <w:p>
            <w:pPr>
              <w:spacing w:before="20" w:after="20" w:line="276" w:lineRule="auto"/>
            </w:pPr>
            <w:r>
              <w:rPr>
                <w:rFonts w:ascii="Times New Roman" w:hAnsi="Times New Roman"/>
                <w:sz w:val="22"/>
              </w:rPr>
              <w:t>40</w:t>
            </w:r>
          </w:p>
        </w:tc>
        <w:tc>
          <w:tcPr>
            <w:tcW w:type="dxa" w:w="1872"/>
            <w:tcBorders>
              <w:top w:val="nil" w:sz="8" w:color="000000" w:space="0"/>
              <w:bottom w:val="nil" w:sz="8" w:color="000000" w:space="0"/>
              <w:left w:val="nil" w:sz="8" w:color="000000" w:space="0"/>
              <w:right w:val="nil" w:sz="8" w:color="000000" w:space="0"/>
            </w:tcBorders>
          </w:tcPr>
          <w:p>
            <w:pPr>
              <w:spacing w:before="20" w:after="20" w:line="276" w:lineRule="auto"/>
            </w:pPr>
            <w:r>
              <w:rPr>
                <w:rFonts w:ascii="Times New Roman" w:hAnsi="Times New Roman"/>
                <w:sz w:val="22"/>
              </w:rPr>
              <w:t>AI-specific</w:t>
            </w:r>
          </w:p>
        </w:tc>
        <w:tc>
          <w:tcPr>
            <w:tcW w:type="dxa" w:w="1872"/>
            <w:tcBorders>
              <w:top w:val="nil" w:sz="8" w:color="000000" w:space="0"/>
              <w:bottom w:val="nil" w:sz="8" w:color="000000" w:space="0"/>
              <w:left w:val="nil" w:sz="8" w:color="000000" w:space="0"/>
              <w:right w:val="nil" w:sz="8" w:color="000000" w:space="0"/>
            </w:tcBorders>
          </w:tcPr>
          <w:p>
            <w:pPr>
              <w:spacing w:before="20" w:after="20" w:line="276" w:lineRule="auto"/>
            </w:pPr>
            <w:r>
              <w:rPr>
                <w:rFonts w:ascii="Times New Roman" w:hAnsi="Times New Roman"/>
                <w:sz w:val="22"/>
              </w:rPr>
              <w:t>Exogenous; ANX to ATT, BI (inhibitory)</w:t>
            </w:r>
          </w:p>
        </w:tc>
      </w:tr>
      <w:tr>
        <w:tc>
          <w:tcPr>
            <w:tcW w:type="dxa" w:w="1872"/>
            <w:tcBorders>
              <w:top w:val="nil" w:sz="8" w:color="000000" w:space="0"/>
              <w:bottom w:val="nil" w:sz="8" w:color="000000" w:space="0"/>
              <w:left w:val="nil" w:sz="8" w:color="000000" w:space="0"/>
              <w:right w:val="nil" w:sz="8" w:color="000000" w:space="0"/>
            </w:tcBorders>
          </w:tcPr>
          <w:p>
            <w:pPr>
              <w:spacing w:before="20" w:after="20" w:line="276" w:lineRule="auto"/>
            </w:pPr>
            <w:r>
              <w:rPr>
                <w:rFonts w:ascii="Times New Roman" w:hAnsi="Times New Roman"/>
                <w:sz w:val="22"/>
              </w:rPr>
              <w:t>Trust in AI</w:t>
            </w:r>
          </w:p>
        </w:tc>
        <w:tc>
          <w:tcPr>
            <w:tcW w:type="dxa" w:w="1872"/>
            <w:tcBorders>
              <w:top w:val="nil" w:sz="8" w:color="000000" w:space="0"/>
              <w:bottom w:val="nil" w:sz="8" w:color="000000" w:space="0"/>
              <w:left w:val="nil" w:sz="8" w:color="000000" w:space="0"/>
              <w:right w:val="nil" w:sz="8" w:color="000000" w:space="0"/>
            </w:tcBorders>
          </w:tcPr>
          <w:p>
            <w:pPr>
              <w:spacing w:before="20" w:after="20" w:line="276" w:lineRule="auto"/>
            </w:pPr>
            <w:r>
              <w:rPr>
                <w:rFonts w:ascii="Times New Roman" w:hAnsi="Times New Roman"/>
                <w:sz w:val="22"/>
              </w:rPr>
              <w:t>TRU</w:t>
            </w:r>
          </w:p>
        </w:tc>
        <w:tc>
          <w:tcPr>
            <w:tcW w:type="dxa" w:w="1872"/>
            <w:tcBorders>
              <w:top w:val="nil" w:sz="8" w:color="000000" w:space="0"/>
              <w:bottom w:val="nil" w:sz="8" w:color="000000" w:space="0"/>
              <w:left w:val="nil" w:sz="8" w:color="000000" w:space="0"/>
              <w:right w:val="nil" w:sz="8" w:color="000000" w:space="0"/>
            </w:tcBorders>
          </w:tcPr>
          <w:p>
            <w:pPr>
              <w:spacing w:before="20" w:after="20" w:line="276" w:lineRule="auto"/>
            </w:pPr>
            <w:r>
              <w:rPr>
                <w:rFonts w:ascii="Times New Roman" w:hAnsi="Times New Roman"/>
                <w:sz w:val="22"/>
              </w:rPr>
              <w:t>36</w:t>
            </w:r>
          </w:p>
        </w:tc>
        <w:tc>
          <w:tcPr>
            <w:tcW w:type="dxa" w:w="1872"/>
            <w:tcBorders>
              <w:top w:val="nil" w:sz="8" w:color="000000" w:space="0"/>
              <w:bottom w:val="nil" w:sz="8" w:color="000000" w:space="0"/>
              <w:left w:val="nil" w:sz="8" w:color="000000" w:space="0"/>
              <w:right w:val="nil" w:sz="8" w:color="000000" w:space="0"/>
            </w:tcBorders>
          </w:tcPr>
          <w:p>
            <w:pPr>
              <w:spacing w:before="20" w:after="20" w:line="276" w:lineRule="auto"/>
            </w:pPr>
            <w:r>
              <w:rPr>
                <w:rFonts w:ascii="Times New Roman" w:hAnsi="Times New Roman"/>
                <w:sz w:val="22"/>
              </w:rPr>
              <w:t>AI-specific</w:t>
            </w:r>
          </w:p>
        </w:tc>
        <w:tc>
          <w:tcPr>
            <w:tcW w:type="dxa" w:w="1872"/>
            <w:tcBorders>
              <w:top w:val="nil" w:sz="8" w:color="000000" w:space="0"/>
              <w:bottom w:val="nil" w:sz="8" w:color="000000" w:space="0"/>
              <w:left w:val="nil" w:sz="8" w:color="000000" w:space="0"/>
              <w:right w:val="nil" w:sz="8" w:color="000000" w:space="0"/>
            </w:tcBorders>
          </w:tcPr>
          <w:p>
            <w:pPr>
              <w:spacing w:before="20" w:after="20" w:line="276" w:lineRule="auto"/>
            </w:pPr>
            <w:r>
              <w:rPr>
                <w:rFonts w:ascii="Times New Roman" w:hAnsi="Times New Roman"/>
                <w:sz w:val="22"/>
              </w:rPr>
              <w:t>Exogenous; TRU to BI</w:t>
            </w:r>
          </w:p>
        </w:tc>
      </w:tr>
      <w:tr>
        <w:tc>
          <w:tcPr>
            <w:tcW w:type="dxa" w:w="1872"/>
            <w:tcBorders>
              <w:top w:val="nil" w:sz="8" w:color="000000" w:space="0"/>
              <w:bottom w:val="nil" w:sz="8" w:color="000000" w:space="0"/>
              <w:left w:val="nil" w:sz="8" w:color="000000" w:space="0"/>
              <w:right w:val="nil" w:sz="8" w:color="000000" w:space="0"/>
            </w:tcBorders>
          </w:tcPr>
          <w:p>
            <w:pPr>
              <w:spacing w:before="20" w:after="20" w:line="276" w:lineRule="auto"/>
            </w:pPr>
            <w:r>
              <w:rPr>
                <w:rFonts w:ascii="Times New Roman" w:hAnsi="Times New Roman"/>
                <w:sz w:val="22"/>
              </w:rPr>
              <w:t>Behavioral Intention</w:t>
            </w:r>
          </w:p>
        </w:tc>
        <w:tc>
          <w:tcPr>
            <w:tcW w:type="dxa" w:w="1872"/>
            <w:tcBorders>
              <w:top w:val="nil" w:sz="8" w:color="000000" w:space="0"/>
              <w:bottom w:val="nil" w:sz="8" w:color="000000" w:space="0"/>
              <w:left w:val="nil" w:sz="8" w:color="000000" w:space="0"/>
              <w:right w:val="nil" w:sz="8" w:color="000000" w:space="0"/>
            </w:tcBorders>
          </w:tcPr>
          <w:p>
            <w:pPr>
              <w:spacing w:before="20" w:after="20" w:line="276" w:lineRule="auto"/>
            </w:pPr>
            <w:r>
              <w:rPr>
                <w:rFonts w:ascii="Times New Roman" w:hAnsi="Times New Roman"/>
                <w:sz w:val="22"/>
              </w:rPr>
              <w:t>BI</w:t>
            </w:r>
          </w:p>
        </w:tc>
        <w:tc>
          <w:tcPr>
            <w:tcW w:type="dxa" w:w="1872"/>
            <w:tcBorders>
              <w:top w:val="nil" w:sz="8" w:color="000000" w:space="0"/>
              <w:bottom w:val="nil" w:sz="8" w:color="000000" w:space="0"/>
              <w:left w:val="nil" w:sz="8" w:color="000000" w:space="0"/>
              <w:right w:val="nil" w:sz="8" w:color="000000" w:space="0"/>
            </w:tcBorders>
          </w:tcPr>
          <w:p>
            <w:pPr>
              <w:spacing w:before="20" w:after="20" w:line="276" w:lineRule="auto"/>
            </w:pPr>
            <w:r>
              <w:rPr>
                <w:rFonts w:ascii="Times New Roman" w:hAnsi="Times New Roman"/>
                <w:sz w:val="22"/>
              </w:rPr>
              <w:t>185</w:t>
            </w:r>
          </w:p>
        </w:tc>
        <w:tc>
          <w:tcPr>
            <w:tcW w:type="dxa" w:w="1872"/>
            <w:tcBorders>
              <w:top w:val="nil" w:sz="8" w:color="000000" w:space="0"/>
              <w:bottom w:val="nil" w:sz="8" w:color="000000" w:space="0"/>
              <w:left w:val="nil" w:sz="8" w:color="000000" w:space="0"/>
              <w:right w:val="nil" w:sz="8" w:color="000000" w:space="0"/>
            </w:tcBorders>
          </w:tcPr>
          <w:p>
            <w:pPr>
              <w:spacing w:before="20" w:after="20" w:line="276" w:lineRule="auto"/>
            </w:pPr>
            <w:r>
              <w:rPr>
                <w:rFonts w:ascii="Times New Roman" w:hAnsi="Times New Roman"/>
                <w:sz w:val="22"/>
              </w:rPr>
              <w:t>TRA/TAM/UTAUT</w:t>
            </w:r>
          </w:p>
        </w:tc>
        <w:tc>
          <w:tcPr>
            <w:tcW w:type="dxa" w:w="1872"/>
            <w:tcBorders>
              <w:top w:val="nil" w:sz="8" w:color="000000" w:space="0"/>
              <w:bottom w:val="nil" w:sz="8" w:color="000000" w:space="0"/>
              <w:left w:val="nil" w:sz="8" w:color="000000" w:space="0"/>
              <w:right w:val="nil" w:sz="8" w:color="000000" w:space="0"/>
            </w:tcBorders>
          </w:tcPr>
          <w:p>
            <w:pPr>
              <w:spacing w:before="20" w:after="20" w:line="276" w:lineRule="auto"/>
            </w:pPr>
            <w:r>
              <w:rPr>
                <w:rFonts w:ascii="Times New Roman" w:hAnsi="Times New Roman"/>
                <w:sz w:val="22"/>
              </w:rPr>
              <w:t>Endogenous; primary DV</w:t>
            </w:r>
          </w:p>
        </w:tc>
      </w:tr>
      <w:tr>
        <w:tc>
          <w:tcPr>
            <w:tcW w:type="dxa" w:w="1872"/>
            <w:tcBorders>
              <w:top w:val="nil" w:sz="8" w:color="000000" w:space="0"/>
              <w:bottom w:val="single" w:sz="12" w:color="000000" w:space="0"/>
              <w:left w:val="nil" w:sz="8" w:color="000000" w:space="0"/>
              <w:right w:val="nil" w:sz="8" w:color="000000" w:space="0"/>
            </w:tcBorders>
          </w:tcPr>
          <w:p>
            <w:pPr>
              <w:spacing w:before="20" w:after="20" w:line="276" w:lineRule="auto"/>
            </w:pPr>
            <w:r>
              <w:rPr>
                <w:rFonts w:ascii="Times New Roman" w:hAnsi="Times New Roman"/>
                <w:sz w:val="22"/>
              </w:rPr>
              <w:t>Use Behavior</w:t>
            </w:r>
          </w:p>
        </w:tc>
        <w:tc>
          <w:tcPr>
            <w:tcW w:type="dxa" w:w="1872"/>
            <w:tcBorders>
              <w:top w:val="nil" w:sz="8" w:color="000000" w:space="0"/>
              <w:bottom w:val="single" w:sz="12" w:color="000000" w:space="0"/>
              <w:left w:val="nil" w:sz="8" w:color="000000" w:space="0"/>
              <w:right w:val="nil" w:sz="8" w:color="000000" w:space="0"/>
            </w:tcBorders>
          </w:tcPr>
          <w:p>
            <w:pPr>
              <w:spacing w:before="20" w:after="20" w:line="276" w:lineRule="auto"/>
            </w:pPr>
            <w:r>
              <w:rPr>
                <w:rFonts w:ascii="Times New Roman" w:hAnsi="Times New Roman"/>
                <w:sz w:val="22"/>
              </w:rPr>
              <w:t>UB</w:t>
            </w:r>
          </w:p>
        </w:tc>
        <w:tc>
          <w:tcPr>
            <w:tcW w:type="dxa" w:w="1872"/>
            <w:tcBorders>
              <w:top w:val="nil" w:sz="8" w:color="000000" w:space="0"/>
              <w:bottom w:val="single" w:sz="12" w:color="000000" w:space="0"/>
              <w:left w:val="nil" w:sz="8" w:color="000000" w:space="0"/>
              <w:right w:val="nil" w:sz="8" w:color="000000" w:space="0"/>
            </w:tcBorders>
          </w:tcPr>
          <w:p>
            <w:pPr>
              <w:spacing w:before="20" w:after="20" w:line="276" w:lineRule="auto"/>
            </w:pPr>
            <w:r>
              <w:rPr>
                <w:rFonts w:ascii="Times New Roman" w:hAnsi="Times New Roman"/>
                <w:sz w:val="22"/>
              </w:rPr>
              <w:t>90</w:t>
            </w:r>
          </w:p>
        </w:tc>
        <w:tc>
          <w:tcPr>
            <w:tcW w:type="dxa" w:w="1872"/>
            <w:tcBorders>
              <w:top w:val="nil" w:sz="8" w:color="000000" w:space="0"/>
              <w:bottom w:val="single" w:sz="12" w:color="000000" w:space="0"/>
              <w:left w:val="nil" w:sz="8" w:color="000000" w:space="0"/>
              <w:right w:val="nil" w:sz="8" w:color="000000" w:space="0"/>
            </w:tcBorders>
          </w:tcPr>
          <w:p>
            <w:pPr>
              <w:spacing w:before="20" w:after="20" w:line="276" w:lineRule="auto"/>
            </w:pPr>
            <w:r>
              <w:rPr>
                <w:rFonts w:ascii="Times New Roman" w:hAnsi="Times New Roman"/>
                <w:sz w:val="22"/>
              </w:rPr>
              <w:t>TAM/UTAUT</w:t>
            </w:r>
          </w:p>
        </w:tc>
        <w:tc>
          <w:tcPr>
            <w:tcW w:type="dxa" w:w="1872"/>
            <w:tcBorders>
              <w:top w:val="nil" w:sz="8" w:color="000000" w:space="0"/>
              <w:bottom w:val="single" w:sz="12" w:color="000000" w:space="0"/>
              <w:left w:val="nil" w:sz="8" w:color="000000" w:space="0"/>
              <w:right w:val="nil" w:sz="8" w:color="000000" w:space="0"/>
            </w:tcBorders>
          </w:tcPr>
          <w:p>
            <w:pPr>
              <w:spacing w:before="20" w:after="20" w:line="276" w:lineRule="auto"/>
            </w:pPr>
            <w:r>
              <w:rPr>
                <w:rFonts w:ascii="Times New Roman" w:hAnsi="Times New Roman"/>
                <w:sz w:val="22"/>
              </w:rPr>
              <w:t>Endogenous; ultimate outcome</w:t>
            </w:r>
          </w:p>
        </w:tc>
      </w:tr>
    </w:tbl>
    <w:p>
      <w:pPr>
        <w:spacing w:before="40" w:after="240" w:line="480" w:lineRule="auto"/>
      </w:pPr>
      <w:r>
        <w:rPr>
          <w:rFonts w:ascii="Times New Roman" w:hAnsi="Times New Roman"/>
          <w:i/>
          <w:sz w:val="20"/>
        </w:rPr>
        <w:t xml:space="preserve">Note. </w:t>
      </w:r>
      <w:r>
        <w:rPr>
          <w:rFonts w:ascii="Times New Roman" w:hAnsi="Times New Roman"/>
          <w:sz w:val="20"/>
        </w:rPr>
        <w:t>k = number of studies operationalizing the construct in the 224-study corpus. Tier 1 constructs (k &gt;= 44) appear across multiple theoretical traditions. Tier 2 constructs (ANX, TRU) are AI-specific extensions with k &gt;= 36. TAM = Technology Acceptance Model; UTAUT = Unified Theory of Acceptance and Use of Technology; TPB = Theory of Planned Behavior; SCT = Social Cognitive Theory; TRA = Theory of Reasoned Action; DV = dependent variable.</w:t>
      </w:r>
    </w:p>
    <w:p>
      <w:pPr>
        <w:spacing w:before="240" w:after="0" w:line="480" w:lineRule="auto"/>
        <w:jc w:val="center"/>
      </w:pPr>
      <w:r>
        <w:rPr>
          <w:rFonts w:ascii="Times New Roman" w:hAnsi="Times New Roman"/>
          <w:b/>
          <w:sz w:val="24"/>
        </w:rPr>
        <w:t>Research Questions</w:t>
      </w:r>
    </w:p>
    <w:p>
      <w:pPr>
        <w:spacing w:line="480" w:lineRule="auto"/>
        <w:ind w:left="720" w:hanging="720"/>
      </w:pPr>
      <w:r>
        <w:rPr>
          <w:rFonts w:ascii="Times New Roman" w:hAnsi="Times New Roman"/>
          <w:b/>
          <w:sz w:val="24"/>
        </w:rPr>
        <w:t xml:space="preserve">RQ1: </w:t>
      </w:r>
      <w:r>
        <w:rPr>
          <w:rFonts w:ascii="Times New Roman" w:hAnsi="Times New Roman"/>
          <w:sz w:val="24"/>
        </w:rPr>
        <w:t>To what extent do the TAM/UTAUT structural paths (PE to ATT to BI; EE to ATT; SI to BI; FC to UB) hold in the meta-analytic pooled correlation matrix of AI adoption in higher education?</w:t>
      </w:r>
    </w:p>
    <w:p>
      <w:pPr>
        <w:spacing w:line="480" w:lineRule="auto"/>
        <w:ind w:left="720" w:hanging="720"/>
      </w:pPr>
      <w:r>
        <w:rPr>
          <w:rFonts w:ascii="Times New Roman" w:hAnsi="Times New Roman"/>
          <w:b/>
          <w:sz w:val="24"/>
        </w:rPr>
        <w:t xml:space="preserve">RQ2: </w:t>
      </w:r>
      <w:r>
        <w:rPr>
          <w:rFonts w:ascii="Times New Roman" w:hAnsi="Times New Roman"/>
          <w:sz w:val="24"/>
        </w:rPr>
        <w:t>Do AI-specific constructs (Trust in AI, AI Anxiety) provide statistically significant incremental explanatory power in Behavioral Intention (BI) beyond traditional acceptance factors (PE, EE, SI, ATT, SE)?</w:t>
      </w:r>
    </w:p>
    <w:p>
      <w:pPr>
        <w:spacing w:line="480" w:lineRule="auto"/>
        <w:ind w:left="720" w:hanging="720"/>
      </w:pPr>
      <w:r>
        <w:rPr>
          <w:rFonts w:ascii="Times New Roman" w:hAnsi="Times New Roman"/>
          <w:b/>
          <w:sz w:val="24"/>
        </w:rPr>
        <w:t xml:space="preserve">RQ3: </w:t>
      </w:r>
      <w:r>
        <w:rPr>
          <w:rFonts w:ascii="Times New Roman" w:hAnsi="Times New Roman"/>
          <w:sz w:val="24"/>
        </w:rPr>
        <w:t>Does Attitude (ATT) function as a significant mediator of the PE/EE to BI relationship, or is the direct PE/EE to BI path sufficient (as UTAUT claims)?</w:t>
      </w:r>
    </w:p>
    <w:p>
      <w:pPr>
        <w:spacing w:line="480" w:lineRule="auto"/>
        <w:ind w:left="720" w:hanging="720"/>
      </w:pPr>
      <w:r>
        <w:rPr>
          <w:rFonts w:ascii="Times New Roman" w:hAnsi="Times New Roman"/>
          <w:b/>
          <w:sz w:val="24"/>
        </w:rPr>
        <w:t xml:space="preserve">RQ4: </w:t>
      </w:r>
      <w:r>
        <w:rPr>
          <w:rFonts w:ascii="Times New Roman" w:hAnsi="Times New Roman"/>
          <w:sz w:val="24"/>
        </w:rPr>
        <w:t>How do publication year (pre/post-2023 generative AI era), cultural individualism (Hofstede IDV), education level (undergraduate vs. graduate), and AI tool type (LLM vs. non-LLM) moderate the structural relationships?</w:t>
      </w:r>
    </w:p>
    <w:p>
      <w:pPr>
        <w:spacing w:before="240" w:after="0" w:line="480" w:lineRule="auto"/>
        <w:jc w:val="center"/>
      </w:pPr>
      <w:r>
        <w:rPr>
          <w:rFonts w:ascii="Times New Roman" w:hAnsi="Times New Roman"/>
          <w:b/>
          <w:sz w:val="24"/>
        </w:rPr>
        <w:t>Method</w:t>
      </w:r>
    </w:p>
    <w:p>
      <w:pPr>
        <w:spacing w:before="240" w:after="0" w:line="480" w:lineRule="auto"/>
      </w:pPr>
      <w:r>
        <w:rPr>
          <w:rFonts w:ascii="Times New Roman" w:hAnsi="Times New Roman"/>
          <w:b/>
          <w:sz w:val="24"/>
        </w:rPr>
        <w:t>Literature Search and Screening</w:t>
      </w:r>
    </w:p>
    <w:p>
      <w:pPr>
        <w:spacing w:line="480" w:lineRule="auto" w:after="0"/>
        <w:ind w:firstLine="720"/>
      </w:pPr>
      <w:r>
        <w:rPr>
          <w:rFonts w:ascii="Times New Roman" w:hAnsi="Times New Roman"/>
          <w:sz w:val="24"/>
        </w:rPr>
        <w:t>A systematic literature search was conducted across four databases: Web of Science, Scopus, PsycINFO (via ProQuest), and IEEE Xplore. The search yielded 22,166 records, reduced to 16,189 after deduplication. A three-tier AI-assisted screening protocol was applied: Phase 1 (keyword filtering: 16,189 to 3,274), Phase 2 (dual-model AI screening using Gemini 2.5-Flash and Claude Sonnet 4.6 with consensus validation), and Phase 3 (human verification with four coders). The final corpus comprises 224 studies meeting all inclusion criteria.</w:t>
      </w:r>
    </w:p>
    <w:p>
      <w:pPr>
        <w:spacing w:before="240" w:after="0" w:line="480" w:lineRule="auto"/>
      </w:pPr>
      <w:r>
        <w:rPr>
          <w:rFonts w:ascii="Times New Roman" w:hAnsi="Times New Roman"/>
          <w:b/>
          <w:sz w:val="24"/>
        </w:rPr>
        <w:t>Inclusion and Exclusion Criteria</w:t>
      </w:r>
    </w:p>
    <w:p>
      <w:pPr>
        <w:spacing w:line="480" w:lineRule="auto" w:after="0"/>
        <w:ind w:firstLine="720"/>
      </w:pPr>
      <w:r>
        <w:rPr>
          <w:rFonts w:ascii="Times New Roman" w:hAnsi="Times New Roman"/>
          <w:sz w:val="24"/>
        </w:rPr>
        <w:t>Studies were included if they: (a) examined AI technology adoption, acceptance, or use in higher education settings; (b) reported quantitative data using structural equation modeling, path analysis, or multiple regression with at least two constructs from the 10-construct framework; (c) reported a correlation matrix, Fornell-Larcker table, HTMT table, or sufficient statistics to derive inter-construct correlations; (d) sampled undergraduate students, graduate students, or instructors/faculty; and (e) were published between 2015 and 2025. Studies were excluded if they: (a) focused on K-12 or workplace settings exclusively; (b) measured only behavioral outcomes without latent constructs; or (c) reported only qualitative data.</w:t>
      </w:r>
    </w:p>
    <w:p>
      <w:pPr>
        <w:spacing w:before="240" w:after="0" w:line="480" w:lineRule="auto"/>
      </w:pPr>
      <w:r>
        <w:rPr>
          <w:rFonts w:ascii="Times New Roman" w:hAnsi="Times New Roman"/>
          <w:b/>
          <w:sz w:val="24"/>
        </w:rPr>
        <w:t>Data Extraction</w:t>
      </w:r>
    </w:p>
    <w:p>
      <w:pPr>
        <w:spacing w:line="480" w:lineRule="auto" w:after="0"/>
        <w:ind w:firstLine="720"/>
      </w:pPr>
      <w:r>
        <w:rPr>
          <w:rFonts w:ascii="Times New Roman" w:hAnsi="Times New Roman"/>
          <w:sz w:val="24"/>
        </w:rPr>
        <w:t>Data extraction follows a hybrid AI-human pipeline. Three LLM models (Claude Sonnet 4.6, Gemini 2.5, Codex) independently extract bibliographic metadata, correlation matrices, construct operationalizations, and moderator variables from each PDF. A multi-model consensus algorithm identifies convergent extractions (adopted when all three models agree) and flags divergent cases for human adjudication. Four human coders (R1-R4) independently verify a stratified 20% subsample for inter-coder reliability (target: Cohen's kappa &gt;= .85).</w:t>
      </w:r>
    </w:p>
    <w:p>
      <w:pPr>
        <w:spacing w:before="240" w:after="0" w:line="480" w:lineRule="auto"/>
      </w:pPr>
      <w:r>
        <w:rPr>
          <w:rFonts w:ascii="Times New Roman" w:hAnsi="Times New Roman"/>
          <w:b/>
          <w:sz w:val="24"/>
        </w:rPr>
        <w:t>Analytic Strategy</w:t>
      </w:r>
    </w:p>
    <w:p>
      <w:pPr>
        <w:spacing w:line="480" w:lineRule="auto" w:after="0"/>
        <w:ind w:firstLine="720"/>
      </w:pPr>
      <w:r>
        <w:rPr>
          <w:rFonts w:ascii="Times New Roman" w:hAnsi="Times New Roman"/>
          <w:sz w:val="24"/>
        </w:rPr>
        <w:t>The primary analysis uses Cheung's (2015) two-stage MASEM (TSSEM) implemented in the metaSEM R package. Stage 1 pools study-level correlation matrices into a single 10 x 10 positive-definite matrix using multivariate random-effects estimation with full information maximum likelihood (FIML) for missing cells. Stage 2 fits the hypothesized structural model to the pooled matrix using weighted least squares (WLS). Model fit is evaluated using CFI (&gt;= .95), RMSEA (&lt;= .06), and SRMR (&lt;= .08). Competing structural specifications are compared using AIC and chi-square difference tests.</w:t>
      </w:r>
    </w:p>
    <w:p>
      <w:pPr>
        <w:spacing w:line="480" w:lineRule="auto" w:after="0"/>
        <w:ind w:firstLine="720"/>
      </w:pPr>
      <w:r>
        <w:rPr>
          <w:rFonts w:ascii="Times New Roman" w:hAnsi="Times New Roman"/>
          <w:sz w:val="24"/>
        </w:rPr>
        <w:t>Moderator analyses employ one-stage MASEM (OSMASEM; Jak &amp; Cheung, 2020) with study-level covariates (publication year, Hofstede individualism score, education level, AI tool type) entered as level-2 predictors of structural path coefficients. Sensitivity analyses include: (a) excluding studies with only beta-to-r converted correlations, (b) ridge correction for positive-definiteness assessment, and (c) leave-one-out influence diagnostics.</w:t>
      </w:r>
    </w:p>
    <w:p>
      <w:pPr>
        <w:spacing w:before="240" w:after="0" w:line="480" w:lineRule="auto"/>
        <w:jc w:val="center"/>
      </w:pPr>
      <w:r>
        <w:rPr>
          <w:rFonts w:ascii="Times New Roman" w:hAnsi="Times New Roman"/>
          <w:b/>
          <w:sz w:val="24"/>
        </w:rPr>
        <w:t>Expected Contributions</w:t>
      </w:r>
    </w:p>
    <w:p>
      <w:pPr>
        <w:spacing w:line="480" w:lineRule="auto"/>
        <w:ind w:firstLine="720"/>
      </w:pPr>
      <w:r>
        <w:rPr>
          <w:rFonts w:ascii="Times New Roman" w:hAnsi="Times New Roman"/>
          <w:b/>
          <w:i/>
          <w:sz w:val="24"/>
        </w:rPr>
        <w:t xml:space="preserve">Theoretical. </w:t>
      </w:r>
      <w:r>
        <w:rPr>
          <w:rFonts w:ascii="Times New Roman" w:hAnsi="Times New Roman"/>
          <w:sz w:val="24"/>
        </w:rPr>
        <w:t>First MASEM to integrate traditional TAM/UTAUT constructs with AI-specific psychological factors (Trust, Anxiety) in a single structural model for higher education. Empirically adjudicates the contested role of Attitude (ATT) as mediator in AI adoption contexts, addressing UTAUT's parsimony decision.</w:t>
      </w:r>
    </w:p>
    <w:p>
      <w:pPr>
        <w:spacing w:line="480" w:lineRule="auto"/>
        <w:ind w:firstLine="720"/>
      </w:pPr>
      <w:r>
        <w:rPr>
          <w:rFonts w:ascii="Times New Roman" w:hAnsi="Times New Roman"/>
          <w:b/>
          <w:i/>
          <w:sz w:val="24"/>
        </w:rPr>
        <w:t xml:space="preserve">Methodological. </w:t>
      </w:r>
      <w:r>
        <w:rPr>
          <w:rFonts w:ascii="Times New Roman" w:hAnsi="Times New Roman"/>
          <w:sz w:val="24"/>
        </w:rPr>
        <w:t>Demonstrates the inductive-deductive dialectic approach to construct selection in MASEM, where the construct set is derived from full-text corpus analysis rather than imposed from a single framework. Provides a reproducible AI-assisted screening and extraction pipeline for large-scale meta-analysis.</w:t>
      </w:r>
    </w:p>
    <w:p>
      <w:pPr>
        <w:spacing w:line="480" w:lineRule="auto"/>
        <w:ind w:firstLine="720"/>
      </w:pPr>
      <w:r>
        <w:rPr>
          <w:rFonts w:ascii="Times New Roman" w:hAnsi="Times New Roman"/>
          <w:b/>
          <w:i/>
          <w:sz w:val="24"/>
        </w:rPr>
        <w:t xml:space="preserve">Practical. </w:t>
      </w:r>
      <w:r>
        <w:rPr>
          <w:rFonts w:ascii="Times New Roman" w:hAnsi="Times New Roman"/>
          <w:sz w:val="24"/>
        </w:rPr>
        <w:t>Evidence-based recommendations for institutional AI adoption strategy in higher education. Identifies which psychological levers (trust-building, anxiety reduction, perceived usefulness communication) most strongly predict adoption intention, differentiated by user role (student vs. instructor), AI tool type, and cultural context.</w:t>
      </w:r>
    </w:p>
    <w:p>
      <w:pPr>
        <w:spacing w:before="240" w:after="0" w:line="480" w:lineRule="auto"/>
        <w:jc w:val="center"/>
      </w:pPr>
      <w:r>
        <w:rPr>
          <w:rFonts w:ascii="Times New Roman" w:hAnsi="Times New Roman"/>
          <w:b/>
          <w:sz w:val="24"/>
        </w:rPr>
        <w:t>Target Audience and Venue Characteristics</w:t>
      </w:r>
    </w:p>
    <w:p>
      <w:pPr>
        <w:spacing w:line="480" w:lineRule="auto" w:after="0"/>
      </w:pPr>
      <w:r>
        <w:rPr>
          <w:rFonts w:ascii="Times New Roman" w:hAnsi="Times New Roman"/>
          <w:sz w:val="24"/>
        </w:rPr>
        <w:t>This paper targets journals and conferences at the intersection of educational technology, information systems, and higher education research. Ideal venues should have published: (a) meta-analyses or systematic reviews of technology acceptance, (b) MASEM or SEM-based quantitative synthesis studies, and/or (c) empirical research on AI in education. The study's scope (224 studies, 10 constructs, MASEM methodology) positions it for high-impact outlets.</w:t>
      </w:r>
    </w:p>
    <w:p>
      <w:pPr>
        <w:spacing w:before="240" w:after="0" w:line="480" w:lineRule="auto"/>
      </w:pPr>
      <w:r>
        <w:rPr>
          <w:rFonts w:ascii="Times New Roman" w:hAnsi="Times New Roman"/>
          <w:b/>
          <w:sz w:val="24"/>
        </w:rPr>
        <w:t>Table 2</w:t>
      </w:r>
    </w:p>
    <w:p>
      <w:pPr>
        <w:spacing w:before="0" w:after="120" w:line="480" w:lineRule="auto"/>
      </w:pPr>
      <w:r>
        <w:rPr>
          <w:rFonts w:ascii="Times New Roman" w:hAnsi="Times New Roman"/>
          <w:i/>
          <w:sz w:val="24"/>
        </w:rPr>
        <w:t>Venue Selection Criteria for Paper A</w:t>
      </w:r>
    </w:p>
    <w:tbl>
      <w:tblPr>
        <w:tblW w:type="auto" w:w="0"/>
        <w:jc w:val="left"/>
        <w:tblLook w:firstColumn="1" w:firstRow="1" w:lastColumn="0" w:lastRow="0" w:noHBand="0" w:noVBand="1" w:val="04A0"/>
        <w:tblBorders>
          <w:top w:val="nil" w:sz="8" w:color="000000" w:space="0"/>
          <w:bottom w:val="nil" w:sz="8" w:color="000000" w:space="0"/>
          <w:left w:val="nil" w:sz="8" w:color="000000" w:space="0"/>
          <w:right w:val="nil" w:sz="8" w:color="000000" w:space="0"/>
          <w:insideH w:val="nil" w:sz="8" w:color="000000" w:space="0"/>
          <w:insideV w:val="nil" w:sz="8" w:color="000000" w:space="0"/>
        </w:tblBorders>
      </w:tblPr>
      <w:tblGrid>
        <w:gridCol w:w="4680"/>
        <w:gridCol w:w="4680"/>
      </w:tblGrid>
      <w:tr>
        <w:tc>
          <w:tcPr>
            <w:tcW w:type="dxa" w:w="4680"/>
            <w:tcBorders>
              <w:top w:val="single" w:sz="12" w:color="000000" w:space="0"/>
              <w:bottom w:val="single" w:sz="8" w:color="000000" w:space="0"/>
              <w:left w:val="nil" w:sz="8" w:color="000000" w:space="0"/>
              <w:right w:val="nil" w:sz="8" w:color="000000" w:space="0"/>
            </w:tcBorders>
          </w:tcPr>
          <w:p>
            <w:pPr>
              <w:spacing w:before="40" w:after="40" w:line="276" w:lineRule="auto"/>
            </w:pPr>
            <w:r>
              <w:rPr>
                <w:rFonts w:ascii="Times New Roman" w:hAnsi="Times New Roman"/>
                <w:b/>
                <w:sz w:val="22"/>
              </w:rPr>
              <w:t>Criterion</w:t>
            </w:r>
          </w:p>
        </w:tc>
        <w:tc>
          <w:tcPr>
            <w:tcW w:type="dxa" w:w="4680"/>
            <w:tcBorders>
              <w:top w:val="single" w:sz="12" w:color="000000" w:space="0"/>
              <w:bottom w:val="single" w:sz="8" w:color="000000" w:space="0"/>
              <w:left w:val="nil" w:sz="8" w:color="000000" w:space="0"/>
              <w:right w:val="nil" w:sz="8" w:color="000000" w:space="0"/>
            </w:tcBorders>
          </w:tcPr>
          <w:p>
            <w:pPr>
              <w:spacing w:before="40" w:after="40" w:line="276" w:lineRule="auto"/>
            </w:pPr>
            <w:r>
              <w:rPr>
                <w:rFonts w:ascii="Times New Roman" w:hAnsi="Times New Roman"/>
                <w:b/>
                <w:sz w:val="22"/>
              </w:rPr>
              <w:t>Description</w:t>
            </w:r>
          </w:p>
        </w:tc>
      </w:tr>
      <w:tr>
        <w:tc>
          <w:tcPr>
            <w:tcW w:type="dxa" w:w="4680"/>
            <w:tcBorders>
              <w:top w:val="nil" w:sz="8" w:color="000000" w:space="0"/>
              <w:bottom w:val="nil" w:sz="8" w:color="000000" w:space="0"/>
              <w:left w:val="nil" w:sz="8" w:color="000000" w:space="0"/>
              <w:right w:val="nil" w:sz="8" w:color="000000" w:space="0"/>
            </w:tcBorders>
          </w:tcPr>
          <w:p>
            <w:pPr>
              <w:spacing w:before="20" w:after="20" w:line="276" w:lineRule="auto"/>
            </w:pPr>
            <w:r>
              <w:rPr>
                <w:rFonts w:ascii="Times New Roman" w:hAnsi="Times New Roman"/>
                <w:sz w:val="22"/>
              </w:rPr>
              <w:t>Methodology</w:t>
            </w:r>
          </w:p>
        </w:tc>
        <w:tc>
          <w:tcPr>
            <w:tcW w:type="dxa" w:w="4680"/>
            <w:tcBorders>
              <w:top w:val="nil" w:sz="8" w:color="000000" w:space="0"/>
              <w:bottom w:val="nil" w:sz="8" w:color="000000" w:space="0"/>
              <w:left w:val="nil" w:sz="8" w:color="000000" w:space="0"/>
              <w:right w:val="nil" w:sz="8" w:color="000000" w:space="0"/>
            </w:tcBorders>
          </w:tcPr>
          <w:p>
            <w:pPr>
              <w:spacing w:before="20" w:after="20" w:line="276" w:lineRule="auto"/>
            </w:pPr>
            <w:r>
              <w:rPr>
                <w:rFonts w:ascii="Times New Roman" w:hAnsi="Times New Roman"/>
                <w:sz w:val="22"/>
              </w:rPr>
              <w:t>Accepts quantitative meta-analyses with structural equation modeling</w:t>
            </w:r>
          </w:p>
        </w:tc>
      </w:tr>
      <w:tr>
        <w:tc>
          <w:tcPr>
            <w:tcW w:type="dxa" w:w="4680"/>
            <w:tcBorders>
              <w:top w:val="nil" w:sz="8" w:color="000000" w:space="0"/>
              <w:bottom w:val="nil" w:sz="8" w:color="000000" w:space="0"/>
              <w:left w:val="nil" w:sz="8" w:color="000000" w:space="0"/>
              <w:right w:val="nil" w:sz="8" w:color="000000" w:space="0"/>
            </w:tcBorders>
          </w:tcPr>
          <w:p>
            <w:pPr>
              <w:spacing w:before="20" w:after="20" w:line="276" w:lineRule="auto"/>
            </w:pPr>
            <w:r>
              <w:rPr>
                <w:rFonts w:ascii="Times New Roman" w:hAnsi="Times New Roman"/>
                <w:sz w:val="22"/>
              </w:rPr>
              <w:t>Readership</w:t>
            </w:r>
          </w:p>
        </w:tc>
        <w:tc>
          <w:tcPr>
            <w:tcW w:type="dxa" w:w="4680"/>
            <w:tcBorders>
              <w:top w:val="nil" w:sz="8" w:color="000000" w:space="0"/>
              <w:bottom w:val="nil" w:sz="8" w:color="000000" w:space="0"/>
              <w:left w:val="nil" w:sz="8" w:color="000000" w:space="0"/>
              <w:right w:val="nil" w:sz="8" w:color="000000" w:space="0"/>
            </w:tcBorders>
          </w:tcPr>
          <w:p>
            <w:pPr>
              <w:spacing w:before="20" w:after="20" w:line="276" w:lineRule="auto"/>
            </w:pPr>
            <w:r>
              <w:rPr>
                <w:rFonts w:ascii="Times New Roman" w:hAnsi="Times New Roman"/>
                <w:sz w:val="22"/>
              </w:rPr>
              <w:t>Educational technology researchers and practitioners</w:t>
            </w:r>
          </w:p>
        </w:tc>
      </w:tr>
      <w:tr>
        <w:tc>
          <w:tcPr>
            <w:tcW w:type="dxa" w:w="4680"/>
            <w:tcBorders>
              <w:top w:val="nil" w:sz="8" w:color="000000" w:space="0"/>
              <w:bottom w:val="nil" w:sz="8" w:color="000000" w:space="0"/>
              <w:left w:val="nil" w:sz="8" w:color="000000" w:space="0"/>
              <w:right w:val="nil" w:sz="8" w:color="000000" w:space="0"/>
            </w:tcBorders>
          </w:tcPr>
          <w:p>
            <w:pPr>
              <w:spacing w:before="20" w:after="20" w:line="276" w:lineRule="auto"/>
            </w:pPr>
            <w:r>
              <w:rPr>
                <w:rFonts w:ascii="Times New Roman" w:hAnsi="Times New Roman"/>
                <w:sz w:val="22"/>
              </w:rPr>
              <w:t>Scope</w:t>
            </w:r>
          </w:p>
        </w:tc>
        <w:tc>
          <w:tcPr>
            <w:tcW w:type="dxa" w:w="4680"/>
            <w:tcBorders>
              <w:top w:val="nil" w:sz="8" w:color="000000" w:space="0"/>
              <w:bottom w:val="nil" w:sz="8" w:color="000000" w:space="0"/>
              <w:left w:val="nil" w:sz="8" w:color="000000" w:space="0"/>
              <w:right w:val="nil" w:sz="8" w:color="000000" w:space="0"/>
            </w:tcBorders>
          </w:tcPr>
          <w:p>
            <w:pPr>
              <w:spacing w:before="20" w:after="20" w:line="276" w:lineRule="auto"/>
            </w:pPr>
            <w:r>
              <w:rPr>
                <w:rFonts w:ascii="Times New Roman" w:hAnsi="Times New Roman"/>
                <w:sz w:val="22"/>
              </w:rPr>
              <w:t>AI/technology adoption in educational contexts</w:t>
            </w:r>
          </w:p>
        </w:tc>
      </w:tr>
      <w:tr>
        <w:tc>
          <w:tcPr>
            <w:tcW w:type="dxa" w:w="4680"/>
            <w:tcBorders>
              <w:top w:val="nil" w:sz="8" w:color="000000" w:space="0"/>
              <w:bottom w:val="nil" w:sz="8" w:color="000000" w:space="0"/>
              <w:left w:val="nil" w:sz="8" w:color="000000" w:space="0"/>
              <w:right w:val="nil" w:sz="8" w:color="000000" w:space="0"/>
            </w:tcBorders>
          </w:tcPr>
          <w:p>
            <w:pPr>
              <w:spacing w:before="20" w:after="20" w:line="276" w:lineRule="auto"/>
            </w:pPr>
            <w:r>
              <w:rPr>
                <w:rFonts w:ascii="Times New Roman" w:hAnsi="Times New Roman"/>
                <w:sz w:val="22"/>
              </w:rPr>
              <w:t>Length</w:t>
            </w:r>
          </w:p>
        </w:tc>
        <w:tc>
          <w:tcPr>
            <w:tcW w:type="dxa" w:w="4680"/>
            <w:tcBorders>
              <w:top w:val="nil" w:sz="8" w:color="000000" w:space="0"/>
              <w:bottom w:val="nil" w:sz="8" w:color="000000" w:space="0"/>
              <w:left w:val="nil" w:sz="8" w:color="000000" w:space="0"/>
              <w:right w:val="nil" w:sz="8" w:color="000000" w:space="0"/>
            </w:tcBorders>
          </w:tcPr>
          <w:p>
            <w:pPr>
              <w:spacing w:before="20" w:after="20" w:line="276" w:lineRule="auto"/>
            </w:pPr>
            <w:r>
              <w:rPr>
                <w:rFonts w:ascii="Times New Roman" w:hAnsi="Times New Roman"/>
                <w:sz w:val="22"/>
              </w:rPr>
              <w:t>8,000-12,000 words (method-heavy, with supplementary materials)</w:t>
            </w:r>
          </w:p>
        </w:tc>
      </w:tr>
      <w:tr>
        <w:tc>
          <w:tcPr>
            <w:tcW w:type="dxa" w:w="4680"/>
            <w:tcBorders>
              <w:top w:val="nil" w:sz="8" w:color="000000" w:space="0"/>
              <w:bottom w:val="nil" w:sz="8" w:color="000000" w:space="0"/>
              <w:left w:val="nil" w:sz="8" w:color="000000" w:space="0"/>
              <w:right w:val="nil" w:sz="8" w:color="000000" w:space="0"/>
            </w:tcBorders>
          </w:tcPr>
          <w:p>
            <w:pPr>
              <w:spacing w:before="20" w:after="20" w:line="276" w:lineRule="auto"/>
            </w:pPr>
            <w:r>
              <w:rPr>
                <w:rFonts w:ascii="Times New Roman" w:hAnsi="Times New Roman"/>
                <w:sz w:val="22"/>
              </w:rPr>
              <w:t>Impact</w:t>
            </w:r>
          </w:p>
        </w:tc>
        <w:tc>
          <w:tcPr>
            <w:tcW w:type="dxa" w:w="4680"/>
            <w:tcBorders>
              <w:top w:val="nil" w:sz="8" w:color="000000" w:space="0"/>
              <w:bottom w:val="nil" w:sz="8" w:color="000000" w:space="0"/>
              <w:left w:val="nil" w:sz="8" w:color="000000" w:space="0"/>
              <w:right w:val="nil" w:sz="8" w:color="000000" w:space="0"/>
            </w:tcBorders>
          </w:tcPr>
          <w:p>
            <w:pPr>
              <w:spacing w:before="20" w:after="20" w:line="276" w:lineRule="auto"/>
            </w:pPr>
            <w:r>
              <w:rPr>
                <w:rFonts w:ascii="Times New Roman" w:hAnsi="Times New Roman"/>
                <w:sz w:val="22"/>
              </w:rPr>
              <w:t>Impact Factor &gt;= 4.0 preferred</w:t>
            </w:r>
          </w:p>
        </w:tc>
      </w:tr>
      <w:tr>
        <w:tc>
          <w:tcPr>
            <w:tcW w:type="dxa" w:w="4680"/>
            <w:tcBorders>
              <w:top w:val="nil" w:sz="8" w:color="000000" w:space="0"/>
              <w:bottom w:val="single" w:sz="12" w:color="000000" w:space="0"/>
              <w:left w:val="nil" w:sz="8" w:color="000000" w:space="0"/>
              <w:right w:val="nil" w:sz="8" w:color="000000" w:space="0"/>
            </w:tcBorders>
          </w:tcPr>
          <w:p>
            <w:pPr>
              <w:spacing w:before="20" w:after="20" w:line="276" w:lineRule="auto"/>
            </w:pPr>
            <w:r>
              <w:rPr>
                <w:rFonts w:ascii="Times New Roman" w:hAnsi="Times New Roman"/>
                <w:sz w:val="22"/>
              </w:rPr>
              <w:t>Turnaround</w:t>
            </w:r>
          </w:p>
        </w:tc>
        <w:tc>
          <w:tcPr>
            <w:tcW w:type="dxa" w:w="4680"/>
            <w:tcBorders>
              <w:top w:val="nil" w:sz="8" w:color="000000" w:space="0"/>
              <w:bottom w:val="single" w:sz="12" w:color="000000" w:space="0"/>
              <w:left w:val="nil" w:sz="8" w:color="000000" w:space="0"/>
              <w:right w:val="nil" w:sz="8" w:color="000000" w:space="0"/>
            </w:tcBorders>
          </w:tcPr>
          <w:p>
            <w:pPr>
              <w:spacing w:before="20" w:after="20" w:line="276" w:lineRule="auto"/>
            </w:pPr>
            <w:r>
              <w:rPr>
                <w:rFonts w:ascii="Times New Roman" w:hAnsi="Times New Roman"/>
                <w:sz w:val="22"/>
              </w:rPr>
              <w:t>Initial decision within 60-90 days preferred</w:t>
            </w:r>
          </w:p>
        </w:tc>
      </w:tr>
    </w:tbl>
    <w:p>
      <w:pPr>
        <w:spacing w:before="240" w:after="0" w:line="480" w:lineRule="auto"/>
      </w:pPr>
      <w:r>
        <w:rPr>
          <w:rFonts w:ascii="Times New Roman" w:hAnsi="Times New Roman"/>
          <w:b/>
          <w:sz w:val="24"/>
        </w:rPr>
        <w:t>Suggested Search Terms for Venue Identification</w:t>
      </w:r>
    </w:p>
    <w:p>
      <w:pPr>
        <w:spacing w:line="480" w:lineRule="auto"/>
        <w:ind w:left="720"/>
      </w:pPr>
      <w:r>
        <w:rPr>
          <w:rFonts w:ascii="Times New Roman" w:hAnsi="Times New Roman"/>
          <w:i/>
          <w:sz w:val="22"/>
        </w:rPr>
        <w:t>"meta-analysis AND (technology acceptance OR technology adoption) AND education"</w:t>
      </w:r>
    </w:p>
    <w:p>
      <w:pPr>
        <w:spacing w:line="480" w:lineRule="auto"/>
        <w:ind w:left="720"/>
      </w:pPr>
      <w:r>
        <w:rPr>
          <w:rFonts w:ascii="Times New Roman" w:hAnsi="Times New Roman"/>
          <w:i/>
          <w:sz w:val="22"/>
        </w:rPr>
        <w:t>"MASEM OR meta-analytic structural equation modeling"</w:t>
      </w:r>
    </w:p>
    <w:p>
      <w:pPr>
        <w:spacing w:line="480" w:lineRule="auto"/>
        <w:ind w:left="720"/>
      </w:pPr>
      <w:r>
        <w:rPr>
          <w:rFonts w:ascii="Times New Roman" w:hAnsi="Times New Roman"/>
          <w:i/>
          <w:sz w:val="22"/>
        </w:rPr>
        <w:t>"artificial intelligence AND higher education AND acceptance"</w:t>
      </w:r>
    </w:p>
    <w:p>
      <w:pPr>
        <w:spacing w:line="480" w:lineRule="auto"/>
        <w:ind w:left="720"/>
      </w:pPr>
      <w:r>
        <w:rPr>
          <w:rFonts w:ascii="Times New Roman" w:hAnsi="Times New Roman"/>
          <w:i/>
          <w:sz w:val="22"/>
        </w:rPr>
        <w:t>"UTAUT OR TAM AND meta-analysis"</w:t>
      </w:r>
    </w:p>
    <w:p>
      <w:pPr>
        <w:spacing w:line="480" w:lineRule="auto"/>
        <w:ind w:left="720"/>
      </w:pPr>
      <w:r>
        <w:rPr>
          <w:rFonts w:ascii="Times New Roman" w:hAnsi="Times New Roman"/>
          <w:i/>
          <w:sz w:val="22"/>
        </w:rPr>
        <w:t>"trust AND AI AND adoption"</w:t>
      </w:r>
    </w:p>
    <w:p>
      <w:pPr>
        <w:spacing w:before="240" w:after="0" w:line="480" w:lineRule="auto"/>
        <w:jc w:val="center"/>
      </w:pPr>
      <w:r>
        <w:rPr>
          <w:rFonts w:ascii="Times New Roman" w:hAnsi="Times New Roman"/>
          <w:b/>
          <w:sz w:val="24"/>
        </w:rPr>
        <w:t>Key Numbers at a Glance</w:t>
      </w:r>
    </w:p>
    <w:p>
      <w:pPr>
        <w:spacing w:before="240" w:after="0" w:line="480" w:lineRule="auto"/>
      </w:pPr>
      <w:r>
        <w:rPr>
          <w:rFonts w:ascii="Times New Roman" w:hAnsi="Times New Roman"/>
          <w:b/>
          <w:sz w:val="24"/>
        </w:rPr>
        <w:t>Table 3</w:t>
      </w:r>
    </w:p>
    <w:p>
      <w:pPr>
        <w:spacing w:before="0" w:after="120" w:line="480" w:lineRule="auto"/>
      </w:pPr>
      <w:r>
        <w:rPr>
          <w:rFonts w:ascii="Times New Roman" w:hAnsi="Times New Roman"/>
          <w:i/>
          <w:sz w:val="24"/>
        </w:rPr>
        <w:t>Summary of Key Parameters</w:t>
      </w:r>
    </w:p>
    <w:tbl>
      <w:tblPr>
        <w:tblW w:type="auto" w:w="0"/>
        <w:jc w:val="left"/>
        <w:tblLook w:firstColumn="1" w:firstRow="1" w:lastColumn="0" w:lastRow="0" w:noHBand="0" w:noVBand="1" w:val="04A0"/>
        <w:tblBorders>
          <w:top w:val="nil" w:sz="8" w:color="000000" w:space="0"/>
          <w:bottom w:val="nil" w:sz="8" w:color="000000" w:space="0"/>
          <w:left w:val="nil" w:sz="8" w:color="000000" w:space="0"/>
          <w:right w:val="nil" w:sz="8" w:color="000000" w:space="0"/>
          <w:insideH w:val="nil" w:sz="8" w:color="000000" w:space="0"/>
          <w:insideV w:val="nil" w:sz="8" w:color="000000" w:space="0"/>
        </w:tblBorders>
      </w:tblPr>
      <w:tblGrid>
        <w:gridCol w:w="4680"/>
        <w:gridCol w:w="4680"/>
      </w:tblGrid>
      <w:tr>
        <w:tc>
          <w:tcPr>
            <w:tcW w:type="dxa" w:w="4680"/>
            <w:tcBorders>
              <w:top w:val="single" w:sz="12" w:color="000000" w:space="0"/>
              <w:bottom w:val="single" w:sz="8" w:color="000000" w:space="0"/>
              <w:left w:val="nil" w:sz="8" w:color="000000" w:space="0"/>
              <w:right w:val="nil" w:sz="8" w:color="000000" w:space="0"/>
            </w:tcBorders>
          </w:tcPr>
          <w:p>
            <w:pPr>
              <w:spacing w:before="40" w:after="40" w:line="276" w:lineRule="auto"/>
            </w:pPr>
            <w:r>
              <w:rPr>
                <w:rFonts w:ascii="Times New Roman" w:hAnsi="Times New Roman"/>
                <w:b/>
                <w:sz w:val="22"/>
              </w:rPr>
              <w:t>Parameter</w:t>
            </w:r>
          </w:p>
        </w:tc>
        <w:tc>
          <w:tcPr>
            <w:tcW w:type="dxa" w:w="4680"/>
            <w:tcBorders>
              <w:top w:val="single" w:sz="12" w:color="000000" w:space="0"/>
              <w:bottom w:val="single" w:sz="8" w:color="000000" w:space="0"/>
              <w:left w:val="nil" w:sz="8" w:color="000000" w:space="0"/>
              <w:right w:val="nil" w:sz="8" w:color="000000" w:space="0"/>
            </w:tcBorders>
          </w:tcPr>
          <w:p>
            <w:pPr>
              <w:spacing w:before="40" w:after="40" w:line="276" w:lineRule="auto"/>
            </w:pPr>
            <w:r>
              <w:rPr>
                <w:rFonts w:ascii="Times New Roman" w:hAnsi="Times New Roman"/>
                <w:b/>
                <w:sz w:val="22"/>
              </w:rPr>
              <w:t>Value</w:t>
            </w:r>
          </w:p>
        </w:tc>
      </w:tr>
      <w:tr>
        <w:tc>
          <w:tcPr>
            <w:tcW w:type="dxa" w:w="4680"/>
            <w:tcBorders>
              <w:top w:val="nil" w:sz="8" w:color="000000" w:space="0"/>
              <w:bottom w:val="nil" w:sz="8" w:color="000000" w:space="0"/>
              <w:left w:val="nil" w:sz="8" w:color="000000" w:space="0"/>
              <w:right w:val="nil" w:sz="8" w:color="000000" w:space="0"/>
            </w:tcBorders>
          </w:tcPr>
          <w:p>
            <w:pPr>
              <w:spacing w:before="20" w:after="20" w:line="276" w:lineRule="auto"/>
            </w:pPr>
            <w:r>
              <w:rPr>
                <w:rFonts w:ascii="Times New Roman" w:hAnsi="Times New Roman"/>
                <w:sz w:val="22"/>
              </w:rPr>
              <w:t>Total corpus</w:t>
            </w:r>
          </w:p>
        </w:tc>
        <w:tc>
          <w:tcPr>
            <w:tcW w:type="dxa" w:w="4680"/>
            <w:tcBorders>
              <w:top w:val="nil" w:sz="8" w:color="000000" w:space="0"/>
              <w:bottom w:val="nil" w:sz="8" w:color="000000" w:space="0"/>
              <w:left w:val="nil" w:sz="8" w:color="000000" w:space="0"/>
              <w:right w:val="nil" w:sz="8" w:color="000000" w:space="0"/>
            </w:tcBorders>
          </w:tcPr>
          <w:p>
            <w:pPr>
              <w:spacing w:before="20" w:after="20" w:line="276" w:lineRule="auto"/>
            </w:pPr>
            <w:r>
              <w:rPr>
                <w:rFonts w:ascii="Times New Roman" w:hAnsi="Times New Roman"/>
                <w:sz w:val="22"/>
              </w:rPr>
              <w:t>N = 224 studies (2015-2025)</w:t>
            </w:r>
          </w:p>
        </w:tc>
      </w:tr>
      <w:tr>
        <w:tc>
          <w:tcPr>
            <w:tcW w:type="dxa" w:w="4680"/>
            <w:tcBorders>
              <w:top w:val="nil" w:sz="8" w:color="000000" w:space="0"/>
              <w:bottom w:val="nil" w:sz="8" w:color="000000" w:space="0"/>
              <w:left w:val="nil" w:sz="8" w:color="000000" w:space="0"/>
              <w:right w:val="nil" w:sz="8" w:color="000000" w:space="0"/>
            </w:tcBorders>
          </w:tcPr>
          <w:p>
            <w:pPr>
              <w:spacing w:before="20" w:after="20" w:line="276" w:lineRule="auto"/>
            </w:pPr>
            <w:r>
              <w:rPr>
                <w:rFonts w:ascii="Times New Roman" w:hAnsi="Times New Roman"/>
                <w:sz w:val="22"/>
              </w:rPr>
              <w:t>Initial search yield</w:t>
            </w:r>
          </w:p>
        </w:tc>
        <w:tc>
          <w:tcPr>
            <w:tcW w:type="dxa" w:w="4680"/>
            <w:tcBorders>
              <w:top w:val="nil" w:sz="8" w:color="000000" w:space="0"/>
              <w:bottom w:val="nil" w:sz="8" w:color="000000" w:space="0"/>
              <w:left w:val="nil" w:sz="8" w:color="000000" w:space="0"/>
              <w:right w:val="nil" w:sz="8" w:color="000000" w:space="0"/>
            </w:tcBorders>
          </w:tcPr>
          <w:p>
            <w:pPr>
              <w:spacing w:before="20" w:after="20" w:line="276" w:lineRule="auto"/>
            </w:pPr>
            <w:r>
              <w:rPr>
                <w:rFonts w:ascii="Times New Roman" w:hAnsi="Times New Roman"/>
                <w:sz w:val="22"/>
              </w:rPr>
              <w:t>22,166 records from 4 databases</w:t>
            </w:r>
          </w:p>
        </w:tc>
      </w:tr>
      <w:tr>
        <w:tc>
          <w:tcPr>
            <w:tcW w:type="dxa" w:w="4680"/>
            <w:tcBorders>
              <w:top w:val="nil" w:sz="8" w:color="000000" w:space="0"/>
              <w:bottom w:val="nil" w:sz="8" w:color="000000" w:space="0"/>
              <w:left w:val="nil" w:sz="8" w:color="000000" w:space="0"/>
              <w:right w:val="nil" w:sz="8" w:color="000000" w:space="0"/>
            </w:tcBorders>
          </w:tcPr>
          <w:p>
            <w:pPr>
              <w:spacing w:before="20" w:after="20" w:line="276" w:lineRule="auto"/>
            </w:pPr>
            <w:r>
              <w:rPr>
                <w:rFonts w:ascii="Times New Roman" w:hAnsi="Times New Roman"/>
                <w:sz w:val="22"/>
              </w:rPr>
              <w:t>Constructs in model</w:t>
            </w:r>
          </w:p>
        </w:tc>
        <w:tc>
          <w:tcPr>
            <w:tcW w:type="dxa" w:w="4680"/>
            <w:tcBorders>
              <w:top w:val="nil" w:sz="8" w:color="000000" w:space="0"/>
              <w:bottom w:val="nil" w:sz="8" w:color="000000" w:space="0"/>
              <w:left w:val="nil" w:sz="8" w:color="000000" w:space="0"/>
              <w:right w:val="nil" w:sz="8" w:color="000000" w:space="0"/>
            </w:tcBorders>
          </w:tcPr>
          <w:p>
            <w:pPr>
              <w:spacing w:before="20" w:after="20" w:line="276" w:lineRule="auto"/>
            </w:pPr>
            <w:r>
              <w:rPr>
                <w:rFonts w:ascii="Times New Roman" w:hAnsi="Times New Roman"/>
                <w:sz w:val="22"/>
              </w:rPr>
              <w:t>10 (8 Tier 1 + 2 AI-specific)</w:t>
            </w:r>
          </w:p>
        </w:tc>
      </w:tr>
      <w:tr>
        <w:tc>
          <w:tcPr>
            <w:tcW w:type="dxa" w:w="4680"/>
            <w:tcBorders>
              <w:top w:val="nil" w:sz="8" w:color="000000" w:space="0"/>
              <w:bottom w:val="nil" w:sz="8" w:color="000000" w:space="0"/>
              <w:left w:val="nil" w:sz="8" w:color="000000" w:space="0"/>
              <w:right w:val="nil" w:sz="8" w:color="000000" w:space="0"/>
            </w:tcBorders>
          </w:tcPr>
          <w:p>
            <w:pPr>
              <w:spacing w:before="20" w:after="20" w:line="276" w:lineRule="auto"/>
            </w:pPr>
            <w:r>
              <w:rPr>
                <w:rFonts w:ascii="Times New Roman" w:hAnsi="Times New Roman"/>
                <w:sz w:val="22"/>
              </w:rPr>
              <w:t>Off-diagonal cells</w:t>
            </w:r>
          </w:p>
        </w:tc>
        <w:tc>
          <w:tcPr>
            <w:tcW w:type="dxa" w:w="4680"/>
            <w:tcBorders>
              <w:top w:val="nil" w:sz="8" w:color="000000" w:space="0"/>
              <w:bottom w:val="nil" w:sz="8" w:color="000000" w:space="0"/>
              <w:left w:val="nil" w:sz="8" w:color="000000" w:space="0"/>
              <w:right w:val="nil" w:sz="8" w:color="000000" w:space="0"/>
            </w:tcBorders>
          </w:tcPr>
          <w:p>
            <w:pPr>
              <w:spacing w:before="20" w:after="20" w:line="276" w:lineRule="auto"/>
            </w:pPr>
            <w:r>
              <w:rPr>
                <w:rFonts w:ascii="Times New Roman" w:hAnsi="Times New Roman"/>
                <w:sz w:val="22"/>
              </w:rPr>
              <w:t>45 (43 with k &gt;= 10; 2 sparse)</w:t>
            </w:r>
          </w:p>
        </w:tc>
      </w:tr>
      <w:tr>
        <w:tc>
          <w:tcPr>
            <w:tcW w:type="dxa" w:w="4680"/>
            <w:tcBorders>
              <w:top w:val="nil" w:sz="8" w:color="000000" w:space="0"/>
              <w:bottom w:val="nil" w:sz="8" w:color="000000" w:space="0"/>
              <w:left w:val="nil" w:sz="8" w:color="000000" w:space="0"/>
              <w:right w:val="nil" w:sz="8" w:color="000000" w:space="0"/>
            </w:tcBorders>
          </w:tcPr>
          <w:p>
            <w:pPr>
              <w:spacing w:before="20" w:after="20" w:line="276" w:lineRule="auto"/>
            </w:pPr>
            <w:r>
              <w:rPr>
                <w:rFonts w:ascii="Times New Roman" w:hAnsi="Times New Roman"/>
                <w:sz w:val="22"/>
              </w:rPr>
              <w:t>Primary method</w:t>
            </w:r>
          </w:p>
        </w:tc>
        <w:tc>
          <w:tcPr>
            <w:tcW w:type="dxa" w:w="4680"/>
            <w:tcBorders>
              <w:top w:val="nil" w:sz="8" w:color="000000" w:space="0"/>
              <w:bottom w:val="nil" w:sz="8" w:color="000000" w:space="0"/>
              <w:left w:val="nil" w:sz="8" w:color="000000" w:space="0"/>
              <w:right w:val="nil" w:sz="8" w:color="000000" w:space="0"/>
            </w:tcBorders>
          </w:tcPr>
          <w:p>
            <w:pPr>
              <w:spacing w:before="20" w:after="20" w:line="276" w:lineRule="auto"/>
            </w:pPr>
            <w:r>
              <w:rPr>
                <w:rFonts w:ascii="Times New Roman" w:hAnsi="Times New Roman"/>
                <w:sz w:val="22"/>
              </w:rPr>
              <w:t>TSSEM (Cheung, 2015)</w:t>
            </w:r>
          </w:p>
        </w:tc>
      </w:tr>
      <w:tr>
        <w:tc>
          <w:tcPr>
            <w:tcW w:type="dxa" w:w="4680"/>
            <w:tcBorders>
              <w:top w:val="nil" w:sz="8" w:color="000000" w:space="0"/>
              <w:bottom w:val="nil" w:sz="8" w:color="000000" w:space="0"/>
              <w:left w:val="nil" w:sz="8" w:color="000000" w:space="0"/>
              <w:right w:val="nil" w:sz="8" w:color="000000" w:space="0"/>
            </w:tcBorders>
          </w:tcPr>
          <w:p>
            <w:pPr>
              <w:spacing w:before="20" w:after="20" w:line="276" w:lineRule="auto"/>
            </w:pPr>
            <w:r>
              <w:rPr>
                <w:rFonts w:ascii="Times New Roman" w:hAnsi="Times New Roman"/>
                <w:sz w:val="22"/>
              </w:rPr>
              <w:t>Secondary method</w:t>
            </w:r>
          </w:p>
        </w:tc>
        <w:tc>
          <w:tcPr>
            <w:tcW w:type="dxa" w:w="4680"/>
            <w:tcBorders>
              <w:top w:val="nil" w:sz="8" w:color="000000" w:space="0"/>
              <w:bottom w:val="nil" w:sz="8" w:color="000000" w:space="0"/>
              <w:left w:val="nil" w:sz="8" w:color="000000" w:space="0"/>
              <w:right w:val="nil" w:sz="8" w:color="000000" w:space="0"/>
            </w:tcBorders>
          </w:tcPr>
          <w:p>
            <w:pPr>
              <w:spacing w:before="20" w:after="20" w:line="276" w:lineRule="auto"/>
            </w:pPr>
            <w:r>
              <w:rPr>
                <w:rFonts w:ascii="Times New Roman" w:hAnsi="Times New Roman"/>
                <w:sz w:val="22"/>
              </w:rPr>
              <w:t>OSMASEM (Jak &amp; Cheung, 2020)</w:t>
            </w:r>
          </w:p>
        </w:tc>
      </w:tr>
      <w:tr>
        <w:tc>
          <w:tcPr>
            <w:tcW w:type="dxa" w:w="4680"/>
            <w:tcBorders>
              <w:top w:val="nil" w:sz="8" w:color="000000" w:space="0"/>
              <w:bottom w:val="nil" w:sz="8" w:color="000000" w:space="0"/>
              <w:left w:val="nil" w:sz="8" w:color="000000" w:space="0"/>
              <w:right w:val="nil" w:sz="8" w:color="000000" w:space="0"/>
            </w:tcBorders>
          </w:tcPr>
          <w:p>
            <w:pPr>
              <w:spacing w:before="20" w:after="20" w:line="276" w:lineRule="auto"/>
            </w:pPr>
            <w:r>
              <w:rPr>
                <w:rFonts w:ascii="Times New Roman" w:hAnsi="Times New Roman"/>
                <w:sz w:val="22"/>
              </w:rPr>
              <w:t>Moderators tested</w:t>
            </w:r>
          </w:p>
        </w:tc>
        <w:tc>
          <w:tcPr>
            <w:tcW w:type="dxa" w:w="4680"/>
            <w:tcBorders>
              <w:top w:val="nil" w:sz="8" w:color="000000" w:space="0"/>
              <w:bottom w:val="nil" w:sz="8" w:color="000000" w:space="0"/>
              <w:left w:val="nil" w:sz="8" w:color="000000" w:space="0"/>
              <w:right w:val="nil" w:sz="8" w:color="000000" w:space="0"/>
            </w:tcBorders>
          </w:tcPr>
          <w:p>
            <w:pPr>
              <w:spacing w:before="20" w:after="20" w:line="276" w:lineRule="auto"/>
            </w:pPr>
            <w:r>
              <w:rPr>
                <w:rFonts w:ascii="Times New Roman" w:hAnsi="Times New Roman"/>
                <w:sz w:val="22"/>
              </w:rPr>
              <w:t>4 (year, culture, education level, AI tool type)</w:t>
            </w:r>
          </w:p>
        </w:tc>
      </w:tr>
      <w:tr>
        <w:tc>
          <w:tcPr>
            <w:tcW w:type="dxa" w:w="4680"/>
            <w:tcBorders>
              <w:top w:val="nil" w:sz="8" w:color="000000" w:space="0"/>
              <w:bottom w:val="nil" w:sz="8" w:color="000000" w:space="0"/>
              <w:left w:val="nil" w:sz="8" w:color="000000" w:space="0"/>
              <w:right w:val="nil" w:sz="8" w:color="000000" w:space="0"/>
            </w:tcBorders>
          </w:tcPr>
          <w:p>
            <w:pPr>
              <w:spacing w:before="20" w:after="20" w:line="276" w:lineRule="auto"/>
            </w:pPr>
            <w:r>
              <w:rPr>
                <w:rFonts w:ascii="Times New Roman" w:hAnsi="Times New Roman"/>
                <w:sz w:val="22"/>
              </w:rPr>
              <w:t>Expected word count</w:t>
            </w:r>
          </w:p>
        </w:tc>
        <w:tc>
          <w:tcPr>
            <w:tcW w:type="dxa" w:w="4680"/>
            <w:tcBorders>
              <w:top w:val="nil" w:sz="8" w:color="000000" w:space="0"/>
              <w:bottom w:val="nil" w:sz="8" w:color="000000" w:space="0"/>
              <w:left w:val="nil" w:sz="8" w:color="000000" w:space="0"/>
              <w:right w:val="nil" w:sz="8" w:color="000000" w:space="0"/>
            </w:tcBorders>
          </w:tcPr>
          <w:p>
            <w:pPr>
              <w:spacing w:before="20" w:after="20" w:line="276" w:lineRule="auto"/>
            </w:pPr>
            <w:r>
              <w:rPr>
                <w:rFonts w:ascii="Times New Roman" w:hAnsi="Times New Roman"/>
                <w:sz w:val="22"/>
              </w:rPr>
              <w:t>8,000-12,000 (excluding references/tables)</w:t>
            </w:r>
          </w:p>
        </w:tc>
      </w:tr>
      <w:tr>
        <w:tc>
          <w:tcPr>
            <w:tcW w:type="dxa" w:w="4680"/>
            <w:tcBorders>
              <w:top w:val="nil" w:sz="8" w:color="000000" w:space="0"/>
              <w:bottom w:val="nil" w:sz="8" w:color="000000" w:space="0"/>
              <w:left w:val="nil" w:sz="8" w:color="000000" w:space="0"/>
              <w:right w:val="nil" w:sz="8" w:color="000000" w:space="0"/>
            </w:tcBorders>
          </w:tcPr>
          <w:p>
            <w:pPr>
              <w:spacing w:before="20" w:after="20" w:line="276" w:lineRule="auto"/>
            </w:pPr>
            <w:r>
              <w:rPr>
                <w:rFonts w:ascii="Times New Roman" w:hAnsi="Times New Roman"/>
                <w:sz w:val="22"/>
              </w:rPr>
              <w:t>Human coders</w:t>
            </w:r>
          </w:p>
        </w:tc>
        <w:tc>
          <w:tcPr>
            <w:tcW w:type="dxa" w:w="4680"/>
            <w:tcBorders>
              <w:top w:val="nil" w:sz="8" w:color="000000" w:space="0"/>
              <w:bottom w:val="nil" w:sz="8" w:color="000000" w:space="0"/>
              <w:left w:val="nil" w:sz="8" w:color="000000" w:space="0"/>
              <w:right w:val="nil" w:sz="8" w:color="000000" w:space="0"/>
            </w:tcBorders>
          </w:tcPr>
          <w:p>
            <w:pPr>
              <w:spacing w:before="20" w:after="20" w:line="276" w:lineRule="auto"/>
            </w:pPr>
            <w:r>
              <w:rPr>
                <w:rFonts w:ascii="Times New Roman" w:hAnsi="Times New Roman"/>
                <w:sz w:val="22"/>
              </w:rPr>
              <w:t>4 (two independent pairs + cross-adjudication)</w:t>
            </w:r>
          </w:p>
        </w:tc>
      </w:tr>
      <w:tr>
        <w:tc>
          <w:tcPr>
            <w:tcW w:type="dxa" w:w="4680"/>
            <w:tcBorders>
              <w:top w:val="nil" w:sz="8" w:color="000000" w:space="0"/>
              <w:bottom w:val="single" w:sz="12" w:color="000000" w:space="0"/>
              <w:left w:val="nil" w:sz="8" w:color="000000" w:space="0"/>
              <w:right w:val="nil" w:sz="8" w:color="000000" w:space="0"/>
            </w:tcBorders>
          </w:tcPr>
          <w:p>
            <w:pPr>
              <w:spacing w:before="20" w:after="20" w:line="276" w:lineRule="auto"/>
            </w:pPr>
            <w:r>
              <w:rPr>
                <w:rFonts w:ascii="Times New Roman" w:hAnsi="Times New Roman"/>
                <w:sz w:val="22"/>
              </w:rPr>
              <w:t>AI models used</w:t>
            </w:r>
          </w:p>
        </w:tc>
        <w:tc>
          <w:tcPr>
            <w:tcW w:type="dxa" w:w="4680"/>
            <w:tcBorders>
              <w:top w:val="nil" w:sz="8" w:color="000000" w:space="0"/>
              <w:bottom w:val="single" w:sz="12" w:color="000000" w:space="0"/>
              <w:left w:val="nil" w:sz="8" w:color="000000" w:space="0"/>
              <w:right w:val="nil" w:sz="8" w:color="000000" w:space="0"/>
            </w:tcBorders>
          </w:tcPr>
          <w:p>
            <w:pPr>
              <w:spacing w:before="20" w:after="20" w:line="276" w:lineRule="auto"/>
            </w:pPr>
            <w:r>
              <w:rPr>
                <w:rFonts w:ascii="Times New Roman" w:hAnsi="Times New Roman"/>
                <w:sz w:val="22"/>
              </w:rPr>
              <w:t>3 (Claude, Gemini, Codex) for extraction</w:t>
            </w:r>
          </w:p>
        </w:tc>
      </w:tr>
    </w:tbl>
    <w:p>
      <w:r>
        <w:br w:type="page"/>
      </w:r>
    </w:p>
    <w:p>
      <w:pPr>
        <w:spacing w:before="240" w:after="0" w:line="480" w:lineRule="auto"/>
        <w:jc w:val="center"/>
      </w:pPr>
      <w:r>
        <w:rPr>
          <w:rFonts w:ascii="Times New Roman" w:hAnsi="Times New Roman"/>
          <w:b/>
          <w:sz w:val="24"/>
        </w:rPr>
        <w:t>References</w:t>
      </w:r>
    </w:p>
    <w:p>
      <w:pPr>
        <w:spacing w:line="480" w:lineRule="auto" w:after="0"/>
        <w:ind w:left="720" w:hanging="720"/>
      </w:pPr>
      <w:r>
        <w:rPr>
          <w:rFonts w:ascii="Times New Roman" w:hAnsi="Times New Roman"/>
          <w:sz w:val="24"/>
        </w:rPr>
        <w:t>Ajzen, I. (1991). The theory of planned behavior. Organizational Behavior and Human Decision Processes, 50(2), 179-211. https://doi.org/10.1016/0749-5978(91)90020-T</w:t>
      </w:r>
    </w:p>
    <w:p>
      <w:pPr>
        <w:spacing w:line="480" w:lineRule="auto" w:after="0"/>
        <w:ind w:left="720" w:hanging="720"/>
      </w:pPr>
      <w:r>
        <w:rPr>
          <w:rFonts w:ascii="Times New Roman" w:hAnsi="Times New Roman"/>
          <w:sz w:val="24"/>
        </w:rPr>
        <w:t>Blut, M., Chong, A., Tsiga, Z., &amp; Venkatesh, V. (2022). Meta-analysis of the unified theory of acceptance and use of technology (UTAUT). Journal of the Association for Information Systems, 23(1), 13-95.</w:t>
      </w:r>
    </w:p>
    <w:p>
      <w:pPr>
        <w:spacing w:line="480" w:lineRule="auto" w:after="0"/>
        <w:ind w:left="720" w:hanging="720"/>
      </w:pPr>
      <w:r>
        <w:rPr>
          <w:rFonts w:ascii="Times New Roman" w:hAnsi="Times New Roman"/>
          <w:sz w:val="24"/>
        </w:rPr>
        <w:t>Cheung, M. W.-L. (2015). Meta-analysis: A structural equation modeling approach. Wiley.</w:t>
      </w:r>
    </w:p>
    <w:p>
      <w:pPr>
        <w:spacing w:line="480" w:lineRule="auto" w:after="0"/>
        <w:ind w:left="720" w:hanging="720"/>
      </w:pPr>
      <w:r>
        <w:rPr>
          <w:rFonts w:ascii="Times New Roman" w:hAnsi="Times New Roman"/>
          <w:sz w:val="24"/>
        </w:rPr>
        <w:t>Compeau, D. R., &amp; Higgins, C. A. (1995). Computer self-efficacy: Development of a measure and initial test. MIS Quarterly, 19(2), 189-211. https://doi.org/10.2307/249688</w:t>
      </w:r>
    </w:p>
    <w:p>
      <w:pPr>
        <w:spacing w:line="480" w:lineRule="auto" w:after="0"/>
        <w:ind w:left="720" w:hanging="720"/>
      </w:pPr>
      <w:r>
        <w:rPr>
          <w:rFonts w:ascii="Times New Roman" w:hAnsi="Times New Roman"/>
          <w:sz w:val="24"/>
        </w:rPr>
        <w:t>Davis, F. D. (1989). Perceived usefulness, perceived ease of use, and user acceptance of information technology. MIS Quarterly, 13(3), 319-340. https://doi.org/10.2307/249008</w:t>
      </w:r>
    </w:p>
    <w:p>
      <w:pPr>
        <w:spacing w:line="480" w:lineRule="auto" w:after="0"/>
        <w:ind w:left="720" w:hanging="720"/>
      </w:pPr>
      <w:r>
        <w:rPr>
          <w:rFonts w:ascii="Times New Roman" w:hAnsi="Times New Roman"/>
          <w:sz w:val="24"/>
        </w:rPr>
        <w:t>Fishbein, M., &amp; Ajzen, I. (1975). Belief, attitude, intention and behavior: An introduction to theory and research. Addison-Wesley.</w:t>
      </w:r>
    </w:p>
    <w:p>
      <w:pPr>
        <w:spacing w:line="480" w:lineRule="auto" w:after="0"/>
        <w:ind w:left="720" w:hanging="720"/>
      </w:pPr>
      <w:r>
        <w:rPr>
          <w:rFonts w:ascii="Times New Roman" w:hAnsi="Times New Roman"/>
          <w:sz w:val="24"/>
        </w:rPr>
        <w:t>Glikson, E., &amp; Woolley, A. W. (2020). Human trust in artificial intelligence: Review of empirical research. Academy of Management Annals, 14(2), 627-660. https://doi.org/10.5465/annals.2018.0057</w:t>
      </w:r>
    </w:p>
    <w:p>
      <w:pPr>
        <w:spacing w:line="480" w:lineRule="auto" w:after="0"/>
        <w:ind w:left="720" w:hanging="720"/>
      </w:pPr>
      <w:r>
        <w:rPr>
          <w:rFonts w:ascii="Times New Roman" w:hAnsi="Times New Roman"/>
          <w:sz w:val="24"/>
        </w:rPr>
        <w:t>Jak, S., &amp; Cheung, M. W.-L. (2020). Meta-analytic structural equation modeling with moderating effects on SEM parameters. Psychological Methods, 25(4), 430-449. https://doi.org/10.1037/met0000245</w:t>
      </w:r>
    </w:p>
    <w:p>
      <w:pPr>
        <w:spacing w:line="480" w:lineRule="auto" w:after="0"/>
        <w:ind w:left="720" w:hanging="720"/>
      </w:pPr>
      <w:r>
        <w:rPr>
          <w:rFonts w:ascii="Times New Roman" w:hAnsi="Times New Roman"/>
          <w:sz w:val="24"/>
        </w:rPr>
        <w:t>Scherer, R., Siddiq, F., &amp; Tondeur, J. (2019). The technology acceptance model (TAM): A meta-analytic structural equation modeling approach to explaining teachers' adoption of digital technology in education. Computers &amp; Education, 128, 13-35. https://doi.org/10.1016/j.compedu.2018.09.009</w:t>
      </w:r>
    </w:p>
    <w:p>
      <w:pPr>
        <w:spacing w:line="480" w:lineRule="auto" w:after="0"/>
        <w:ind w:left="720" w:hanging="720"/>
      </w:pPr>
      <w:r>
        <w:rPr>
          <w:rFonts w:ascii="Times New Roman" w:hAnsi="Times New Roman"/>
          <w:sz w:val="24"/>
        </w:rPr>
        <w:t>Siau, K., &amp; Wang, W. (2018). Building trust in artificial intelligence, machine learning, and robotics. Cutter Business Technology Journal, 31(2), 47-53.</w:t>
      </w:r>
    </w:p>
    <w:p>
      <w:pPr>
        <w:spacing w:line="480" w:lineRule="auto" w:after="0"/>
        <w:ind w:left="720" w:hanging="720"/>
      </w:pPr>
      <w:r>
        <w:rPr>
          <w:rFonts w:ascii="Times New Roman" w:hAnsi="Times New Roman"/>
          <w:sz w:val="24"/>
        </w:rPr>
        <w:t>Taylor, S., &amp; Todd, P. A. (1995). Understanding information technology usage: A test of competing models. Information Systems Research, 6(2), 144-176. https://doi.org/10.1287/isre.6.2.144</w:t>
      </w:r>
    </w:p>
    <w:p>
      <w:pPr>
        <w:spacing w:line="480" w:lineRule="auto" w:after="0"/>
        <w:ind w:left="720" w:hanging="720"/>
      </w:pPr>
      <w:r>
        <w:rPr>
          <w:rFonts w:ascii="Times New Roman" w:hAnsi="Times New Roman"/>
          <w:sz w:val="24"/>
        </w:rPr>
        <w:t>Venkatesh, V., Morris, M. G., Davis, G. B., &amp; Davis, F. D. (2003). User acceptance of information technology: Toward a unified view. MIS Quarterly, 27(3), 425-478. https://doi.org/10.2307/30036540</w:t>
      </w:r>
    </w:p>
    <w:p>
      <w:pPr>
        <w:spacing w:line="480" w:lineRule="auto" w:after="0"/>
        <w:ind w:left="720" w:hanging="720"/>
      </w:pPr>
      <w:r>
        <w:rPr>
          <w:rFonts w:ascii="Times New Roman" w:hAnsi="Times New Roman"/>
          <w:sz w:val="24"/>
        </w:rPr>
        <w:t>Venkatesh, V., Thong, J. Y. L., &amp; Xu, X. (2012). Consumer acceptance and use of information technology: Extending the unified theory of acceptance and use of technology. MIS Quarterly, 36(1), 157-178. https://doi.org/10.2307/41410412</w:t>
      </w:r>
    </w:p>
    <w:p>
      <w:pPr>
        <w:spacing w:line="480" w:lineRule="auto" w:after="0"/>
        <w:ind w:left="720" w:hanging="720"/>
      </w:pPr>
      <w:r>
        <w:rPr>
          <w:rFonts w:ascii="Times New Roman" w:hAnsi="Times New Roman"/>
          <w:sz w:val="24"/>
        </w:rPr>
        <w:t>Viswesvaran, C., &amp; Ones, D. S. (1995). Theory testing: Combining psychometric meta-analysis and structural equations modeling. Personnel Psychology, 48(4), 865-885.</w:t>
      </w:r>
    </w:p>
    <w:p>
      <w:pPr>
        <w:spacing w:line="480" w:lineRule="auto" w:after="0"/>
        <w:ind w:left="720" w:hanging="720"/>
      </w:pPr>
      <w:r>
        <w:rPr>
          <w:rFonts w:ascii="Times New Roman" w:hAnsi="Times New Roman"/>
          <w:sz w:val="24"/>
        </w:rPr>
        <w:t>Wang, X., &amp; Wang, J. (2022). AI anxiety: Measuring fear of artificial intelligence and its impact on the acceptance of artificial intelligence. Information Technology &amp; People. Advance online publication. https://doi.org/10.1108/ITP-10-2020-0699</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