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LLM-Assisted Data Extraction for</w:t>
        <w:br/>
        <w:t>Meta-Analytic Structural Equation Modeling:</w:t>
        <w:br/>
        <w:t>A Multi-Model Comparative Framework</w:t>
        <w:br/>
        <w:t>with Human Gold-Standard Validation</w:t>
      </w:r>
    </w:p>
    <w:p>
      <w:pPr>
        <w:spacing w:line="480" w:lineRule="auto"/>
        <w:jc w:val="center"/>
      </w:pPr>
      <w:r>
        <w:rPr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Hosung You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College of Education, Pennsylvania State University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April 2026</w:t>
      </w:r>
    </w:p>
    <w:p>
      <w:pPr>
        <w:spacing w:line="480" w:lineRule="auto" w:before="240"/>
        <w:jc w:val="center"/>
      </w:pPr>
      <w:r>
        <w:rPr>
          <w:rFonts w:ascii="Times New Roman" w:hAnsi="Times New Roman"/>
          <w:i/>
          <w:sz w:val="20"/>
        </w:rPr>
        <w:t>Proposal Brief for Journal Venue Selection</w:t>
      </w:r>
    </w:p>
    <w:p>
      <w:r>
        <w:br w:type="page"/>
      </w:r>
    </w:p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Abstract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t>Data extraction remains the most time-intensive and error-prone phase of systematic reviews and meta-analyses. This study evaluates the accuracy, reliability, and cost-effectiveness of large language model (LLM)-assisted data extraction for meta-analytic structural equation modeling (MASEM), a methodologically demanding synthesis technique requiring extraction of full inter-construct correlation matrices from primary studies. Using a 100-study gold-standard subsample from a parent meta-analysis of AI adoption in higher education (N = 224 studies), three LLM models (Claude Sonnet 4.6, Gemini 2.5-Flash, Codex) independently extract four categories of data: bibliographic metadata, correlation matrices, construct operationalizations, and moderator variables (approximately 30 data elements per study; 3,000 total). Extraction accuracy is evaluated against a human gold standard produced by four independent coders (two pairs with cross-pair adjudication; target kappa &gt;= .85). The study tests whether multi-model consensus (majority voting across three LLMs) outperforms single-model extraction and identifies the optimal human-AI hybrid workflow that maximizes accuracy while minimizing researcher time investment. Reporting follows PRISMA-trAIce (2025) and TRIPOD-LLM guidelines.</w:t>
      </w:r>
    </w:p>
    <w:p>
      <w:pPr>
        <w:spacing w:line="480" w:lineRule="auto"/>
        <w:ind w:firstLine="720"/>
      </w:pPr>
      <w:r>
        <w:rPr>
          <w:rFonts w:ascii="Times New Roman" w:hAnsi="Times New Roman"/>
          <w:i/>
          <w:sz w:val="24"/>
        </w:rPr>
        <w:t xml:space="preserve">Keywords: </w:t>
      </w:r>
      <w:r>
        <w:rPr>
          <w:rFonts w:ascii="Times New Roman" w:hAnsi="Times New Roman"/>
          <w:sz w:val="24"/>
        </w:rPr>
        <w:t>large language models, data extraction, meta-analysis, systematic review methodology, inter-rater reliability, automation, MASEM, correlation matrix extraction, multi-model consensus</w:t>
      </w:r>
    </w:p>
    <w:p>
      <w:r>
        <w:br w:type="page"/>
      </w:r>
    </w:p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Introduction and Problem Statement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sz w:val="24"/>
        </w:rPr>
        <w:t>Systematic reviews and meta-analyses are foundational to evidence-based practice, yet their production is bottlenecked by manual data extraction, which accounts for approximately 30-60% of total researcher time (Borah et al., 2017). In meta-analytic structural equation modeling (MASEM), the extraction burden is amplified: rather than extracting a single effect size per study, MASEM requires the full inter-construct correlation matrix (often 10-20 pairwise correlations per study), along with construct operationalization details, sample sizes, and reliability coefficients.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sz w:val="24"/>
        </w:rPr>
        <w:t>The emergence of large language models (LLMs) with extended context windows (100K-1M tokens) and multimodal capabilities (PDF/table parsing) offers a potential solution. Several recent studies have explored LLM-assisted extraction for standard meta-analyses (e.g., Wang et al., 2024; Khraisha et al., 2024), but none has evaluated LLM performance on the methodologically demanding task of correlation matrix extraction for MASEM.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Research Gap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sz w:val="24"/>
        </w:rPr>
        <w:t>No published study has: (a) compared multiple LLMs head-to-head on MASEM-specific extraction tasks, (b) evaluated multi-model consensus as an error-reduction strategy for correlation matrix extraction, or (c) established benchmarks for LLM accuracy by data type (bibliographic vs. statistical vs. classificatory).</w:t>
      </w:r>
    </w:p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Research Questions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/>
          <w:sz w:val="24"/>
        </w:rPr>
        <w:t xml:space="preserve">RQ1: </w:t>
      </w:r>
      <w:r>
        <w:rPr>
          <w:rFonts w:ascii="Times New Roman" w:hAnsi="Times New Roman"/>
          <w:sz w:val="24"/>
        </w:rPr>
        <w:t>What is the extraction accuracy of each LLM model (Claude, Gemini, Codex) for MASEM-specific data elements, compared to the human gold standard?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/>
          <w:sz w:val="24"/>
        </w:rPr>
        <w:t xml:space="preserve">RQ2: </w:t>
      </w:r>
      <w:r>
        <w:rPr>
          <w:rFonts w:ascii="Times New Roman" w:hAnsi="Times New Roman"/>
          <w:sz w:val="24"/>
        </w:rPr>
        <w:t>Does extraction accuracy vary by data type: bibliographic metadata vs. statistical data (correlations, reliability) vs. classificatory data (construct mapping, moderator coding)?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/>
          <w:sz w:val="24"/>
        </w:rPr>
        <w:t xml:space="preserve">RQ3: </w:t>
      </w:r>
      <w:r>
        <w:rPr>
          <w:rFonts w:ascii="Times New Roman" w:hAnsi="Times New Roman"/>
          <w:sz w:val="24"/>
        </w:rPr>
        <w:t>Does multi-model consensus (3-model majority voting) produce higher accuracy than any single model alone?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/>
          <w:sz w:val="24"/>
        </w:rPr>
        <w:t xml:space="preserve">RQ4: </w:t>
      </w:r>
      <w:r>
        <w:rPr>
          <w:rFonts w:ascii="Times New Roman" w:hAnsi="Times New Roman"/>
          <w:sz w:val="24"/>
        </w:rPr>
        <w:t>What is the optimal human-AI hybrid workflow that achieves &gt;= 95% accuracy while minimizing researcher time?</w:t>
      </w:r>
    </w:p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Method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Study Design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sz w:val="24"/>
        </w:rPr>
        <w:t>A comparative accuracy study evaluating three LLM models against a human gold standard on a 100-study stratified subsample drawn from the parent meta-analysis corpus (N = 224). The design is fully crossed: all three LLMs and all four human coders process the same 100 studies, enabling direct within-study comparison of extraction quality.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Gold Standard Construction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 w:line="480" w:lineRule="auto"/>
      </w:pPr>
      <w:r>
        <w:rPr>
          <w:rFonts w:ascii="Times New Roman" w:hAnsi="Times New Roman"/>
          <w:i/>
          <w:sz w:val="24"/>
        </w:rPr>
        <w:t>Gold Standard Design Parameters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8" w:color="000000" w:space="0"/>
          <w:bottom w:val="nil" w:sz="8" w:color="000000" w:space="0"/>
          <w:left w:val="nil" w:sz="8" w:color="000000" w:space="0"/>
          <w:right w:val="nil" w:sz="8" w:color="000000" w:space="0"/>
          <w:insideH w:val="nil" w:sz="8" w:color="000000" w:space="0"/>
          <w:insideV w:val="nil" w:sz="8" w:color="000000" w:space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Component</w:t>
            </w:r>
          </w:p>
        </w:tc>
        <w:tc>
          <w:tcPr>
            <w:tcW w:type="dxa" w:w="468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Specification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Human coders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4 (R1, R2, R3, R4)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Pairing structure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Pair A: R1 + R2 (50 studies); Pair B: R3 + R4 (50 studies)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Independence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Blinded within pairs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ICR metric (categorical)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Cohen's kappa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ICR metric (continuous)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ICC(2,1)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ICR target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kappa &gt;= .85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Adjudication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Cross-pair: R1 adjudicates Pair B; R3 adjudicates Pair A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Final standard</w:t>
            </w:r>
          </w:p>
        </w:tc>
        <w:tc>
          <w:tcPr>
            <w:tcW w:type="dxa" w:w="468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Consensus values for all 3,000 data elements</w:t>
            </w:r>
          </w:p>
        </w:tc>
      </w:tr>
    </w:tbl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LLM Extraction Pipeline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sz w:val="24"/>
        </w:rPr>
        <w:t>Each study PDF is processed by three LLMs independently using standardized extraction prompts organized into four modules. Prompts include few-shot examples, output schema specifications, and explicit instructions for handling edge cases (e.g., PLS-SEM Fornell-Larcker tables, split-sample studies, beta-only reporting). Each LLM receives the full PDF as context and returns structured JSON output.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 w:line="480" w:lineRule="auto"/>
      </w:pPr>
      <w:r>
        <w:rPr>
          <w:rFonts w:ascii="Times New Roman" w:hAnsi="Times New Roman"/>
          <w:i/>
          <w:sz w:val="24"/>
        </w:rPr>
        <w:t>Extraction Module Structure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8" w:color="000000" w:space="0"/>
          <w:bottom w:val="nil" w:sz="8" w:color="000000" w:space="0"/>
          <w:left w:val="nil" w:sz="8" w:color="000000" w:space="0"/>
          <w:right w:val="nil" w:sz="8" w:color="000000" w:space="0"/>
          <w:insideH w:val="nil" w:sz="8" w:color="000000" w:space="0"/>
          <w:insideV w:val="nil" w:sz="8" w:color="000000" w:space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Module</w:t>
            </w:r>
          </w:p>
        </w:tc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Content</w:t>
            </w:r>
          </w:p>
        </w:tc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Elements per Study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A: Bibliographic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Title, year, N, country, journal, AI type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~8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B: Correlation Matrix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Pearson r, Fornell-Larcker, HTMT extraction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~10-15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C: Construct Operationalization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Scale source, items, reliability (alpha, CR)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~5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D: Moderator Variables</w:t>
            </w:r>
          </w:p>
        </w:tc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Education level, AI tool type, research setting</w:t>
            </w:r>
          </w:p>
        </w:tc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~5</w:t>
            </w:r>
          </w:p>
        </w:tc>
      </w:tr>
    </w:tbl>
    <w:p>
      <w:pPr>
        <w:spacing w:before="40" w:after="240" w:line="480" w:lineRule="auto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Total approximately 30 data elements per study; 3,000 elements across 100 studies.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Multi-Model Consensus Algorithm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sz w:val="24"/>
        </w:rPr>
        <w:t>For each data element, the consensus algorithm applies majority voting: if two of three or all three models agree, the consensus value is adopted. When all three models disagree (three-way split), the element is flagged for human adjudication. The study evaluates consensus performance at two thresholds: two-of-three majority and three-of-three unanimity.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Analysis Plan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 w:line="480" w:lineRule="auto"/>
      </w:pPr>
      <w:r>
        <w:rPr>
          <w:rFonts w:ascii="Times New Roman" w:hAnsi="Times New Roman"/>
          <w:i/>
          <w:sz w:val="24"/>
        </w:rPr>
        <w:t>Accuracy Metrics and Statistical Tests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8" w:color="000000" w:space="0"/>
          <w:bottom w:val="nil" w:sz="8" w:color="000000" w:space="0"/>
          <w:left w:val="nil" w:sz="8" w:color="000000" w:space="0"/>
          <w:right w:val="nil" w:sz="8" w:color="000000" w:space="0"/>
          <w:insideH w:val="nil" w:sz="8" w:color="000000" w:space="0"/>
          <w:insideV w:val="nil" w:sz="8" w:color="000000" w:space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Metric</w:t>
            </w:r>
          </w:p>
        </w:tc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Application</w:t>
            </w:r>
          </w:p>
        </w:tc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Comparison Method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Precision, Recall, F1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Element-level accuracy (categorical)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McNemar's test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Mean Absolute Error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Correlation accuracy (continuous)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Paired t-test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Proportion within +/- .02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Correlation tolerance band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Binomial test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Cohen's d, Odds Ratios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Effect sizes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All comparisons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Cost per element ($)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Cost-effectiveness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Descriptive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Time per element (min)</w:t>
            </w:r>
          </w:p>
        </w:tc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Efficiency</w:t>
            </w:r>
          </w:p>
        </w:tc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Descriptive</w:t>
            </w:r>
          </w:p>
        </w:tc>
      </w:tr>
    </w:tbl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Expected Contributions</w:t>
      </w:r>
    </w:p>
    <w:p>
      <w:pPr>
        <w:spacing w:line="480" w:lineRule="auto"/>
        <w:ind w:firstLine="720"/>
      </w:pPr>
      <w:r>
        <w:rPr>
          <w:rFonts w:ascii="Times New Roman" w:hAnsi="Times New Roman"/>
          <w:b/>
          <w:i/>
          <w:sz w:val="24"/>
        </w:rPr>
        <w:t xml:space="preserve">Methodological. </w:t>
      </w:r>
      <w:r>
        <w:rPr>
          <w:rFonts w:ascii="Times New Roman" w:hAnsi="Times New Roman"/>
          <w:sz w:val="24"/>
        </w:rPr>
        <w:t>Establishes the first empirical benchmark for LLM accuracy on MASEM-specific extraction tasks. Provides a reproducible framework for evaluating AI extraction tools in any quantitative synthesis context.</w:t>
      </w:r>
    </w:p>
    <w:p>
      <w:pPr>
        <w:spacing w:line="480" w:lineRule="auto"/>
        <w:ind w:firstLine="720"/>
      </w:pPr>
      <w:r>
        <w:rPr>
          <w:rFonts w:ascii="Times New Roman" w:hAnsi="Times New Roman"/>
          <w:b/>
          <w:i/>
          <w:sz w:val="24"/>
        </w:rPr>
        <w:t xml:space="preserve">Practical. </w:t>
      </w:r>
      <w:r>
        <w:rPr>
          <w:rFonts w:ascii="Times New Roman" w:hAnsi="Times New Roman"/>
          <w:sz w:val="24"/>
        </w:rPr>
        <w:t>Identifies the optimal human-AI hybrid workflow for MASEM data extraction, quantifying the time savings and accuracy trade-offs. Expected time reduction: 60-80% compared to fully manual extraction, at &gt;= 95% accuracy.</w:t>
      </w:r>
    </w:p>
    <w:p>
      <w:pPr>
        <w:spacing w:line="480" w:lineRule="auto"/>
        <w:ind w:firstLine="720"/>
      </w:pPr>
      <w:r>
        <w:rPr>
          <w:rFonts w:ascii="Times New Roman" w:hAnsi="Times New Roman"/>
          <w:b/>
          <w:i/>
          <w:sz w:val="24"/>
        </w:rPr>
        <w:t xml:space="preserve">Reporting standards. </w:t>
      </w:r>
      <w:r>
        <w:rPr>
          <w:rFonts w:ascii="Times New Roman" w:hAnsi="Times New Roman"/>
          <w:sz w:val="24"/>
        </w:rPr>
        <w:t>Demonstrates application of PRISMA-trAIce (2025) guidelines for transparent reporting of AI-assisted systematic review processes.</w:t>
      </w:r>
    </w:p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Relationship to Paper A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 w:line="480" w:lineRule="auto"/>
      </w:pPr>
      <w:r>
        <w:rPr>
          <w:rFonts w:ascii="Times New Roman" w:hAnsi="Times New Roman"/>
          <w:i/>
          <w:sz w:val="24"/>
        </w:rPr>
        <w:t>Comparison of Paper A and Paper B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8" w:color="000000" w:space="0"/>
          <w:bottom w:val="nil" w:sz="8" w:color="000000" w:space="0"/>
          <w:left w:val="nil" w:sz="8" w:color="000000" w:space="0"/>
          <w:right w:val="nil" w:sz="8" w:color="000000" w:space="0"/>
          <w:insideH w:val="nil" w:sz="8" w:color="000000" w:space="0"/>
          <w:insideV w:val="nil" w:sz="8" w:color="000000" w:space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Dimension</w:t>
            </w:r>
          </w:p>
        </w:tc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Paper A</w:t>
            </w:r>
          </w:p>
        </w:tc>
        <w:tc>
          <w:tcPr>
            <w:tcW w:type="dxa" w:w="312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Paper B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Focus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MASEM substantive findings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LLM methodology validation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Corpus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Full 224 studies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100-study subsample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Primary outcome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Structural path coefficients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Extraction accuracy metrics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Theoretical base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TAM/UTAUT/TRA</w:t>
            </w:r>
          </w:p>
        </w:tc>
        <w:tc>
          <w:tcPr>
            <w:tcW w:type="dxa" w:w="312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Information extraction, NLP</w:t>
            </w:r>
          </w:p>
        </w:tc>
      </w:tr>
      <w:tr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Target audience</w:t>
            </w:r>
          </w:p>
        </w:tc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EdTech / IS researchers</w:t>
            </w:r>
          </w:p>
        </w:tc>
        <w:tc>
          <w:tcPr>
            <w:tcW w:type="dxa" w:w="312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Research methods community</w:t>
            </w:r>
          </w:p>
        </w:tc>
      </w:tr>
    </w:tbl>
    <w:p>
      <w:pPr>
        <w:spacing w:before="40" w:after="240" w:line="480" w:lineRule="auto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Paper B can be submitted independently, citing Paper A as an OSF preprint.</w:t>
      </w:r>
    </w:p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Target Audience and Venue Characteristics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t>This paper targets journals specializing in: (a) research synthesis methodology, (b) meta-analysis methods, (c) AI applications in research, or (d) information science methodology.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 w:line="480" w:lineRule="auto"/>
      </w:pPr>
      <w:r>
        <w:rPr>
          <w:rFonts w:ascii="Times New Roman" w:hAnsi="Times New Roman"/>
          <w:i/>
          <w:sz w:val="24"/>
        </w:rPr>
        <w:t>Venue Selection Criteria for Paper B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8" w:color="000000" w:space="0"/>
          <w:bottom w:val="nil" w:sz="8" w:color="000000" w:space="0"/>
          <w:left w:val="nil" w:sz="8" w:color="000000" w:space="0"/>
          <w:right w:val="nil" w:sz="8" w:color="000000" w:space="0"/>
          <w:insideH w:val="nil" w:sz="8" w:color="000000" w:space="0"/>
          <w:insideV w:val="nil" w:sz="8" w:color="000000" w:space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Criterion</w:t>
            </w:r>
          </w:p>
        </w:tc>
        <w:tc>
          <w:tcPr>
            <w:tcW w:type="dxa" w:w="468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Methodology scope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Publishes methodological innovations in systematic review/meta-analysis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Readership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Researchers conducting quantitative evidence synthesis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AI/LLM openness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Open to AI/LLM applications in research methodology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Length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6,000-10,000 words with technical detail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Impact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Impact Factor &gt;= 3.0 preferred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Reproducibility</w:t>
            </w:r>
          </w:p>
        </w:tc>
        <w:tc>
          <w:tcPr>
            <w:tcW w:type="dxa" w:w="468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Values open-science reporting (code/data sharing)</w:t>
            </w:r>
          </w:p>
        </w:tc>
      </w:tr>
    </w:tbl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Suggested Search Terms for Venue Identification</w:t>
      </w:r>
    </w:p>
    <w:p>
      <w:pPr>
        <w:spacing w:line="480" w:lineRule="auto"/>
        <w:ind w:left="720"/>
      </w:pPr>
      <w:r>
        <w:rPr>
          <w:rFonts w:ascii="Times New Roman" w:hAnsi="Times New Roman"/>
          <w:i/>
          <w:sz w:val="22"/>
        </w:rPr>
        <w:t>"systematic review AND (automation OR machine learning OR NLP) AND data extraction"</w:t>
      </w:r>
    </w:p>
    <w:p>
      <w:pPr>
        <w:spacing w:line="480" w:lineRule="auto"/>
        <w:ind w:left="720"/>
      </w:pPr>
      <w:r>
        <w:rPr>
          <w:rFonts w:ascii="Times New Roman" w:hAnsi="Times New Roman"/>
          <w:i/>
          <w:sz w:val="22"/>
        </w:rPr>
        <w:t>"meta-analysis AND (large language model OR LLM OR GPT OR AI)"</w:t>
      </w:r>
    </w:p>
    <w:p>
      <w:pPr>
        <w:spacing w:line="480" w:lineRule="auto"/>
        <w:ind w:left="720"/>
      </w:pPr>
      <w:r>
        <w:rPr>
          <w:rFonts w:ascii="Times New Roman" w:hAnsi="Times New Roman"/>
          <w:i/>
          <w:sz w:val="22"/>
        </w:rPr>
        <w:t>"research synthesis methods AND technology"</w:t>
      </w:r>
    </w:p>
    <w:p>
      <w:pPr>
        <w:spacing w:line="480" w:lineRule="auto"/>
        <w:ind w:left="720"/>
      </w:pPr>
      <w:r>
        <w:rPr>
          <w:rFonts w:ascii="Times New Roman" w:hAnsi="Times New Roman"/>
          <w:i/>
          <w:sz w:val="22"/>
        </w:rPr>
        <w:t>"inter-rater reliability AND automated coding"</w:t>
      </w:r>
    </w:p>
    <w:p>
      <w:pPr>
        <w:spacing w:line="480" w:lineRule="auto"/>
        <w:ind w:left="720"/>
      </w:pPr>
      <w:r>
        <w:rPr>
          <w:rFonts w:ascii="Times New Roman" w:hAnsi="Times New Roman"/>
          <w:i/>
          <w:sz w:val="22"/>
        </w:rPr>
        <w:t>"PRISMA AND artificial intelligence"</w:t>
      </w:r>
    </w:p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Key Numbers at a Glance</w:t>
      </w:r>
    </w:p>
    <w:p>
      <w:pPr>
        <w:spacing w:before="240" w:after="0" w:line="480" w:lineRule="auto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 w:line="480" w:lineRule="auto"/>
      </w:pPr>
      <w:r>
        <w:rPr>
          <w:rFonts w:ascii="Times New Roman" w:hAnsi="Times New Roman"/>
          <w:i/>
          <w:sz w:val="24"/>
        </w:rPr>
        <w:t>Summary of Key Parameters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8" w:color="000000" w:space="0"/>
          <w:bottom w:val="nil" w:sz="8" w:color="000000" w:space="0"/>
          <w:left w:val="nil" w:sz="8" w:color="000000" w:space="0"/>
          <w:right w:val="nil" w:sz="8" w:color="000000" w:space="0"/>
          <w:insideH w:val="nil" w:sz="8" w:color="000000" w:space="0"/>
          <w:insideV w:val="nil" w:sz="8" w:color="000000" w:space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Parameter</w:t>
            </w:r>
          </w:p>
        </w:tc>
        <w:tc>
          <w:tcPr>
            <w:tcW w:type="dxa" w:w="4680"/>
            <w:tcBorders>
              <w:top w:val="single" w:sz="12" w:color="000000" w:space="0"/>
              <w:bottom w:val="single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Gold standard sample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100 studies (stratified from N = 224)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Human coders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4 (two independent pairs + cross-adjudication)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LLM models tested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3 (Claude Sonnet 4.6, Gemini 2.5-Flash, Codex)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Data elements per study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~30 (bibliographic + statistical + classificatory)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Total data elements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~3,000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ICR target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Cohen's kappa &gt;= .85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Accuracy target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&gt;= 95% element-level agreement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Extraction modules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4 (bibliographic, correlation, construct, moderator)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Reporting standards</w:t>
            </w:r>
          </w:p>
        </w:tc>
        <w:tc>
          <w:tcPr>
            <w:tcW w:type="dxa" w:w="4680"/>
            <w:tcBorders>
              <w:top w:val="nil" w:sz="8" w:color="000000" w:space="0"/>
              <w:bottom w:val="nil" w:sz="8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PRISMA-trAIce (2025), TRIPOD-LLM</w:t>
            </w:r>
          </w:p>
        </w:tc>
      </w:tr>
      <w:tr>
        <w:tc>
          <w:tcPr>
            <w:tcW w:type="dxa" w:w="468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Expected word count</w:t>
            </w:r>
          </w:p>
        </w:tc>
        <w:tc>
          <w:tcPr>
            <w:tcW w:type="dxa" w:w="4680"/>
            <w:tcBorders>
              <w:top w:val="nil" w:sz="8" w:color="000000" w:space="0"/>
              <w:bottom w:val="single" w:sz="12" w:color="000000" w:space="0"/>
              <w:left w:val="nil" w:sz="8" w:color="000000" w:space="0"/>
              <w:right w:val="nil" w:sz="8" w:color="000000" w:space="0"/>
            </w:tcBorders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/>
                <w:sz w:val="22"/>
              </w:rPr>
              <w:t>6,000-10,000</w:t>
            </w:r>
          </w:p>
        </w:tc>
      </w:tr>
    </w:tbl>
    <w:p>
      <w:r>
        <w:br w:type="page"/>
      </w:r>
    </w:p>
    <w:p>
      <w:pPr>
        <w:spacing w:before="240" w:after="0" w:line="480" w:lineRule="auto"/>
        <w:jc w:val="center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Borah, R., Brown, A. W., Capers, P. L., &amp; Allison, D. B. (2017). Analysis of the time and workers needed to conduct systematic reviews of medical interventions using data from the PROSPERO registry. BMJ Open, 7(2), e012545. https://doi.org/10.1136/bmjopen-2016-012545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Cheung, M. W.-L. (2015). Meta-analysis: A structural equation modeling approach. Wiley.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Collins, G. S., et al. (2025). TRIPOD-LLM: Transparent reporting of LLM-assisted prediction model development. BMJ.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Jak, S., &amp; Cheung, M. W.-L. (2020). Meta-analytic structural equation modeling with moderating effects on SEM parameters. Psychological Methods, 25(4), 430-449. https://doi.org/10.1037/met0000245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Khraisha, Q., et al. (2024). Can large language models replace humans in systematic reviews? A study on screening and data extraction. arXiv preprint.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Marshall, I. J., &amp; Wallace, B. C. (2019). Toward systematic review automation: A practical guide to using machine learning tools in research synthesis. Systematic Reviews, 8, 163. https://doi.org/10.1186/s13643-019-1074-9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Page, M. J., et al. (2021). The PRISMA 2020 statement: An updated guideline for reporting systematic reviews. BMJ, 372, n71. https://doi.org/10.1136/bmj.n71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Tsafnat, G., Glasziou, P., Choong, M. K., Dunn, A., Galgani, F., &amp; Coiera, E. (2014). Systematic review automation technologies. Systematic Reviews, 3, 74. https://doi.org/10.1186/2046-4053-3-74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Viswesvaran, C., &amp; Ones, D. S. (1995). Theory testing: Combining psychometric meta-analysis and structural equations modeling. Personnel Psychology, 48(4), 865-885.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>Wang, S., et al. (2024). GPT-4 for systematic review screening: Performance evaluation and prompt engineering. Journal of Medical Internet Research, 26, e52758.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