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480" w:lineRule="auto" w:after="240"/>
        <w:jc w:val="center"/>
      </w:pPr>
      <w:r>
        <w:rPr>
          <w:rFonts w:ascii="Times New Roman" w:hAnsi="Times New Roman"/>
          <w:b/>
          <w:i w:val="0"/>
          <w:color w:val="000000"/>
          <w:sz w:val="24"/>
        </w:rPr>
        <w:t>AI Adoption in Higher Education: A Meta-Analytic Structural Equation Modeling Study</w:t>
      </w:r>
    </w:p>
    <w:p>
      <w:pPr>
        <w:spacing w:line="480" w:lineRule="auto" w:after="0"/>
        <w:jc w:val="center"/>
      </w:pPr>
      <w:r>
        <w:rPr>
          <w:rFonts w:ascii="Times New Roman" w:hAnsi="Times New Roman"/>
          <w:b w:val="0"/>
          <w:i w:val="0"/>
          <w:color w:val="000000"/>
          <w:sz w:val="24"/>
        </w:rPr>
        <w:t>APA 7 Professional Draft Excluding Literature Review and Discussion</w:t>
      </w:r>
    </w:p>
    <w:p>
      <w:pPr>
        <w:spacing w:line="480" w:lineRule="auto" w:after="0"/>
        <w:jc w:val="center"/>
      </w:pPr>
      <w:r>
        <w:rPr>
          <w:rFonts w:ascii="Times New Roman" w:hAnsi="Times New Roman"/>
          <w:b w:val="0"/>
          <w:i w:val="0"/>
          <w:color w:val="000000"/>
          <w:sz w:val="24"/>
        </w:rPr>
        <w:t>Hosung You</w:t>
      </w:r>
    </w:p>
    <w:p>
      <w:pPr>
        <w:spacing w:line="480" w:lineRule="auto" w:after="0"/>
        <w:jc w:val="center"/>
      </w:pPr>
      <w:r>
        <w:rPr>
          <w:rFonts w:ascii="Times New Roman" w:hAnsi="Times New Roman"/>
          <w:b w:val="0"/>
          <w:i w:val="0"/>
          <w:color w:val="000000"/>
          <w:sz w:val="24"/>
        </w:rPr>
        <w:t>College of Education, The Pennsylvania State University</w:t>
      </w:r>
    </w:p>
    <w:p>
      <w:pPr>
        <w:spacing w:line="480" w:lineRule="auto" w:after="0"/>
        <w:jc w:val="center"/>
      </w:pPr>
      <w:r>
        <w:rPr>
          <w:rFonts w:ascii="Times New Roman" w:hAnsi="Times New Roman"/>
          <w:b w:val="0"/>
          <w:i w:val="0"/>
          <w:color w:val="000000"/>
          <w:sz w:val="24"/>
        </w:rPr>
        <w:t>Draft date: 2026-06-11</w:t>
      </w:r>
    </w:p>
    <w:p>
      <w:r>
        <w:br w:type="page"/>
      </w:r>
    </w:p>
    <w:p>
      <w:pPr>
        <w:pStyle w:val="Heading1"/>
        <w:spacing w:line="480" w:lineRule="auto" w:after="0"/>
        <w:jc w:val="center"/>
      </w:pPr>
      <w:r/>
      <w:r>
        <w:rPr>
          <w:rFonts w:ascii="Times New Roman" w:hAnsi="Times New Roman"/>
          <w:b/>
          <w:i w:val="0"/>
          <w:color w:val="000000"/>
          <w:sz w:val="24"/>
        </w:rPr>
        <w:t>Author Note</w:t>
      </w:r>
    </w:p>
    <w:p>
      <w:pPr>
        <w:spacing w:line="480" w:lineRule="auto" w:after="0"/>
        <w:ind w:firstLine="720"/>
      </w:pPr>
      <w:r>
        <w:rPr>
          <w:rFonts w:ascii="Times New Roman" w:hAnsi="Times New Roman"/>
          <w:b w:val="0"/>
          <w:i w:val="0"/>
          <w:color w:val="000000"/>
          <w:sz w:val="24"/>
        </w:rPr>
        <w:t>This draft preserves the lead-analysis boundary. Literature Review and Discussion are reserved for team authors. Final model estimates and submission-ready claims must be inserted only after the lead-analysis run is locked.</w:t>
      </w:r>
    </w:p>
    <w:p>
      <w:r>
        <w:br w:type="page"/>
      </w:r>
    </w:p>
    <w:p>
      <w:pPr>
        <w:pStyle w:val="Heading1"/>
        <w:spacing w:line="480" w:lineRule="auto" w:after="0"/>
        <w:jc w:val="center"/>
      </w:pPr>
      <w:r/>
      <w:r>
        <w:rPr>
          <w:rFonts w:ascii="Times New Roman" w:hAnsi="Times New Roman"/>
          <w:b/>
          <w:i w:val="0"/>
          <w:color w:val="000000"/>
          <w:sz w:val="24"/>
        </w:rPr>
        <w:t>Abstract</w:t>
      </w:r>
    </w:p>
    <w:p>
      <w:pPr>
        <w:spacing w:line="480" w:lineRule="auto" w:after="0"/>
      </w:pPr>
      <w:r>
        <w:rPr>
          <w:rFonts w:ascii="Times New Roman" w:hAnsi="Times New Roman"/>
          <w:b w:val="0"/>
          <w:i w:val="0"/>
          <w:color w:val="000000"/>
          <w:sz w:val="24"/>
        </w:rPr>
        <w:t>This draft prepares the Introduction, Method/Analysis, and Results scaffold for a meta-analytic structural equation modeling study of AI adoption in higher education. The project search workflow identified 22,166 records and retained 16,189 after deduplication. The current analysis-ready package contains 822 primary direct-r rows, 1,303 expanded direct-r-form rows, and 481 converted beta/path/source-statistic sensitivity rows. The manuscript positions the study as a theory-guided MASEM integrating traditional technology acceptance constructs with trust in AI and AI anxiety. Final pooled correlations, path coefficients, indirect effects, moderator tests, and fit statistics remain lead-analysis insertion points.</w:t>
      </w:r>
    </w:p>
    <w:p>
      <w:pPr>
        <w:spacing w:line="480" w:lineRule="auto" w:after="0"/>
      </w:pPr>
      <w:r>
        <w:rPr>
          <w:rFonts w:ascii="Times New Roman" w:hAnsi="Times New Roman"/>
          <w:b w:val="0"/>
          <w:i w:val="0"/>
          <w:color w:val="000000"/>
          <w:sz w:val="24"/>
        </w:rPr>
      </w:r>
      <w:r>
        <w:rPr>
          <w:rFonts w:ascii="Times New Roman" w:hAnsi="Times New Roman"/>
          <w:b w:val="0"/>
          <w:i/>
          <w:color w:val="000000"/>
          <w:sz w:val="24"/>
        </w:rPr>
        <w:t xml:space="preserve">Keywords: </w:t>
      </w:r>
      <w:r>
        <w:rPr>
          <w:rFonts w:ascii="Times New Roman" w:hAnsi="Times New Roman"/>
          <w:b w:val="0"/>
          <w:i w:val="0"/>
          <w:color w:val="000000"/>
          <w:sz w:val="24"/>
        </w:rPr>
        <w:t>artificial intelligence adoption, higher education, meta-analytic structural equation modeling, technology acceptance, trust in AI, AI anxiety</w:t>
      </w:r>
    </w:p>
    <w:p>
      <w:r>
        <w:br w:type="page"/>
      </w:r>
    </w:p>
    <w:p>
      <w:pPr>
        <w:spacing w:line="480" w:lineRule="auto" w:after="0"/>
        <w:jc w:val="center"/>
      </w:pPr>
      <w:r>
        <w:rPr>
          <w:rFonts w:ascii="Times New Roman" w:hAnsi="Times New Roman"/>
          <w:b/>
          <w:i w:val="0"/>
          <w:color w:val="000000"/>
          <w:sz w:val="24"/>
        </w:rPr>
        <w:t>AI Adoption in Higher Education: A Meta-Analytic Structural Equation Modeling Study</w:t>
      </w:r>
    </w:p>
    <w:p>
      <w:pPr>
        <w:pStyle w:val="Heading1"/>
        <w:spacing w:line="480" w:lineRule="auto" w:after="0"/>
        <w:jc w:val="center"/>
      </w:pPr>
      <w:r/>
      <w:r>
        <w:rPr>
          <w:rFonts w:ascii="Times New Roman" w:hAnsi="Times New Roman"/>
          <w:b/>
          <w:i w:val="0"/>
          <w:color w:val="000000"/>
          <w:sz w:val="24"/>
        </w:rPr>
        <w:t>Draft Scope and Team Boundary</w:t>
      </w:r>
    </w:p>
    <w:p>
      <w:pPr>
        <w:spacing w:line="480" w:lineRule="auto" w:after="0"/>
        <w:ind w:firstLine="720"/>
      </w:pPr>
      <w:r>
        <w:rPr>
          <w:rFonts w:ascii="Times New Roman" w:hAnsi="Times New Roman"/>
          <w:b w:val="0"/>
          <w:i w:val="0"/>
          <w:color w:val="000000"/>
          <w:sz w:val="24"/>
        </w:rPr>
        <w:t>This file drafts the portions of Paper A that can be assembled from the current project evidence without taking over the team-authored Literature Review or Discussion. The Literature Review and Discussion headings are retained only as insertion points for team authors. Final structural path estimates, indirect effects, moderator estimates, and fit statistics remain lead-analysis insertion points.</w:t>
      </w:r>
    </w:p>
    <w:p>
      <w:pPr>
        <w:pStyle w:val="Heading1"/>
        <w:spacing w:line="480" w:lineRule="auto" w:after="0"/>
        <w:jc w:val="center"/>
      </w:pPr>
      <w:r/>
      <w:r>
        <w:rPr>
          <w:rFonts w:ascii="Times New Roman" w:hAnsi="Times New Roman"/>
          <w:b/>
          <w:i w:val="0"/>
          <w:color w:val="000000"/>
          <w:sz w:val="24"/>
        </w:rPr>
        <w:t>Introduction</w:t>
      </w:r>
    </w:p>
    <w:p>
      <w:pPr>
        <w:spacing w:line="480" w:lineRule="auto" w:after="0"/>
        <w:ind w:firstLine="720"/>
      </w:pPr>
      <w:r>
        <w:rPr>
          <w:rFonts w:ascii="Times New Roman" w:hAnsi="Times New Roman"/>
          <w:b w:val="0"/>
          <w:i w:val="0"/>
          <w:color w:val="000000"/>
          <w:sz w:val="24"/>
        </w:rPr>
        <w:t>Artificial intelligence tools are now embedded in higher education through large language models, intelligent tutoring systems, automated assessment systems, writing assistants, recommendation tools, and analytics platforms. Their spread has produced a rapidly expanding empirical literature on adoption, acceptance, and use. Yet this literature remains difficult to interpret cumulatively because studies draw from overlapping but nonidentical acceptance frameworks, measure different subsets of constructs, and report evidence in formats that do not directly support a single structural synthesis.</w:t>
      </w:r>
    </w:p>
    <w:p>
      <w:pPr>
        <w:spacing w:line="480" w:lineRule="auto" w:after="0"/>
        <w:ind w:firstLine="720"/>
      </w:pPr>
      <w:r>
        <w:rPr>
          <w:rFonts w:ascii="Times New Roman" w:hAnsi="Times New Roman"/>
          <w:b w:val="0"/>
          <w:i w:val="0"/>
          <w:color w:val="000000"/>
          <w:sz w:val="24"/>
        </w:rPr>
        <w:t>Meta-analytic structural equation modeling (MASEM) is well suited to this problem because it can synthesize study-level correlation matrices and test a theory-guided network of relationships. In AI adoption research, this is especially important. Performance expectancy, effort expectancy, social influence, facilitating conditions, attitude, self-efficacy, behavioral intention, and use behavior provide continuity with TAM, TPB, and UTAUT. At the same time, trust in AI and AI anxiety capture psychological features of AI systems that are not fully reducible to general usefulness or ease-of-use beliefs.</w:t>
      </w:r>
    </w:p>
    <w:p>
      <w:pPr>
        <w:spacing w:line="480" w:lineRule="auto" w:after="0"/>
        <w:ind w:firstLine="720"/>
      </w:pPr>
      <w:r>
        <w:rPr>
          <w:rFonts w:ascii="Times New Roman" w:hAnsi="Times New Roman"/>
          <w:b w:val="0"/>
          <w:i w:val="0"/>
          <w:color w:val="000000"/>
          <w:sz w:val="24"/>
        </w:rPr>
        <w:t>The present study therefore develops a MASEM of AI adoption in higher education that integrates traditional technology acceptance constructs with AI-specific psychological constructs. The working model treats attitude as a theoretically meaningful mediator rather than assuming that the parsimonious UTAUT exclusion of attitude applies unchanged to AI adoption contexts. It also tests whether trust and anxiety contribute to behavioral intention beyond standard acceptance predictors.</w:t>
      </w:r>
    </w:p>
    <w:p>
      <w:pPr>
        <w:spacing w:line="480" w:lineRule="auto" w:after="0"/>
        <w:ind w:firstLine="720"/>
      </w:pPr>
      <w:r>
        <w:rPr>
          <w:rFonts w:ascii="Times New Roman" w:hAnsi="Times New Roman"/>
          <w:b w:val="0"/>
          <w:i w:val="0"/>
          <w:color w:val="000000"/>
          <w:sz w:val="24"/>
        </w:rPr>
        <w:t>The study is designed to answer four research questions: (a) whether core TAM/UTAUT structural paths hold in the pooled AI adoption evidence base, (b) whether AI-specific trust and anxiety add explanatory value beyond traditional predictors, (c) whether attitude mediates effects from performance and effort expectancy to behavioral intention, and (d) whether year, cultural context, education level, and AI tool type moderate focal relationships.</w:t>
      </w:r>
    </w:p>
    <w:p>
      <w:pPr>
        <w:pStyle w:val="Heading1"/>
        <w:spacing w:line="480" w:lineRule="auto" w:after="0"/>
        <w:jc w:val="center"/>
      </w:pPr>
      <w:r/>
      <w:r>
        <w:rPr>
          <w:rFonts w:ascii="Times New Roman" w:hAnsi="Times New Roman"/>
          <w:b/>
          <w:i w:val="0"/>
          <w:color w:val="000000"/>
          <w:sz w:val="24"/>
        </w:rPr>
        <w:t>Literature Review [Reserved for Team Contribution]</w:t>
      </w:r>
    </w:p>
    <w:p>
      <w:pPr>
        <w:spacing w:line="480" w:lineRule="auto" w:after="0"/>
      </w:pPr>
      <w:r>
        <w:rPr>
          <w:rFonts w:ascii="Times New Roman" w:hAnsi="Times New Roman"/>
          <w:b w:val="0"/>
          <w:i w:val="0"/>
          <w:color w:val="000000"/>
          <w:sz w:val="24"/>
        </w:rPr>
        <w:t>[Reserved. Team authors should draft the theory synthesis, construct definitions, prior TAM/UTAUT MASEM evidence, AI trust/anxiety evidence, and hypothesis-development prose here. This draft does not supply Literature Review prose.]</w:t>
      </w:r>
    </w:p>
    <w:p>
      <w:pPr>
        <w:pStyle w:val="Heading1"/>
        <w:spacing w:line="480" w:lineRule="auto" w:after="0"/>
        <w:jc w:val="center"/>
      </w:pPr>
      <w:r/>
      <w:r>
        <w:rPr>
          <w:rFonts w:ascii="Times New Roman" w:hAnsi="Times New Roman"/>
          <w:b/>
          <w:i w:val="0"/>
          <w:color w:val="000000"/>
          <w:sz w:val="24"/>
        </w:rPr>
        <w:t>Method</w:t>
      </w:r>
    </w:p>
    <w:p>
      <w:pPr>
        <w:pStyle w:val="Heading2"/>
        <w:spacing w:line="480" w:lineRule="auto" w:after="0"/>
        <w:jc w:val="left"/>
      </w:pPr>
      <w:r/>
      <w:r>
        <w:rPr>
          <w:rFonts w:ascii="Times New Roman" w:hAnsi="Times New Roman"/>
          <w:b/>
          <w:i w:val="0"/>
          <w:color w:val="000000"/>
          <w:sz w:val="24"/>
        </w:rPr>
        <w:t>Design and Reporting Standards</w:t>
      </w:r>
    </w:p>
    <w:p>
      <w:pPr>
        <w:spacing w:line="480" w:lineRule="auto" w:after="0"/>
        <w:ind w:firstLine="720"/>
      </w:pPr>
      <w:r>
        <w:rPr>
          <w:rFonts w:ascii="Times New Roman" w:hAnsi="Times New Roman"/>
          <w:b w:val="0"/>
          <w:i w:val="0"/>
          <w:color w:val="000000"/>
          <w:sz w:val="24"/>
        </w:rPr>
        <w:t>Paper A is the parent meta-analysis for the AI adoption evidence-synthesis project. It uses systematic-review procedures to identify eligible studies and applies MASEM to synthesize construct-level relationships. Reporting is organized for PRISMA 2020 and APA Meta-Analysis Reporting Standards alignment, with a separate public or supplementary package expected for search records, coding rules, analytic scripts, and model outputs.</w:t>
      </w:r>
    </w:p>
    <w:p>
      <w:pPr>
        <w:pStyle w:val="Heading2"/>
        <w:spacing w:line="480" w:lineRule="auto" w:after="0"/>
        <w:jc w:val="left"/>
      </w:pPr>
      <w:r/>
      <w:r>
        <w:rPr>
          <w:rFonts w:ascii="Times New Roman" w:hAnsi="Times New Roman"/>
          <w:b/>
          <w:i w:val="0"/>
          <w:color w:val="000000"/>
          <w:sz w:val="24"/>
        </w:rPr>
        <w:t>Search, Screening, and Eligibility</w:t>
      </w:r>
    </w:p>
    <w:p>
      <w:pPr>
        <w:spacing w:line="480" w:lineRule="auto" w:after="0"/>
        <w:ind w:firstLine="720"/>
      </w:pPr>
      <w:r>
        <w:rPr>
          <w:rFonts w:ascii="Times New Roman" w:hAnsi="Times New Roman"/>
          <w:b w:val="0"/>
          <w:i w:val="0"/>
          <w:color w:val="000000"/>
          <w:sz w:val="24"/>
        </w:rPr>
        <w:t>The documented search workflow yielded 22,166 records. After deduplication, 16,189 records remained for screening. The screening workflow used tiered AI-assisted and human-verification procedures. The current Paper A proposal brief reports 224 included empirical studies at the proposal checkpoint; the repository README separately marks the final full-text MASEM-eligible count as a lead-analysis value to be locked before submission. The manuscript should harmonize this count before journal submission.</w:t>
      </w:r>
    </w:p>
    <w:p>
      <w:pPr>
        <w:spacing w:line="480" w:lineRule="auto" w:after="0"/>
        <w:ind w:firstLine="720"/>
      </w:pPr>
      <w:r>
        <w:rPr>
          <w:rFonts w:ascii="Times New Roman" w:hAnsi="Times New Roman"/>
          <w:b w:val="0"/>
          <w:i w:val="0"/>
          <w:color w:val="000000"/>
          <w:sz w:val="24"/>
        </w:rPr>
        <w:t>Studies were eligible when they examined AI technology adoption, acceptance, or use in higher education; reported quantitative relationships among at least two focal constructs; included undergraduate students, graduate students, instructors, faculty, or comparable higher-education users; and provided direct correlations, matrix tables, Fornell-Larcker or related evidence, HTMT or sufficient statistics that could be evaluated for MASEM readiness. Studies without usable target construct-pair evidence were excluded from the primary MASEM input while preserving audit trails for sensitivity and source-risk review.</w:t>
      </w:r>
    </w:p>
    <w:p>
      <w:pPr>
        <w:pStyle w:val="Heading2"/>
        <w:spacing w:line="480" w:lineRule="auto" w:after="0"/>
        <w:jc w:val="left"/>
      </w:pPr>
      <w:r/>
      <w:r>
        <w:rPr>
          <w:rFonts w:ascii="Times New Roman" w:hAnsi="Times New Roman"/>
          <w:b/>
          <w:i w:val="0"/>
          <w:color w:val="000000"/>
          <w:sz w:val="24"/>
        </w:rPr>
        <w:t>Constructs and Model Architecture</w:t>
      </w:r>
    </w:p>
    <w:p>
      <w:pPr>
        <w:spacing w:line="480" w:lineRule="auto" w:after="0"/>
        <w:ind w:firstLine="720"/>
      </w:pPr>
      <w:r>
        <w:rPr>
          <w:rFonts w:ascii="Times New Roman" w:hAnsi="Times New Roman"/>
          <w:b w:val="0"/>
          <w:i w:val="0"/>
          <w:color w:val="000000"/>
          <w:sz w:val="24"/>
        </w:rPr>
        <w:t>The primary structural model uses 10 constructs: performance expectancy, effort expectancy, social influence, facilitating conditions, attitude, self-efficacy, trust in AI, AI anxiety, behavioral intention, and use behavior. The planned structural architecture places performance expectancy and effort expectancy upstream of attitude, attitude upstream of behavioral intention, and behavioral intention upstream of use behavior. Social influence, self-efficacy, trust, and anxiety are modeled as additional antecedents of behavioral intention, and facilitating conditions are modeled as an antecedent of use behavior.</w:t>
      </w:r>
    </w:p>
    <w:p>
      <w:pPr>
        <w:pStyle w:val="Heading2"/>
        <w:spacing w:line="480" w:lineRule="auto" w:after="0"/>
        <w:jc w:val="left"/>
      </w:pPr>
      <w:r/>
      <w:r>
        <w:rPr>
          <w:rFonts w:ascii="Times New Roman" w:hAnsi="Times New Roman"/>
          <w:b/>
          <w:i w:val="0"/>
          <w:color w:val="000000"/>
          <w:sz w:val="24"/>
        </w:rPr>
        <w:t>Coding, Source Adjudication, and Analysis-Ready Inputs</w:t>
      </w:r>
    </w:p>
    <w:p>
      <w:pPr>
        <w:spacing w:line="480" w:lineRule="auto" w:after="0"/>
        <w:ind w:firstLine="720"/>
      </w:pPr>
      <w:r>
        <w:rPr>
          <w:rFonts w:ascii="Times New Roman" w:hAnsi="Times New Roman"/>
          <w:b w:val="0"/>
          <w:i w:val="0"/>
          <w:color w:val="000000"/>
          <w:sz w:val="24"/>
        </w:rPr>
        <w:t>The extraction workflow separates raw coder workbooks, pre-adjudication disagreement records, source-document decisions, analysis-ready direct-r inputs, expanded direct-r-form inputs, and converted/source-statistic sensitivity inputs. Raw coder workbooks are preserved as returns and are not overwritten by downstream consensus or analysis scripts.</w:t>
      </w:r>
    </w:p>
    <w:p>
      <w:pPr>
        <w:spacing w:line="480" w:lineRule="auto" w:after="0"/>
        <w:ind w:firstLine="720"/>
      </w:pPr>
      <w:r>
        <w:rPr>
          <w:rFonts w:ascii="Times New Roman" w:hAnsi="Times New Roman"/>
          <w:b w:val="0"/>
          <w:i w:val="0"/>
          <w:color w:val="000000"/>
          <w:sz w:val="24"/>
        </w:rPr>
        <w:t>The 2026-06-05 Paper1 analysis-ready package defines three analysis sets. The primary set keeps source-reported or source-adjudicated direct-r rows for the main MASEM input. The expanded set retains all human-consensus direct-r-form rows while explicitly marking model-derived or converted rows. The sensitivity set keeps beta/path/source-statistic converted rows for sensitivity analysis rather than treating them as direct-r equivalents.</w:t>
      </w:r>
    </w:p>
    <w:p>
      <w:pPr>
        <w:pStyle w:val="Heading2"/>
        <w:spacing w:line="480" w:lineRule="auto" w:after="0"/>
        <w:jc w:val="left"/>
      </w:pPr>
      <w:r/>
      <w:r>
        <w:rPr>
          <w:rFonts w:ascii="Times New Roman" w:hAnsi="Times New Roman"/>
          <w:b/>
          <w:i w:val="0"/>
          <w:color w:val="000000"/>
          <w:sz w:val="24"/>
        </w:rPr>
        <w:t>Meta-Analytic Structural Equation Modeling Plan</w:t>
      </w:r>
    </w:p>
    <w:p>
      <w:pPr>
        <w:spacing w:line="480" w:lineRule="auto" w:after="0"/>
        <w:ind w:firstLine="720"/>
      </w:pPr>
      <w:r>
        <w:rPr>
          <w:rFonts w:ascii="Times New Roman" w:hAnsi="Times New Roman"/>
          <w:b w:val="0"/>
          <w:i w:val="0"/>
          <w:color w:val="000000"/>
          <w:sz w:val="24"/>
        </w:rPr>
        <w:t>The primary analysis will use two-stage MASEM. Stage 1 will pool study-level correlation matrices using a random-effects model and full-information handling of incomplete construct-pair coverage when supported by the software and data structure. Stage 2 will fit the prespecified structural model to the pooled matrix using weighted least squares. Moderator analyses will be evaluated with one-stage MASEM or equivalent meta-regression methods when the moderator data are sufficiently complete.</w:t>
      </w:r>
    </w:p>
    <w:p>
      <w:pPr>
        <w:spacing w:line="480" w:lineRule="auto" w:after="0"/>
        <w:ind w:firstLine="720"/>
      </w:pPr>
      <w:r>
        <w:rPr>
          <w:rFonts w:ascii="Times New Roman" w:hAnsi="Times New Roman"/>
          <w:b w:val="0"/>
          <w:i w:val="0"/>
          <w:color w:val="000000"/>
          <w:sz w:val="24"/>
        </w:rPr>
        <w:t>Sensitivity analyses will evaluate whether conclusions change when expanded direct-r-form rows, converted beta/path/source-statistic rows, source-risk exclusions, and influence diagnostics are included or excluded. The S072 ANX-EE r = 1.0 row is excluded from the primary model input and retained only as a trace/influence diagnostic.</w:t>
      </w:r>
    </w:p>
    <w:p>
      <w:pPr>
        <w:pStyle w:val="Heading1"/>
        <w:spacing w:line="480" w:lineRule="auto" w:after="0"/>
        <w:jc w:val="center"/>
      </w:pPr>
      <w:r/>
      <w:r>
        <w:rPr>
          <w:rFonts w:ascii="Times New Roman" w:hAnsi="Times New Roman"/>
          <w:b/>
          <w:i w:val="0"/>
          <w:color w:val="000000"/>
          <w:sz w:val="24"/>
        </w:rPr>
        <w:t>Results</w:t>
      </w:r>
    </w:p>
    <w:p>
      <w:pPr>
        <w:pStyle w:val="Heading2"/>
        <w:spacing w:line="480" w:lineRule="auto" w:after="0"/>
        <w:jc w:val="left"/>
      </w:pPr>
      <w:r/>
      <w:r>
        <w:rPr>
          <w:rFonts w:ascii="Times New Roman" w:hAnsi="Times New Roman"/>
          <w:b/>
          <w:i w:val="0"/>
          <w:color w:val="000000"/>
          <w:sz w:val="24"/>
        </w:rPr>
        <w:t>Search and Screening Status</w:t>
      </w:r>
    </w:p>
    <w:p>
      <w:pPr>
        <w:spacing w:line="480" w:lineRule="auto" w:after="0"/>
        <w:ind w:firstLine="720"/>
      </w:pPr>
      <w:r>
        <w:rPr>
          <w:rFonts w:ascii="Times New Roman" w:hAnsi="Times New Roman"/>
          <w:b w:val="0"/>
          <w:i w:val="0"/>
          <w:color w:val="000000"/>
          <w:sz w:val="24"/>
        </w:rPr>
        <w:t>The current project records document 22,166 identified records and 16,189 records after deduplication. The screening pipeline further reduced records through keyword filtering, AI-assisted classification, and human verification. The lead-analysis manuscript should insert the final PRISMA counts for full-text assessment, exclusions with reasons, and final MASEM-eligible studies after the final inclusion file is locked.</w:t>
      </w:r>
    </w:p>
    <w:p>
      <w:pPr>
        <w:keepNext/>
        <w:spacing w:line="480" w:lineRule="auto" w:after="0"/>
      </w:pPr>
      <w:r>
        <w:rPr>
          <w:rFonts w:ascii="Times New Roman" w:hAnsi="Times New Roman"/>
          <w:b/>
          <w:i w:val="0"/>
          <w:color w:val="000000"/>
          <w:sz w:val="24"/>
        </w:rPr>
        <w:t>Table 1</w:t>
      </w:r>
    </w:p>
    <w:p>
      <w:pPr>
        <w:keepNext/>
        <w:spacing w:line="480" w:lineRule="auto" w:after="0"/>
      </w:pPr>
      <w:r>
        <w:rPr>
          <w:rFonts w:ascii="Times New Roman" w:hAnsi="Times New Roman"/>
          <w:b w:val="0"/>
          <w:i/>
          <w:color w:val="000000"/>
          <w:sz w:val="24"/>
        </w:rPr>
        <w:t>Current Paper A Search and Screening Counts</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top"/>
            <w:tcW w:w="3120" w:type="dxa"/>
          </w:tcPr>
          <w:p>
            <w:pPr>
              <w:spacing w:after="0" w:line="240" w:lineRule="auto"/>
              <w:jc w:val="left"/>
            </w:pPr>
            <w:r/>
            <w:r>
              <w:rPr>
                <w:rFonts w:ascii="Times New Roman" w:hAnsi="Times New Roman"/>
                <w:b/>
                <w:i w:val="0"/>
                <w:color w:val="000000"/>
                <w:sz w:val="21"/>
              </w:rPr>
              <w:t>Stage</w:t>
            </w:r>
          </w:p>
        </w:tc>
        <w:tc>
          <w:tcPr>
            <w:tcW w:type="dxa" w:w="3120"/>
            <w:vAlign w:val="top"/>
            <w:tcW w:w="3120" w:type="dxa"/>
          </w:tcPr>
          <w:p>
            <w:pPr>
              <w:spacing w:after="0" w:line="240" w:lineRule="auto"/>
              <w:jc w:val="left"/>
            </w:pPr>
            <w:r/>
            <w:r>
              <w:rPr>
                <w:rFonts w:ascii="Times New Roman" w:hAnsi="Times New Roman"/>
                <w:b/>
                <w:i w:val="0"/>
                <w:color w:val="000000"/>
                <w:sz w:val="21"/>
              </w:rPr>
              <w:t>Count</w:t>
            </w:r>
          </w:p>
        </w:tc>
        <w:tc>
          <w:tcPr>
            <w:tcW w:type="dxa" w:w="3120"/>
            <w:vAlign w:val="top"/>
            <w:tcW w:w="3120" w:type="dxa"/>
          </w:tcPr>
          <w:p>
            <w:pPr>
              <w:spacing w:after="0" w:line="240" w:lineRule="auto"/>
              <w:jc w:val="left"/>
            </w:pPr>
            <w:r/>
            <w:r>
              <w:rPr>
                <w:rFonts w:ascii="Times New Roman" w:hAnsi="Times New Roman"/>
                <w:b/>
                <w:i w:val="0"/>
                <w:color w:val="000000"/>
                <w:sz w:val="21"/>
              </w:rPr>
              <w:t>Status for manuscript</w:t>
            </w:r>
          </w:p>
        </w:tc>
      </w:tr>
      <w:tr>
        <w:tc>
          <w:tcPr>
            <w:tcW w:type="dxa" w:w="3120"/>
            <w:vAlign w:val="top"/>
            <w:tcW w:w="3120" w:type="dxa"/>
          </w:tcPr>
          <w:p>
            <w:pPr>
              <w:spacing w:after="0" w:line="240" w:lineRule="auto"/>
              <w:jc w:val="left"/>
            </w:pPr>
            <w:r/>
            <w:r>
              <w:rPr>
                <w:rFonts w:ascii="Times New Roman" w:hAnsi="Times New Roman"/>
                <w:b w:val="0"/>
                <w:i w:val="0"/>
                <w:color w:val="000000"/>
                <w:sz w:val="21"/>
              </w:rPr>
              <w:t>Records identified</w:t>
            </w:r>
          </w:p>
        </w:tc>
        <w:tc>
          <w:tcPr>
            <w:tcW w:type="dxa" w:w="3120"/>
            <w:vAlign w:val="top"/>
            <w:tcW w:w="3120" w:type="dxa"/>
          </w:tcPr>
          <w:p>
            <w:pPr>
              <w:spacing w:after="0" w:line="240" w:lineRule="auto"/>
              <w:jc w:val="left"/>
            </w:pPr>
            <w:r/>
            <w:r>
              <w:rPr>
                <w:rFonts w:ascii="Times New Roman" w:hAnsi="Times New Roman"/>
                <w:b w:val="0"/>
                <w:i w:val="0"/>
                <w:color w:val="000000"/>
                <w:sz w:val="21"/>
              </w:rPr>
              <w:t>22,166</w:t>
            </w:r>
          </w:p>
        </w:tc>
        <w:tc>
          <w:tcPr>
            <w:tcW w:type="dxa" w:w="3120"/>
            <w:vAlign w:val="top"/>
            <w:tcW w:w="3120" w:type="dxa"/>
          </w:tcPr>
          <w:p>
            <w:pPr>
              <w:spacing w:after="0" w:line="240" w:lineRule="auto"/>
              <w:jc w:val="left"/>
            </w:pPr>
            <w:r/>
            <w:r>
              <w:rPr>
                <w:rFonts w:ascii="Times New Roman" w:hAnsi="Times New Roman"/>
                <w:b w:val="0"/>
                <w:i w:val="0"/>
                <w:color w:val="000000"/>
                <w:sz w:val="21"/>
              </w:rPr>
              <w:t>Ready to report</w:t>
            </w:r>
          </w:p>
        </w:tc>
      </w:tr>
      <w:tr>
        <w:tc>
          <w:tcPr>
            <w:tcW w:type="dxa" w:w="3120"/>
            <w:vAlign w:val="top"/>
            <w:tcW w:w="3120" w:type="dxa"/>
          </w:tcPr>
          <w:p>
            <w:pPr>
              <w:spacing w:after="0" w:line="240" w:lineRule="auto"/>
              <w:jc w:val="left"/>
            </w:pPr>
            <w:r/>
            <w:r>
              <w:rPr>
                <w:rFonts w:ascii="Times New Roman" w:hAnsi="Times New Roman"/>
                <w:b w:val="0"/>
                <w:i w:val="0"/>
                <w:color w:val="000000"/>
                <w:sz w:val="21"/>
              </w:rPr>
              <w:t>After deduplication</w:t>
            </w:r>
          </w:p>
        </w:tc>
        <w:tc>
          <w:tcPr>
            <w:tcW w:type="dxa" w:w="3120"/>
            <w:vAlign w:val="top"/>
            <w:tcW w:w="3120" w:type="dxa"/>
          </w:tcPr>
          <w:p>
            <w:pPr>
              <w:spacing w:after="0" w:line="240" w:lineRule="auto"/>
              <w:jc w:val="left"/>
            </w:pPr>
            <w:r/>
            <w:r>
              <w:rPr>
                <w:rFonts w:ascii="Times New Roman" w:hAnsi="Times New Roman"/>
                <w:b w:val="0"/>
                <w:i w:val="0"/>
                <w:color w:val="000000"/>
                <w:sz w:val="21"/>
              </w:rPr>
              <w:t>16,189</w:t>
            </w:r>
          </w:p>
        </w:tc>
        <w:tc>
          <w:tcPr>
            <w:tcW w:type="dxa" w:w="3120"/>
            <w:vAlign w:val="top"/>
            <w:tcW w:w="3120" w:type="dxa"/>
          </w:tcPr>
          <w:p>
            <w:pPr>
              <w:spacing w:after="0" w:line="240" w:lineRule="auto"/>
              <w:jc w:val="left"/>
            </w:pPr>
            <w:r/>
            <w:r>
              <w:rPr>
                <w:rFonts w:ascii="Times New Roman" w:hAnsi="Times New Roman"/>
                <w:b w:val="0"/>
                <w:i w:val="0"/>
                <w:color w:val="000000"/>
                <w:sz w:val="21"/>
              </w:rPr>
              <w:t>Ready to report</w:t>
            </w:r>
          </w:p>
        </w:tc>
      </w:tr>
      <w:tr>
        <w:tc>
          <w:tcPr>
            <w:tcW w:type="dxa" w:w="3120"/>
            <w:vAlign w:val="top"/>
            <w:tcW w:w="3120" w:type="dxa"/>
          </w:tcPr>
          <w:p>
            <w:pPr>
              <w:spacing w:after="0" w:line="240" w:lineRule="auto"/>
              <w:jc w:val="left"/>
            </w:pPr>
            <w:r/>
            <w:r>
              <w:rPr>
                <w:rFonts w:ascii="Times New Roman" w:hAnsi="Times New Roman"/>
                <w:b w:val="0"/>
                <w:i w:val="0"/>
                <w:color w:val="000000"/>
                <w:sz w:val="21"/>
              </w:rPr>
              <w:t>After keyword filter</w:t>
            </w:r>
          </w:p>
        </w:tc>
        <w:tc>
          <w:tcPr>
            <w:tcW w:type="dxa" w:w="3120"/>
            <w:vAlign w:val="top"/>
            <w:tcW w:w="3120" w:type="dxa"/>
          </w:tcPr>
          <w:p>
            <w:pPr>
              <w:spacing w:after="0" w:line="240" w:lineRule="auto"/>
              <w:jc w:val="left"/>
            </w:pPr>
            <w:r/>
            <w:r>
              <w:rPr>
                <w:rFonts w:ascii="Times New Roman" w:hAnsi="Times New Roman"/>
                <w:b w:val="0"/>
                <w:i w:val="0"/>
                <w:color w:val="000000"/>
                <w:sz w:val="21"/>
              </w:rPr>
              <w:t>3,274</w:t>
            </w:r>
          </w:p>
        </w:tc>
        <w:tc>
          <w:tcPr>
            <w:tcW w:type="dxa" w:w="3120"/>
            <w:vAlign w:val="top"/>
            <w:tcW w:w="3120" w:type="dxa"/>
          </w:tcPr>
          <w:p>
            <w:pPr>
              <w:spacing w:after="0" w:line="240" w:lineRule="auto"/>
              <w:jc w:val="left"/>
            </w:pPr>
            <w:r/>
            <w:r>
              <w:rPr>
                <w:rFonts w:ascii="Times New Roman" w:hAnsi="Times New Roman"/>
                <w:b w:val="0"/>
                <w:i w:val="0"/>
                <w:color w:val="000000"/>
                <w:sz w:val="21"/>
              </w:rPr>
              <w:t>Repository README checkpoint</w:t>
            </w:r>
          </w:p>
        </w:tc>
      </w:tr>
      <w:tr>
        <w:tc>
          <w:tcPr>
            <w:tcW w:type="dxa" w:w="3120"/>
            <w:vAlign w:val="top"/>
            <w:tcW w:w="3120" w:type="dxa"/>
          </w:tcPr>
          <w:p>
            <w:pPr>
              <w:spacing w:after="0" w:line="240" w:lineRule="auto"/>
              <w:jc w:val="left"/>
            </w:pPr>
            <w:r/>
            <w:r>
              <w:rPr>
                <w:rFonts w:ascii="Times New Roman" w:hAnsi="Times New Roman"/>
                <w:b w:val="0"/>
                <w:i w:val="0"/>
                <w:color w:val="000000"/>
                <w:sz w:val="21"/>
              </w:rPr>
              <w:t>AI-assisted human review queue</w:t>
            </w:r>
          </w:p>
        </w:tc>
        <w:tc>
          <w:tcPr>
            <w:tcW w:type="dxa" w:w="3120"/>
            <w:vAlign w:val="top"/>
            <w:tcW w:w="3120" w:type="dxa"/>
          </w:tcPr>
          <w:p>
            <w:pPr>
              <w:spacing w:after="0" w:line="240" w:lineRule="auto"/>
              <w:jc w:val="left"/>
            </w:pPr>
            <w:r/>
            <w:r>
              <w:rPr>
                <w:rFonts w:ascii="Times New Roman" w:hAnsi="Times New Roman"/>
                <w:b w:val="0"/>
                <w:i w:val="0"/>
                <w:color w:val="000000"/>
                <w:sz w:val="21"/>
              </w:rPr>
              <w:t>1,457</w:t>
            </w:r>
          </w:p>
        </w:tc>
        <w:tc>
          <w:tcPr>
            <w:tcW w:type="dxa" w:w="3120"/>
            <w:vAlign w:val="top"/>
            <w:tcW w:w="3120" w:type="dxa"/>
          </w:tcPr>
          <w:p>
            <w:pPr>
              <w:spacing w:after="0" w:line="240" w:lineRule="auto"/>
              <w:jc w:val="left"/>
            </w:pPr>
            <w:r/>
            <w:r>
              <w:rPr>
                <w:rFonts w:ascii="Times New Roman" w:hAnsi="Times New Roman"/>
                <w:b w:val="0"/>
                <w:i w:val="0"/>
                <w:color w:val="000000"/>
                <w:sz w:val="21"/>
              </w:rPr>
              <w:t>Repository README checkpoint</w:t>
            </w:r>
          </w:p>
        </w:tc>
      </w:tr>
      <w:tr>
        <w:tc>
          <w:tcPr>
            <w:tcW w:type="dxa" w:w="3120"/>
            <w:vAlign w:val="top"/>
            <w:tcW w:w="3120" w:type="dxa"/>
          </w:tcPr>
          <w:p>
            <w:pPr>
              <w:spacing w:after="0" w:line="240" w:lineRule="auto"/>
              <w:jc w:val="left"/>
            </w:pPr>
            <w:r/>
            <w:r>
              <w:rPr>
                <w:rFonts w:ascii="Times New Roman" w:hAnsi="Times New Roman"/>
                <w:b w:val="0"/>
                <w:i w:val="0"/>
                <w:color w:val="000000"/>
                <w:sz w:val="21"/>
              </w:rPr>
              <w:t>Included studies</w:t>
            </w:r>
          </w:p>
        </w:tc>
        <w:tc>
          <w:tcPr>
            <w:tcW w:type="dxa" w:w="3120"/>
            <w:vAlign w:val="top"/>
            <w:tcW w:w="3120" w:type="dxa"/>
          </w:tcPr>
          <w:p>
            <w:pPr>
              <w:spacing w:after="0" w:line="240" w:lineRule="auto"/>
              <w:jc w:val="left"/>
            </w:pPr>
            <w:r/>
            <w:r>
              <w:rPr>
                <w:rFonts w:ascii="Times New Roman" w:hAnsi="Times New Roman"/>
                <w:b w:val="0"/>
                <w:i w:val="0"/>
                <w:color w:val="000000"/>
                <w:sz w:val="21"/>
              </w:rPr>
              <w:t>224 proposal checkpoint; final count to lock</w:t>
            </w:r>
          </w:p>
        </w:tc>
        <w:tc>
          <w:tcPr>
            <w:tcW w:type="dxa" w:w="3120"/>
            <w:vAlign w:val="top"/>
            <w:tcW w:w="3120" w:type="dxa"/>
          </w:tcPr>
          <w:p>
            <w:pPr>
              <w:spacing w:after="0" w:line="240" w:lineRule="auto"/>
              <w:jc w:val="left"/>
            </w:pPr>
            <w:r/>
            <w:r>
              <w:rPr>
                <w:rFonts w:ascii="Times New Roman" w:hAnsi="Times New Roman"/>
                <w:b w:val="0"/>
                <w:i w:val="0"/>
                <w:color w:val="000000"/>
                <w:sz w:val="21"/>
              </w:rPr>
              <w:t>Lead confirmation required before submission</w:t>
            </w:r>
          </w:p>
        </w:tc>
      </w:tr>
    </w:tbl>
    <w:p>
      <w:pPr>
        <w:spacing w:line="480" w:lineRule="auto" w:after="0"/>
      </w:pPr>
      <w:r>
        <w:rPr>
          <w:rFonts w:ascii="Times New Roman" w:hAnsi="Times New Roman"/>
          <w:b w:val="0"/>
          <w:i/>
          <w:color w:val="000000"/>
          <w:sz w:val="20"/>
        </w:rPr>
        <w:t>Note. Draft table; update after lead analysis lock where indicated.</w:t>
      </w:r>
    </w:p>
    <w:p>
      <w:pPr>
        <w:pStyle w:val="Heading2"/>
        <w:spacing w:line="480" w:lineRule="auto" w:after="0"/>
        <w:jc w:val="left"/>
      </w:pPr>
      <w:r/>
      <w:r>
        <w:rPr>
          <w:rFonts w:ascii="Times New Roman" w:hAnsi="Times New Roman"/>
          <w:b/>
          <w:i w:val="0"/>
          <w:color w:val="000000"/>
          <w:sz w:val="24"/>
        </w:rPr>
        <w:t>Analysis-Ready Evidence Base</w:t>
      </w:r>
    </w:p>
    <w:p>
      <w:pPr>
        <w:spacing w:line="480" w:lineRule="auto" w:after="0"/>
        <w:ind w:firstLine="720"/>
      </w:pPr>
      <w:r>
        <w:rPr>
          <w:rFonts w:ascii="Times New Roman" w:hAnsi="Times New Roman"/>
          <w:b w:val="0"/>
          <w:i w:val="0"/>
          <w:color w:val="000000"/>
          <w:sz w:val="24"/>
        </w:rPr>
        <w:t>At the 2026-06-05 analysis-ready checkpoint, the primary direct-r input contained 822 rows, the expanded direct-r-form input contained 1,303 rows, the converted/source-statistic sensitivity input contained 481 rows, and the long stacked file contained 2,606 rows. Within the primary file, 805 rows were direct-r-like and 17 rows remained non-direct or source-statistic review candidates.</w:t>
      </w:r>
    </w:p>
    <w:p>
      <w:pPr>
        <w:keepNext/>
        <w:spacing w:line="480" w:lineRule="auto" w:after="0"/>
      </w:pPr>
      <w:r>
        <w:rPr>
          <w:rFonts w:ascii="Times New Roman" w:hAnsi="Times New Roman"/>
          <w:b/>
          <w:i w:val="0"/>
          <w:color w:val="000000"/>
          <w:sz w:val="24"/>
        </w:rPr>
        <w:t>Table 2</w:t>
      </w:r>
    </w:p>
    <w:p>
      <w:pPr>
        <w:keepNext/>
        <w:spacing w:line="480" w:lineRule="auto" w:after="0"/>
      </w:pPr>
      <w:r>
        <w:rPr>
          <w:rFonts w:ascii="Times New Roman" w:hAnsi="Times New Roman"/>
          <w:b w:val="0"/>
          <w:i/>
          <w:color w:val="000000"/>
          <w:sz w:val="24"/>
        </w:rPr>
        <w:t>Paper A Analysis-Ready Input Sets</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top"/>
            <w:tcW w:w="3120" w:type="dxa"/>
          </w:tcPr>
          <w:p>
            <w:pPr>
              <w:spacing w:after="0" w:line="240" w:lineRule="auto"/>
              <w:jc w:val="left"/>
            </w:pPr>
            <w:r/>
            <w:r>
              <w:rPr>
                <w:rFonts w:ascii="Times New Roman" w:hAnsi="Times New Roman"/>
                <w:b/>
                <w:i w:val="0"/>
                <w:color w:val="000000"/>
                <w:sz w:val="21"/>
              </w:rPr>
              <w:t>Input set</w:t>
            </w:r>
          </w:p>
        </w:tc>
        <w:tc>
          <w:tcPr>
            <w:tcW w:type="dxa" w:w="3120"/>
            <w:vAlign w:val="top"/>
            <w:tcW w:w="3120" w:type="dxa"/>
          </w:tcPr>
          <w:p>
            <w:pPr>
              <w:spacing w:after="0" w:line="240" w:lineRule="auto"/>
              <w:jc w:val="left"/>
            </w:pPr>
            <w:r/>
            <w:r>
              <w:rPr>
                <w:rFonts w:ascii="Times New Roman" w:hAnsi="Times New Roman"/>
                <w:b/>
                <w:i w:val="0"/>
                <w:color w:val="000000"/>
                <w:sz w:val="21"/>
              </w:rPr>
              <w:t>Rows</w:t>
            </w:r>
          </w:p>
        </w:tc>
        <w:tc>
          <w:tcPr>
            <w:tcW w:type="dxa" w:w="3120"/>
            <w:vAlign w:val="top"/>
            <w:tcW w:w="3120" w:type="dxa"/>
          </w:tcPr>
          <w:p>
            <w:pPr>
              <w:spacing w:after="0" w:line="240" w:lineRule="auto"/>
              <w:jc w:val="left"/>
            </w:pPr>
            <w:r/>
            <w:r>
              <w:rPr>
                <w:rFonts w:ascii="Times New Roman" w:hAnsi="Times New Roman"/>
                <w:b/>
                <w:i w:val="0"/>
                <w:color w:val="000000"/>
                <w:sz w:val="21"/>
              </w:rPr>
              <w:t>Manuscript role</w:t>
            </w:r>
          </w:p>
        </w:tc>
      </w:tr>
      <w:tr>
        <w:tc>
          <w:tcPr>
            <w:tcW w:type="dxa" w:w="3120"/>
            <w:vAlign w:val="top"/>
            <w:tcW w:w="3120" w:type="dxa"/>
          </w:tcPr>
          <w:p>
            <w:pPr>
              <w:spacing w:after="0" w:line="240" w:lineRule="auto"/>
              <w:jc w:val="left"/>
            </w:pPr>
            <w:r/>
            <w:r>
              <w:rPr>
                <w:rFonts w:ascii="Times New Roman" w:hAnsi="Times New Roman"/>
                <w:b w:val="0"/>
                <w:i w:val="0"/>
                <w:color w:val="000000"/>
                <w:sz w:val="21"/>
              </w:rPr>
              <w:t>Primary direct-r</w:t>
            </w:r>
          </w:p>
        </w:tc>
        <w:tc>
          <w:tcPr>
            <w:tcW w:type="dxa" w:w="3120"/>
            <w:vAlign w:val="top"/>
            <w:tcW w:w="3120" w:type="dxa"/>
          </w:tcPr>
          <w:p>
            <w:pPr>
              <w:spacing w:after="0" w:line="240" w:lineRule="auto"/>
              <w:jc w:val="left"/>
            </w:pPr>
            <w:r/>
            <w:r>
              <w:rPr>
                <w:rFonts w:ascii="Times New Roman" w:hAnsi="Times New Roman"/>
                <w:b w:val="0"/>
                <w:i w:val="0"/>
                <w:color w:val="000000"/>
                <w:sz w:val="21"/>
              </w:rPr>
              <w:t>822</w:t>
            </w:r>
          </w:p>
        </w:tc>
        <w:tc>
          <w:tcPr>
            <w:tcW w:type="dxa" w:w="3120"/>
            <w:vAlign w:val="top"/>
            <w:tcW w:w="3120" w:type="dxa"/>
          </w:tcPr>
          <w:p>
            <w:pPr>
              <w:spacing w:after="0" w:line="240" w:lineRule="auto"/>
              <w:jc w:val="left"/>
            </w:pPr>
            <w:r/>
            <w:r>
              <w:rPr>
                <w:rFonts w:ascii="Times New Roman" w:hAnsi="Times New Roman"/>
                <w:b w:val="0"/>
                <w:i w:val="0"/>
                <w:color w:val="000000"/>
                <w:sz w:val="21"/>
              </w:rPr>
              <w:t>Main MASEM input after final source and sample-size policy checks</w:t>
            </w:r>
          </w:p>
        </w:tc>
      </w:tr>
      <w:tr>
        <w:tc>
          <w:tcPr>
            <w:tcW w:type="dxa" w:w="3120"/>
            <w:vAlign w:val="top"/>
            <w:tcW w:w="3120" w:type="dxa"/>
          </w:tcPr>
          <w:p>
            <w:pPr>
              <w:spacing w:after="0" w:line="240" w:lineRule="auto"/>
              <w:jc w:val="left"/>
            </w:pPr>
            <w:r/>
            <w:r>
              <w:rPr>
                <w:rFonts w:ascii="Times New Roman" w:hAnsi="Times New Roman"/>
                <w:b w:val="0"/>
                <w:i w:val="0"/>
                <w:color w:val="000000"/>
                <w:sz w:val="21"/>
              </w:rPr>
              <w:t>Expanded direct-r-form</w:t>
            </w:r>
          </w:p>
        </w:tc>
        <w:tc>
          <w:tcPr>
            <w:tcW w:type="dxa" w:w="3120"/>
            <w:vAlign w:val="top"/>
            <w:tcW w:w="3120" w:type="dxa"/>
          </w:tcPr>
          <w:p>
            <w:pPr>
              <w:spacing w:after="0" w:line="240" w:lineRule="auto"/>
              <w:jc w:val="left"/>
            </w:pPr>
            <w:r/>
            <w:r>
              <w:rPr>
                <w:rFonts w:ascii="Times New Roman" w:hAnsi="Times New Roman"/>
                <w:b w:val="0"/>
                <w:i w:val="0"/>
                <w:color w:val="000000"/>
                <w:sz w:val="21"/>
              </w:rPr>
              <w:t>1,303</w:t>
            </w:r>
          </w:p>
        </w:tc>
        <w:tc>
          <w:tcPr>
            <w:tcW w:type="dxa" w:w="3120"/>
            <w:vAlign w:val="top"/>
            <w:tcW w:w="3120" w:type="dxa"/>
          </w:tcPr>
          <w:p>
            <w:pPr>
              <w:spacing w:after="0" w:line="240" w:lineRule="auto"/>
              <w:jc w:val="left"/>
            </w:pPr>
            <w:r/>
            <w:r>
              <w:rPr>
                <w:rFonts w:ascii="Times New Roman" w:hAnsi="Times New Roman"/>
                <w:b w:val="0"/>
                <w:i w:val="0"/>
                <w:color w:val="000000"/>
                <w:sz w:val="21"/>
              </w:rPr>
              <w:t>Sensitivity or expanded coverage layer</w:t>
            </w:r>
          </w:p>
        </w:tc>
      </w:tr>
      <w:tr>
        <w:tc>
          <w:tcPr>
            <w:tcW w:type="dxa" w:w="3120"/>
            <w:vAlign w:val="top"/>
            <w:tcW w:w="3120" w:type="dxa"/>
          </w:tcPr>
          <w:p>
            <w:pPr>
              <w:spacing w:after="0" w:line="240" w:lineRule="auto"/>
              <w:jc w:val="left"/>
            </w:pPr>
            <w:r/>
            <w:r>
              <w:rPr>
                <w:rFonts w:ascii="Times New Roman" w:hAnsi="Times New Roman"/>
                <w:b w:val="0"/>
                <w:i w:val="0"/>
                <w:color w:val="000000"/>
                <w:sz w:val="21"/>
              </w:rPr>
              <w:t>Converted beta/path/source-statistic</w:t>
            </w:r>
          </w:p>
        </w:tc>
        <w:tc>
          <w:tcPr>
            <w:tcW w:type="dxa" w:w="3120"/>
            <w:vAlign w:val="top"/>
            <w:tcW w:w="3120" w:type="dxa"/>
          </w:tcPr>
          <w:p>
            <w:pPr>
              <w:spacing w:after="0" w:line="240" w:lineRule="auto"/>
              <w:jc w:val="left"/>
            </w:pPr>
            <w:r/>
            <w:r>
              <w:rPr>
                <w:rFonts w:ascii="Times New Roman" w:hAnsi="Times New Roman"/>
                <w:b w:val="0"/>
                <w:i w:val="0"/>
                <w:color w:val="000000"/>
                <w:sz w:val="21"/>
              </w:rPr>
              <w:t>481</w:t>
            </w:r>
          </w:p>
        </w:tc>
        <w:tc>
          <w:tcPr>
            <w:tcW w:type="dxa" w:w="3120"/>
            <w:vAlign w:val="top"/>
            <w:tcW w:w="3120" w:type="dxa"/>
          </w:tcPr>
          <w:p>
            <w:pPr>
              <w:spacing w:after="0" w:line="240" w:lineRule="auto"/>
              <w:jc w:val="left"/>
            </w:pPr>
            <w:r/>
            <w:r>
              <w:rPr>
                <w:rFonts w:ascii="Times New Roman" w:hAnsi="Times New Roman"/>
                <w:b w:val="0"/>
                <w:i w:val="0"/>
                <w:color w:val="000000"/>
                <w:sz w:val="21"/>
              </w:rPr>
              <w:t>Sensitivity layer, not direct-r equivalence</w:t>
            </w:r>
          </w:p>
        </w:tc>
      </w:tr>
      <w:tr>
        <w:tc>
          <w:tcPr>
            <w:tcW w:type="dxa" w:w="3120"/>
            <w:vAlign w:val="top"/>
            <w:tcW w:w="3120" w:type="dxa"/>
          </w:tcPr>
          <w:p>
            <w:pPr>
              <w:spacing w:after="0" w:line="240" w:lineRule="auto"/>
              <w:jc w:val="left"/>
            </w:pPr>
            <w:r/>
            <w:r>
              <w:rPr>
                <w:rFonts w:ascii="Times New Roman" w:hAnsi="Times New Roman"/>
                <w:b w:val="0"/>
                <w:i w:val="0"/>
                <w:color w:val="000000"/>
                <w:sz w:val="21"/>
              </w:rPr>
              <w:t>Long stacked file</w:t>
            </w:r>
          </w:p>
        </w:tc>
        <w:tc>
          <w:tcPr>
            <w:tcW w:type="dxa" w:w="3120"/>
            <w:vAlign w:val="top"/>
            <w:tcW w:w="3120" w:type="dxa"/>
          </w:tcPr>
          <w:p>
            <w:pPr>
              <w:spacing w:after="0" w:line="240" w:lineRule="auto"/>
              <w:jc w:val="left"/>
            </w:pPr>
            <w:r/>
            <w:r>
              <w:rPr>
                <w:rFonts w:ascii="Times New Roman" w:hAnsi="Times New Roman"/>
                <w:b w:val="0"/>
                <w:i w:val="0"/>
                <w:color w:val="000000"/>
                <w:sz w:val="21"/>
              </w:rPr>
              <w:t>2,606</w:t>
            </w:r>
          </w:p>
        </w:tc>
        <w:tc>
          <w:tcPr>
            <w:tcW w:type="dxa" w:w="3120"/>
            <w:vAlign w:val="top"/>
            <w:tcW w:w="3120" w:type="dxa"/>
          </w:tcPr>
          <w:p>
            <w:pPr>
              <w:spacing w:after="0" w:line="240" w:lineRule="auto"/>
              <w:jc w:val="left"/>
            </w:pPr>
            <w:r/>
            <w:r>
              <w:rPr>
                <w:rFonts w:ascii="Times New Roman" w:hAnsi="Times New Roman"/>
                <w:b w:val="0"/>
                <w:i w:val="0"/>
                <w:color w:val="000000"/>
                <w:sz w:val="21"/>
              </w:rPr>
              <w:t>Audit and workflow trace layer</w:t>
            </w:r>
          </w:p>
        </w:tc>
      </w:tr>
    </w:tbl>
    <w:p>
      <w:pPr>
        <w:spacing w:line="480" w:lineRule="auto" w:after="0"/>
      </w:pPr>
      <w:r>
        <w:rPr>
          <w:rFonts w:ascii="Times New Roman" w:hAnsi="Times New Roman"/>
          <w:b w:val="0"/>
          <w:i/>
          <w:color w:val="000000"/>
          <w:sz w:val="20"/>
        </w:rPr>
        <w:t>Note. Draft table; update after lead analysis lock where indicated.</w:t>
      </w:r>
    </w:p>
    <w:p>
      <w:pPr>
        <w:pStyle w:val="Heading2"/>
        <w:spacing w:line="480" w:lineRule="auto" w:after="0"/>
        <w:jc w:val="left"/>
      </w:pPr>
      <w:r/>
      <w:r>
        <w:rPr>
          <w:rFonts w:ascii="Times New Roman" w:hAnsi="Times New Roman"/>
          <w:b/>
          <w:i w:val="0"/>
          <w:color w:val="000000"/>
          <w:sz w:val="24"/>
        </w:rPr>
        <w:t>Pre-Model Quality-Control Findings</w:t>
      </w:r>
    </w:p>
    <w:p>
      <w:pPr>
        <w:spacing w:line="480" w:lineRule="auto" w:after="0"/>
        <w:ind w:firstLine="720"/>
      </w:pPr>
      <w:r>
        <w:rPr>
          <w:rFonts w:ascii="Times New Roman" w:hAnsi="Times New Roman"/>
          <w:b w:val="0"/>
          <w:i w:val="0"/>
          <w:color w:val="000000"/>
          <w:sz w:val="24"/>
        </w:rPr>
        <w:t>The pre-model QC report identified 55 construct-pair coverage rows and no duplicate study-pair keys. It also flagged moderator missingness and numeric QC issues. Sample-size and moderator missingness remain the main analysis-readiness risk for moderator and N-weighted SEM claims. The S072 ANX-EE r = 1.0 row is treated as an influence diagnostic and excluded from the primary model input.</w:t>
      </w:r>
    </w:p>
    <w:p>
      <w:pPr>
        <w:keepNext/>
        <w:spacing w:line="480" w:lineRule="auto" w:after="0"/>
      </w:pPr>
      <w:r>
        <w:rPr>
          <w:rFonts w:ascii="Times New Roman" w:hAnsi="Times New Roman"/>
          <w:b/>
          <w:i w:val="0"/>
          <w:color w:val="000000"/>
          <w:sz w:val="24"/>
        </w:rPr>
        <w:t>Table 3</w:t>
      </w:r>
    </w:p>
    <w:p>
      <w:pPr>
        <w:keepNext/>
        <w:spacing w:line="480" w:lineRule="auto" w:after="0"/>
      </w:pPr>
      <w:r>
        <w:rPr>
          <w:rFonts w:ascii="Times New Roman" w:hAnsi="Times New Roman"/>
          <w:b w:val="0"/>
          <w:i/>
          <w:color w:val="000000"/>
          <w:sz w:val="24"/>
        </w:rPr>
        <w:t>Paper A Pre-Model QC Items</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top"/>
            <w:tcW w:w="3120" w:type="dxa"/>
          </w:tcPr>
          <w:p>
            <w:pPr>
              <w:spacing w:after="0" w:line="240" w:lineRule="auto"/>
              <w:jc w:val="left"/>
            </w:pPr>
            <w:r/>
            <w:r>
              <w:rPr>
                <w:rFonts w:ascii="Times New Roman" w:hAnsi="Times New Roman"/>
                <w:b/>
                <w:i w:val="0"/>
                <w:color w:val="000000"/>
                <w:sz w:val="21"/>
              </w:rPr>
              <w:t>QC item</w:t>
            </w:r>
          </w:p>
        </w:tc>
        <w:tc>
          <w:tcPr>
            <w:tcW w:type="dxa" w:w="3120"/>
            <w:vAlign w:val="top"/>
            <w:tcW w:w="3120" w:type="dxa"/>
          </w:tcPr>
          <w:p>
            <w:pPr>
              <w:spacing w:after="0" w:line="240" w:lineRule="auto"/>
              <w:jc w:val="left"/>
            </w:pPr>
            <w:r/>
            <w:r>
              <w:rPr>
                <w:rFonts w:ascii="Times New Roman" w:hAnsi="Times New Roman"/>
                <w:b/>
                <w:i w:val="0"/>
                <w:color w:val="000000"/>
                <w:sz w:val="21"/>
              </w:rPr>
              <w:t>Current count or rate</w:t>
            </w:r>
          </w:p>
        </w:tc>
        <w:tc>
          <w:tcPr>
            <w:tcW w:type="dxa" w:w="3120"/>
            <w:vAlign w:val="top"/>
            <w:tcW w:w="3120" w:type="dxa"/>
          </w:tcPr>
          <w:p>
            <w:pPr>
              <w:spacing w:after="0" w:line="240" w:lineRule="auto"/>
              <w:jc w:val="left"/>
            </w:pPr>
            <w:r/>
            <w:r>
              <w:rPr>
                <w:rFonts w:ascii="Times New Roman" w:hAnsi="Times New Roman"/>
                <w:b/>
                <w:i w:val="0"/>
                <w:color w:val="000000"/>
                <w:sz w:val="21"/>
              </w:rPr>
              <w:t>Draft interpretation</w:t>
            </w:r>
          </w:p>
        </w:tc>
      </w:tr>
      <w:tr>
        <w:tc>
          <w:tcPr>
            <w:tcW w:type="dxa" w:w="3120"/>
            <w:vAlign w:val="top"/>
            <w:tcW w:w="3120" w:type="dxa"/>
          </w:tcPr>
          <w:p>
            <w:pPr>
              <w:spacing w:after="0" w:line="240" w:lineRule="auto"/>
              <w:jc w:val="left"/>
            </w:pPr>
            <w:r/>
            <w:r>
              <w:rPr>
                <w:rFonts w:ascii="Times New Roman" w:hAnsi="Times New Roman"/>
                <w:b w:val="0"/>
                <w:i w:val="0"/>
                <w:color w:val="000000"/>
                <w:sz w:val="21"/>
              </w:rPr>
              <w:t>Construct-pair coverage rows</w:t>
            </w:r>
          </w:p>
        </w:tc>
        <w:tc>
          <w:tcPr>
            <w:tcW w:type="dxa" w:w="3120"/>
            <w:vAlign w:val="top"/>
            <w:tcW w:w="3120" w:type="dxa"/>
          </w:tcPr>
          <w:p>
            <w:pPr>
              <w:spacing w:after="0" w:line="240" w:lineRule="auto"/>
              <w:jc w:val="left"/>
            </w:pPr>
            <w:r/>
            <w:r>
              <w:rPr>
                <w:rFonts w:ascii="Times New Roman" w:hAnsi="Times New Roman"/>
                <w:b w:val="0"/>
                <w:i w:val="0"/>
                <w:color w:val="000000"/>
                <w:sz w:val="21"/>
              </w:rPr>
              <w:t>55</w:t>
            </w:r>
          </w:p>
        </w:tc>
        <w:tc>
          <w:tcPr>
            <w:tcW w:type="dxa" w:w="3120"/>
            <w:vAlign w:val="top"/>
            <w:tcW w:w="3120" w:type="dxa"/>
          </w:tcPr>
          <w:p>
            <w:pPr>
              <w:spacing w:after="0" w:line="240" w:lineRule="auto"/>
              <w:jc w:val="left"/>
            </w:pPr>
            <w:r/>
            <w:r>
              <w:rPr>
                <w:rFonts w:ascii="Times New Roman" w:hAnsi="Times New Roman"/>
                <w:b w:val="0"/>
                <w:i w:val="0"/>
                <w:color w:val="000000"/>
                <w:sz w:val="21"/>
              </w:rPr>
              <w:t>Supports pair-level coverage reporting</w:t>
            </w:r>
          </w:p>
        </w:tc>
      </w:tr>
      <w:tr>
        <w:tc>
          <w:tcPr>
            <w:tcW w:type="dxa" w:w="3120"/>
            <w:vAlign w:val="top"/>
            <w:tcW w:w="3120" w:type="dxa"/>
          </w:tcPr>
          <w:p>
            <w:pPr>
              <w:spacing w:after="0" w:line="240" w:lineRule="auto"/>
              <w:jc w:val="left"/>
            </w:pPr>
            <w:r/>
            <w:r>
              <w:rPr>
                <w:rFonts w:ascii="Times New Roman" w:hAnsi="Times New Roman"/>
                <w:b w:val="0"/>
                <w:i w:val="0"/>
                <w:color w:val="000000"/>
                <w:sz w:val="21"/>
              </w:rPr>
              <w:t>Duplicate study-pair keys</w:t>
            </w:r>
          </w:p>
        </w:tc>
        <w:tc>
          <w:tcPr>
            <w:tcW w:type="dxa" w:w="3120"/>
            <w:vAlign w:val="top"/>
            <w:tcW w:w="3120" w:type="dxa"/>
          </w:tcPr>
          <w:p>
            <w:pPr>
              <w:spacing w:after="0" w:line="240" w:lineRule="auto"/>
              <w:jc w:val="left"/>
            </w:pPr>
            <w:r/>
            <w:r>
              <w:rPr>
                <w:rFonts w:ascii="Times New Roman" w:hAnsi="Times New Roman"/>
                <w:b w:val="0"/>
                <w:i w:val="0"/>
                <w:color w:val="000000"/>
                <w:sz w:val="21"/>
              </w:rPr>
              <w:t>0</w:t>
            </w:r>
          </w:p>
        </w:tc>
        <w:tc>
          <w:tcPr>
            <w:tcW w:type="dxa" w:w="3120"/>
            <w:vAlign w:val="top"/>
            <w:tcW w:w="3120" w:type="dxa"/>
          </w:tcPr>
          <w:p>
            <w:pPr>
              <w:spacing w:after="0" w:line="240" w:lineRule="auto"/>
              <w:jc w:val="left"/>
            </w:pPr>
            <w:r/>
            <w:r>
              <w:rPr>
                <w:rFonts w:ascii="Times New Roman" w:hAnsi="Times New Roman"/>
                <w:b w:val="0"/>
                <w:i w:val="0"/>
                <w:color w:val="000000"/>
                <w:sz w:val="21"/>
              </w:rPr>
              <w:t>No duplicate key blocker in QC report</w:t>
            </w:r>
          </w:p>
        </w:tc>
      </w:tr>
      <w:tr>
        <w:tc>
          <w:tcPr>
            <w:tcW w:type="dxa" w:w="3120"/>
            <w:vAlign w:val="top"/>
            <w:tcW w:w="3120" w:type="dxa"/>
          </w:tcPr>
          <w:p>
            <w:pPr>
              <w:spacing w:after="0" w:line="240" w:lineRule="auto"/>
              <w:jc w:val="left"/>
            </w:pPr>
            <w:r/>
            <w:r>
              <w:rPr>
                <w:rFonts w:ascii="Times New Roman" w:hAnsi="Times New Roman"/>
                <w:b w:val="0"/>
                <w:i w:val="0"/>
                <w:color w:val="000000"/>
                <w:sz w:val="21"/>
              </w:rPr>
              <w:t>Moderator missingness fields</w:t>
            </w:r>
          </w:p>
        </w:tc>
        <w:tc>
          <w:tcPr>
            <w:tcW w:type="dxa" w:w="3120"/>
            <w:vAlign w:val="top"/>
            <w:tcW w:w="3120" w:type="dxa"/>
          </w:tcPr>
          <w:p>
            <w:pPr>
              <w:spacing w:after="0" w:line="240" w:lineRule="auto"/>
              <w:jc w:val="left"/>
            </w:pPr>
            <w:r/>
            <w:r>
              <w:rPr>
                <w:rFonts w:ascii="Times New Roman" w:hAnsi="Times New Roman"/>
                <w:b w:val="0"/>
                <w:i w:val="0"/>
                <w:color w:val="000000"/>
                <w:sz w:val="21"/>
              </w:rPr>
              <w:t>7</w:t>
            </w:r>
          </w:p>
        </w:tc>
        <w:tc>
          <w:tcPr>
            <w:tcW w:type="dxa" w:w="3120"/>
            <w:vAlign w:val="top"/>
            <w:tcW w:w="3120" w:type="dxa"/>
          </w:tcPr>
          <w:p>
            <w:pPr>
              <w:spacing w:after="0" w:line="240" w:lineRule="auto"/>
              <w:jc w:val="left"/>
            </w:pPr>
            <w:r/>
            <w:r>
              <w:rPr>
                <w:rFonts w:ascii="Times New Roman" w:hAnsi="Times New Roman"/>
                <w:b w:val="0"/>
                <w:i w:val="0"/>
                <w:color w:val="000000"/>
                <w:sz w:val="21"/>
              </w:rPr>
              <w:t>Moderator claims require missingness caveats</w:t>
            </w:r>
          </w:p>
        </w:tc>
      </w:tr>
      <w:tr>
        <w:tc>
          <w:tcPr>
            <w:tcW w:type="dxa" w:w="3120"/>
            <w:vAlign w:val="top"/>
            <w:tcW w:w="3120" w:type="dxa"/>
          </w:tcPr>
          <w:p>
            <w:pPr>
              <w:spacing w:after="0" w:line="240" w:lineRule="auto"/>
              <w:jc w:val="left"/>
            </w:pPr>
            <w:r/>
            <w:r>
              <w:rPr>
                <w:rFonts w:ascii="Times New Roman" w:hAnsi="Times New Roman"/>
                <w:b w:val="0"/>
                <w:i w:val="0"/>
                <w:color w:val="000000"/>
                <w:sz w:val="21"/>
              </w:rPr>
              <w:t>Numeric QC flagged rows</w:t>
            </w:r>
          </w:p>
        </w:tc>
        <w:tc>
          <w:tcPr>
            <w:tcW w:type="dxa" w:w="3120"/>
            <w:vAlign w:val="top"/>
            <w:tcW w:w="3120" w:type="dxa"/>
          </w:tcPr>
          <w:p>
            <w:pPr>
              <w:spacing w:after="0" w:line="240" w:lineRule="auto"/>
              <w:jc w:val="left"/>
            </w:pPr>
            <w:r/>
            <w:r>
              <w:rPr>
                <w:rFonts w:ascii="Times New Roman" w:hAnsi="Times New Roman"/>
                <w:b w:val="0"/>
                <w:i w:val="0"/>
                <w:color w:val="000000"/>
                <w:sz w:val="21"/>
              </w:rPr>
              <w:t>2,482</w:t>
            </w:r>
          </w:p>
        </w:tc>
        <w:tc>
          <w:tcPr>
            <w:tcW w:type="dxa" w:w="3120"/>
            <w:vAlign w:val="top"/>
            <w:tcW w:w="3120" w:type="dxa"/>
          </w:tcPr>
          <w:p>
            <w:pPr>
              <w:spacing w:after="0" w:line="240" w:lineRule="auto"/>
              <w:jc w:val="left"/>
            </w:pPr>
            <w:r/>
            <w:r>
              <w:rPr>
                <w:rFonts w:ascii="Times New Roman" w:hAnsi="Times New Roman"/>
                <w:b w:val="0"/>
                <w:i w:val="0"/>
                <w:color w:val="000000"/>
                <w:sz w:val="21"/>
              </w:rPr>
              <w:t>Driven primarily by missing sample-size numeric fields</w:t>
            </w:r>
          </w:p>
        </w:tc>
      </w:tr>
      <w:tr>
        <w:tc>
          <w:tcPr>
            <w:tcW w:type="dxa" w:w="3120"/>
            <w:vAlign w:val="top"/>
            <w:tcW w:w="3120" w:type="dxa"/>
          </w:tcPr>
          <w:p>
            <w:pPr>
              <w:spacing w:after="0" w:line="240" w:lineRule="auto"/>
              <w:jc w:val="left"/>
            </w:pPr>
            <w:r/>
            <w:r>
              <w:rPr>
                <w:rFonts w:ascii="Times New Roman" w:hAnsi="Times New Roman"/>
                <w:b w:val="0"/>
                <w:i w:val="0"/>
                <w:color w:val="000000"/>
                <w:sz w:val="21"/>
              </w:rPr>
              <w:t>r = +/-1 influence check</w:t>
            </w:r>
          </w:p>
        </w:tc>
        <w:tc>
          <w:tcPr>
            <w:tcW w:type="dxa" w:w="3120"/>
            <w:vAlign w:val="top"/>
            <w:tcW w:w="3120" w:type="dxa"/>
          </w:tcPr>
          <w:p>
            <w:pPr>
              <w:spacing w:after="0" w:line="240" w:lineRule="auto"/>
              <w:jc w:val="left"/>
            </w:pPr>
            <w:r/>
            <w:r>
              <w:rPr>
                <w:rFonts w:ascii="Times New Roman" w:hAnsi="Times New Roman"/>
                <w:b w:val="0"/>
                <w:i w:val="0"/>
                <w:color w:val="000000"/>
                <w:sz w:val="21"/>
              </w:rPr>
              <w:t>2 rows: S072 ANX-EE in primary and expanded</w:t>
            </w:r>
          </w:p>
        </w:tc>
        <w:tc>
          <w:tcPr>
            <w:tcW w:type="dxa" w:w="3120"/>
            <w:vAlign w:val="top"/>
            <w:tcW w:w="3120" w:type="dxa"/>
          </w:tcPr>
          <w:p>
            <w:pPr>
              <w:spacing w:after="0" w:line="240" w:lineRule="auto"/>
              <w:jc w:val="left"/>
            </w:pPr>
            <w:r/>
            <w:r>
              <w:rPr>
                <w:rFonts w:ascii="Times New Roman" w:hAnsi="Times New Roman"/>
                <w:b w:val="0"/>
                <w:i w:val="0"/>
                <w:color w:val="000000"/>
                <w:sz w:val="21"/>
              </w:rPr>
              <w:t>Exclude from primary; retain as diagnostic</w:t>
            </w:r>
          </w:p>
        </w:tc>
      </w:tr>
    </w:tbl>
    <w:p>
      <w:pPr>
        <w:spacing w:line="480" w:lineRule="auto" w:after="0"/>
      </w:pPr>
      <w:r>
        <w:rPr>
          <w:rFonts w:ascii="Times New Roman" w:hAnsi="Times New Roman"/>
          <w:b w:val="0"/>
          <w:i/>
          <w:color w:val="000000"/>
          <w:sz w:val="20"/>
        </w:rPr>
        <w:t>Note. Draft table; update after lead analysis lock where indicated.</w:t>
      </w:r>
    </w:p>
    <w:p>
      <w:pPr>
        <w:pStyle w:val="Heading2"/>
        <w:spacing w:line="480" w:lineRule="auto" w:after="0"/>
        <w:jc w:val="left"/>
      </w:pPr>
      <w:r/>
      <w:r>
        <w:rPr>
          <w:rFonts w:ascii="Times New Roman" w:hAnsi="Times New Roman"/>
          <w:b/>
          <w:i w:val="0"/>
          <w:color w:val="000000"/>
          <w:sz w:val="24"/>
        </w:rPr>
        <w:t>Primary MASEM Results [Lead Analysis Insertion Point]</w:t>
      </w:r>
    </w:p>
    <w:p>
      <w:pPr>
        <w:spacing w:line="480" w:lineRule="auto" w:after="0"/>
      </w:pPr>
      <w:r>
        <w:rPr>
          <w:rFonts w:ascii="Times New Roman" w:hAnsi="Times New Roman"/>
          <w:b w:val="0"/>
          <w:i w:val="0"/>
          <w:color w:val="000000"/>
          <w:sz w:val="24"/>
        </w:rPr>
        <w:t>[Insert Stage 1 pooled correlation matrix, heterogeneity estimates, Stage 2 path coefficients, indirect effects, model fit, and sensitivity results after the lead-analysis run is locked. Do not convert this placeholder into substantive conclusions until the final TSSEM/OSMASEM specification, sample-size policy, and source-risk rules are finalized.]</w:t>
      </w:r>
    </w:p>
    <w:p>
      <w:pPr>
        <w:pStyle w:val="Heading1"/>
        <w:spacing w:line="480" w:lineRule="auto" w:after="0"/>
        <w:jc w:val="center"/>
      </w:pPr>
      <w:r/>
      <w:r>
        <w:rPr>
          <w:rFonts w:ascii="Times New Roman" w:hAnsi="Times New Roman"/>
          <w:b/>
          <w:i w:val="0"/>
          <w:color w:val="000000"/>
          <w:sz w:val="24"/>
        </w:rPr>
        <w:t>Discussion [Reserved for Team Contribution]</w:t>
      </w:r>
    </w:p>
    <w:p>
      <w:pPr>
        <w:spacing w:line="480" w:lineRule="auto" w:after="0"/>
      </w:pPr>
      <w:r>
        <w:rPr>
          <w:rFonts w:ascii="Times New Roman" w:hAnsi="Times New Roman"/>
          <w:b w:val="0"/>
          <w:i w:val="0"/>
          <w:color w:val="000000"/>
          <w:sz w:val="24"/>
        </w:rPr>
        <w:t>[Reserved. Team authors should draft interpretation, theoretical implications, practical implications, limitations, and future research after the lead-analysis Results are inserted.]</w:t>
      </w:r>
    </w:p>
    <w:p>
      <w:pPr>
        <w:pStyle w:val="Heading1"/>
        <w:spacing w:line="480" w:lineRule="auto" w:after="0"/>
        <w:jc w:val="center"/>
      </w:pPr>
      <w:r/>
      <w:r>
        <w:rPr>
          <w:rFonts w:ascii="Times New Roman" w:hAnsi="Times New Roman"/>
          <w:b/>
          <w:i w:val="0"/>
          <w:color w:val="000000"/>
          <w:sz w:val="24"/>
        </w:rPr>
        <w:t>References</w:t>
      </w:r>
    </w:p>
    <w:p>
      <w:pPr>
        <w:spacing w:line="480" w:lineRule="auto" w:after="0"/>
        <w:ind w:left="720" w:hanging="720"/>
      </w:pPr>
      <w:r>
        <w:rPr>
          <w:rFonts w:ascii="Times New Roman" w:hAnsi="Times New Roman"/>
          <w:b w:val="0"/>
          <w:i w:val="0"/>
          <w:color w:val="000000"/>
          <w:sz w:val="24"/>
        </w:rPr>
        <w:t>Ajzen, I. (1991). The theory of planned behavior. Organizational Behavior and Human Decision Processes, 50(2), 179-211.</w:t>
      </w:r>
    </w:p>
    <w:p>
      <w:pPr>
        <w:spacing w:line="480" w:lineRule="auto" w:after="0"/>
        <w:ind w:left="720" w:hanging="720"/>
      </w:pPr>
      <w:r>
        <w:rPr>
          <w:rFonts w:ascii="Times New Roman" w:hAnsi="Times New Roman"/>
          <w:b w:val="0"/>
          <w:i w:val="0"/>
          <w:color w:val="000000"/>
          <w:sz w:val="24"/>
        </w:rPr>
        <w:t>Blut, M., Chong, A., Tsiga, Z., &amp; Venkatesh, V. (2022). Meta-analysis of the unified theory of acceptance and use of technology (UTAUT). Journal of the Association for Information Systems, 23(1), 13-95.</w:t>
      </w:r>
    </w:p>
    <w:p>
      <w:pPr>
        <w:spacing w:line="480" w:lineRule="auto" w:after="0"/>
        <w:ind w:left="720" w:hanging="720"/>
      </w:pPr>
      <w:r>
        <w:rPr>
          <w:rFonts w:ascii="Times New Roman" w:hAnsi="Times New Roman"/>
          <w:b w:val="0"/>
          <w:i w:val="0"/>
          <w:color w:val="000000"/>
          <w:sz w:val="24"/>
        </w:rPr>
        <w:t>Cheung, M. W.-L. (2015). Meta-analysis: A structural equation modeling approach. Wiley.</w:t>
      </w:r>
    </w:p>
    <w:p>
      <w:pPr>
        <w:spacing w:line="480" w:lineRule="auto" w:after="0"/>
        <w:ind w:left="720" w:hanging="720"/>
      </w:pPr>
      <w:r>
        <w:rPr>
          <w:rFonts w:ascii="Times New Roman" w:hAnsi="Times New Roman"/>
          <w:b w:val="0"/>
          <w:i w:val="0"/>
          <w:color w:val="000000"/>
          <w:sz w:val="24"/>
        </w:rPr>
        <w:t>Davis, F. D. (1989). Perceived usefulness, perceived ease of use, and user acceptance of information technology. MIS Quarterly, 13(3), 319-340.</w:t>
      </w:r>
    </w:p>
    <w:p>
      <w:pPr>
        <w:spacing w:line="480" w:lineRule="auto" w:after="0"/>
        <w:ind w:left="720" w:hanging="720"/>
      </w:pPr>
      <w:r>
        <w:rPr>
          <w:rFonts w:ascii="Times New Roman" w:hAnsi="Times New Roman"/>
          <w:b w:val="0"/>
          <w:i w:val="0"/>
          <w:color w:val="000000"/>
          <w:sz w:val="24"/>
        </w:rPr>
        <w:t>Fishbein, M., &amp; Ajzen, I. (1975). Belief, attitude, intention and behavior: An introduction to theory and research. Addison-Wesley.</w:t>
      </w:r>
    </w:p>
    <w:p>
      <w:pPr>
        <w:spacing w:line="480" w:lineRule="auto" w:after="0"/>
        <w:ind w:left="720" w:hanging="720"/>
      </w:pPr>
      <w:r>
        <w:rPr>
          <w:rFonts w:ascii="Times New Roman" w:hAnsi="Times New Roman"/>
          <w:b w:val="0"/>
          <w:i w:val="0"/>
          <w:color w:val="000000"/>
          <w:sz w:val="24"/>
        </w:rPr>
        <w:t>Jak, S., &amp; Cheung, M. W.-L. (2020). Meta-analytic structural equation modeling with moderating effects on SEM parameters. Psychological Methods, 25(4), 430-449.</w:t>
      </w:r>
    </w:p>
    <w:p>
      <w:pPr>
        <w:spacing w:line="480" w:lineRule="auto" w:after="0"/>
        <w:ind w:left="720" w:hanging="720"/>
      </w:pPr>
      <w:r>
        <w:rPr>
          <w:rFonts w:ascii="Times New Roman" w:hAnsi="Times New Roman"/>
          <w:b w:val="0"/>
          <w:i w:val="0"/>
          <w:color w:val="000000"/>
          <w:sz w:val="24"/>
        </w:rPr>
        <w:t>Scherer, R., Siddiq, F., &amp; Tondeur, J. (2019). The technology acceptance model (TAM): A meta-analytic structural equation modeling approach. Computers &amp; Education, 128, 13-35.</w:t>
      </w:r>
    </w:p>
    <w:p>
      <w:pPr>
        <w:spacing w:line="480" w:lineRule="auto" w:after="0"/>
        <w:ind w:left="720" w:hanging="720"/>
      </w:pPr>
      <w:r>
        <w:rPr>
          <w:rFonts w:ascii="Times New Roman" w:hAnsi="Times New Roman"/>
          <w:b w:val="0"/>
          <w:i w:val="0"/>
          <w:color w:val="000000"/>
          <w:sz w:val="24"/>
        </w:rPr>
        <w:t>Venkatesh, V., Morris, M. G., Davis, G. B., &amp; Davis, F. D. (2003). User acceptance of information technology: Toward a unified view. MIS Quarterly, 27(3), 425-478.</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280"/>
      <w:gridCol w:w="1080"/>
    </w:tblGrid>
    <w:tr>
      <w:tc>
        <w:tcPr>
          <w:tcW w:type="dxa" w:w="4680"/>
        </w:tcPr>
        <w:p>
          <w:pPr>
            <w:spacing w:after="0" w:line="240" w:lineRule="auto"/>
            <w:jc w:val="left"/>
          </w:pPr>
          <w:r>
            <w:rPr>
              <w:rFonts w:ascii="Times New Roman" w:hAnsi="Times New Roman"/>
              <w:b w:val="0"/>
              <w:i w:val="0"/>
              <w:color w:val="000000"/>
              <w:sz w:val="24"/>
            </w:rPr>
            <w:t>AI ADOPTION MASEM</w:t>
          </w:r>
        </w:p>
      </w:tc>
      <w:tc>
        <w:tcPr>
          <w:tcW w:type="dxa" w:w="4680"/>
        </w:tcPr>
        <w:p>
          <w:pPr>
            <w:spacing w:after="0" w:line="240" w:lineRule="auto"/>
            <w:jc w:val="right"/>
          </w:pPr>
          <w:r>
            <w:rPr>
              <w:rFonts w:ascii="Times New Roman" w:hAnsi="Times New Roman"/>
              <w:b w:val="0"/>
              <w:i w:val="0"/>
              <w:color w:val="000000"/>
              <w:sz w:val="24"/>
            </w:rPr>
            <w:fldChar w:fldCharType="begin"/>
            <w:instrText xml:space="preserve">PAGE</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