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480" w:lineRule="auto" w:after="240"/>
        <w:jc w:val="center"/>
      </w:pPr>
      <w:r>
        <w:rPr>
          <w:rFonts w:ascii="Times New Roman" w:hAnsi="Times New Roman"/>
          <w:b/>
          <w:i w:val="0"/>
          <w:color w:val="000000"/>
          <w:sz w:val="24"/>
        </w:rPr>
        <w:t>Can a Prespecified LLM Workflow Augment MASEM-Ready Evidence Extraction?</w:t>
      </w:r>
    </w:p>
    <w:p>
      <w:pPr>
        <w:spacing w:line="480" w:lineRule="auto" w:after="0"/>
        <w:jc w:val="center"/>
      </w:pPr>
      <w:r>
        <w:rPr>
          <w:rFonts w:ascii="Times New Roman" w:hAnsi="Times New Roman"/>
          <w:b w:val="0"/>
          <w:i w:val="0"/>
          <w:color w:val="000000"/>
          <w:sz w:val="24"/>
        </w:rPr>
        <w:t>APA 7 Professional Draft Excluding Literature Review and Discussion</w:t>
      </w:r>
    </w:p>
    <w:p>
      <w:pPr>
        <w:spacing w:line="480" w:lineRule="auto" w:after="0"/>
        <w:jc w:val="center"/>
      </w:pPr>
      <w:r>
        <w:rPr>
          <w:rFonts w:ascii="Times New Roman" w:hAnsi="Times New Roman"/>
          <w:b w:val="0"/>
          <w:i w:val="0"/>
          <w:color w:val="000000"/>
          <w:sz w:val="24"/>
        </w:rPr>
        <w:t>Hosung You</w:t>
      </w:r>
    </w:p>
    <w:p>
      <w:pPr>
        <w:spacing w:line="480" w:lineRule="auto" w:after="0"/>
        <w:jc w:val="center"/>
      </w:pPr>
      <w:r>
        <w:rPr>
          <w:rFonts w:ascii="Times New Roman" w:hAnsi="Times New Roman"/>
          <w:b w:val="0"/>
          <w:i w:val="0"/>
          <w:color w:val="000000"/>
          <w:sz w:val="24"/>
        </w:rPr>
        <w:t>College of Education, The Pennsylvania State University</w:t>
      </w:r>
    </w:p>
    <w:p>
      <w:pPr>
        <w:spacing w:line="480" w:lineRule="auto" w:after="0"/>
        <w:jc w:val="center"/>
      </w:pPr>
      <w:r>
        <w:rPr>
          <w:rFonts w:ascii="Times New Roman" w:hAnsi="Times New Roman"/>
          <w:b w:val="0"/>
          <w:i w:val="0"/>
          <w:color w:val="000000"/>
          <w:sz w:val="24"/>
        </w:rPr>
        <w:t>Draft date: 2026-06-11</w:t>
      </w:r>
    </w:p>
    <w:p>
      <w:r>
        <w:br w:type="page"/>
      </w:r>
    </w:p>
    <w:p>
      <w:pPr>
        <w:pStyle w:val="Heading1"/>
        <w:spacing w:line="480" w:lineRule="auto" w:after="0"/>
        <w:jc w:val="center"/>
      </w:pPr>
      <w:r/>
      <w:r>
        <w:rPr>
          <w:rFonts w:ascii="Times New Roman" w:hAnsi="Times New Roman"/>
          <w:b/>
          <w:i w:val="0"/>
          <w:color w:val="000000"/>
          <w:sz w:val="24"/>
        </w:rPr>
        <w:t>Author Note</w:t>
      </w:r>
    </w:p>
    <w:p>
      <w:pPr>
        <w:spacing w:line="480" w:lineRule="auto" w:after="0"/>
        <w:ind w:firstLine="720"/>
      </w:pPr>
      <w:r>
        <w:rPr>
          <w:rFonts w:ascii="Times New Roman" w:hAnsi="Times New Roman"/>
          <w:b w:val="0"/>
          <w:i w:val="0"/>
          <w:color w:val="000000"/>
          <w:sz w:val="24"/>
        </w:rPr>
        <w:t>This draft preserves the approved claim boundary: Paper B is an LLM augmentation and validation study for evidence synthesis, not an LLM replacement study or vendor-ranking benchmark. Literature Review and Discussion are reserved for team authors.</w:t>
      </w:r>
    </w:p>
    <w:p>
      <w:r>
        <w:br w:type="page"/>
      </w:r>
    </w:p>
    <w:p>
      <w:pPr>
        <w:pStyle w:val="Heading1"/>
        <w:spacing w:line="480" w:lineRule="auto" w:after="0"/>
        <w:jc w:val="center"/>
      </w:pPr>
      <w:r/>
      <w:r>
        <w:rPr>
          <w:rFonts w:ascii="Times New Roman" w:hAnsi="Times New Roman"/>
          <w:b/>
          <w:i w:val="0"/>
          <w:color w:val="000000"/>
          <w:sz w:val="24"/>
        </w:rPr>
        <w:t>Abstract</w:t>
      </w:r>
    </w:p>
    <w:p>
      <w:pPr>
        <w:spacing w:line="480" w:lineRule="auto" w:after="0"/>
      </w:pPr>
      <w:r>
        <w:rPr>
          <w:rFonts w:ascii="Times New Roman" w:hAnsi="Times New Roman"/>
          <w:b w:val="0"/>
          <w:i w:val="0"/>
          <w:color w:val="000000"/>
          <w:sz w:val="24"/>
        </w:rPr>
        <w:t>This draft prepares the Introduction, Method/Analysis, and Results scaffold for a source-anchored validation study of LLM-assisted MASEM-ready extraction. The workflow uses a source-anchored adjudicated human reference layer, locked model outputs, and task-family scoring rather than a single pooled accuracy denominator. In the legacy model-explicit package, Codex GPT-5.5, Claude Sonnet, and Gemini 3 Flash each have 7,859 clean locked task-unit rows; the primary Codex workflow matched 3 of 323 source-reported direct-r rows within tolerance and abstained on 320. Downstream expert-reviewed substitution produced 0 nonzero primary value deltas, and a bounded core-6 TSSEM diagnostic showed identical paths and fit in a 15-study complete-case subset. Full-corpus and all-construct SEM claims remain gated.</w:t>
      </w:r>
    </w:p>
    <w:p>
      <w:pPr>
        <w:spacing w:line="480" w:lineRule="auto" w:after="0"/>
      </w:pPr>
      <w:r>
        <w:rPr>
          <w:rFonts w:ascii="Times New Roman" w:hAnsi="Times New Roman"/>
          <w:b w:val="0"/>
          <w:i w:val="0"/>
          <w:color w:val="000000"/>
          <w:sz w:val="24"/>
        </w:rPr>
      </w:r>
      <w:r>
        <w:rPr>
          <w:rFonts w:ascii="Times New Roman" w:hAnsi="Times New Roman"/>
          <w:b w:val="0"/>
          <w:i/>
          <w:color w:val="000000"/>
          <w:sz w:val="24"/>
        </w:rPr>
        <w:t xml:space="preserve">Keywords: </w:t>
      </w:r>
      <w:r>
        <w:rPr>
          <w:rFonts w:ascii="Times New Roman" w:hAnsi="Times New Roman"/>
          <w:b w:val="0"/>
          <w:i w:val="0"/>
          <w:color w:val="000000"/>
          <w:sz w:val="24"/>
        </w:rPr>
        <w:t>large language models, evidence synthesis, MASEM, extraction validation, human adjudication, task-family scoring</w:t>
      </w:r>
    </w:p>
    <w:p>
      <w:r>
        <w:br w:type="page"/>
      </w:r>
    </w:p>
    <w:p>
      <w:pPr>
        <w:spacing w:line="480" w:lineRule="auto" w:after="0"/>
        <w:jc w:val="center"/>
      </w:pPr>
      <w:r>
        <w:rPr>
          <w:rFonts w:ascii="Times New Roman" w:hAnsi="Times New Roman"/>
          <w:b/>
          <w:i w:val="0"/>
          <w:color w:val="000000"/>
          <w:sz w:val="24"/>
        </w:rPr>
        <w:t>Can a Prespecified LLM Workflow Augment MASEM-Ready Evidence Extraction?</w:t>
      </w:r>
    </w:p>
    <w:p>
      <w:pPr>
        <w:pStyle w:val="Heading1"/>
        <w:spacing w:line="480" w:lineRule="auto" w:after="0"/>
        <w:jc w:val="center"/>
      </w:pPr>
      <w:r/>
      <w:r>
        <w:rPr>
          <w:rFonts w:ascii="Times New Roman" w:hAnsi="Times New Roman"/>
          <w:b/>
          <w:i w:val="0"/>
          <w:color w:val="000000"/>
          <w:sz w:val="24"/>
        </w:rPr>
        <w:t>Draft Scope and Team Boundary</w:t>
      </w:r>
    </w:p>
    <w:p>
      <w:pPr>
        <w:spacing w:line="480" w:lineRule="auto" w:after="0"/>
        <w:ind w:firstLine="720"/>
      </w:pPr>
      <w:r>
        <w:rPr>
          <w:rFonts w:ascii="Times New Roman" w:hAnsi="Times New Roman"/>
          <w:b w:val="0"/>
          <w:i w:val="0"/>
          <w:color w:val="000000"/>
          <w:sz w:val="24"/>
        </w:rPr>
        <w:t>This file drafts the Introduction, Method/Analysis, Results, claim boundary, and data-availability components for Paper B. It does not draft the team-authored Literature Review or Discussion. The manuscript is framed as an LLM augmentation and validation study for evidence synthesis, not as an LLM replacement claim or vendor-ranking benchmark.</w:t>
      </w:r>
    </w:p>
    <w:p>
      <w:pPr>
        <w:pStyle w:val="Heading1"/>
        <w:spacing w:line="480" w:lineRule="auto" w:after="0"/>
        <w:jc w:val="center"/>
      </w:pPr>
      <w:r/>
      <w:r>
        <w:rPr>
          <w:rFonts w:ascii="Times New Roman" w:hAnsi="Times New Roman"/>
          <w:b/>
          <w:i w:val="0"/>
          <w:color w:val="000000"/>
          <w:sz w:val="24"/>
        </w:rPr>
        <w:t>Introduction</w:t>
      </w:r>
    </w:p>
    <w:p>
      <w:pPr>
        <w:spacing w:line="480" w:lineRule="auto" w:after="0"/>
        <w:ind w:firstLine="720"/>
      </w:pPr>
      <w:r>
        <w:rPr>
          <w:rFonts w:ascii="Times New Roman" w:hAnsi="Times New Roman"/>
          <w:b w:val="0"/>
          <w:i w:val="0"/>
          <w:color w:val="000000"/>
          <w:sz w:val="24"/>
        </w:rPr>
        <w:t>Evidence synthesis for meta-analytic structural equation modeling requires extraction decisions that are more demanding than simple article summarization. A usable evidence record must distinguish source-reported direct correlations from converted statistics, map constructs consistently, preserve source provenance, identify source-absence cases, handle human-coder disagreement, and maintain enough sample-size and matrix information to support downstream SEM weighting and model fitting.</w:t>
      </w:r>
    </w:p>
    <w:p>
      <w:pPr>
        <w:spacing w:line="480" w:lineRule="auto" w:after="0"/>
        <w:ind w:firstLine="720"/>
      </w:pPr>
      <w:r>
        <w:rPr>
          <w:rFonts w:ascii="Times New Roman" w:hAnsi="Times New Roman"/>
          <w:b w:val="0"/>
          <w:i w:val="0"/>
          <w:color w:val="000000"/>
          <w:sz w:val="24"/>
        </w:rPr>
        <w:t>Large language models may help with this work, but their value depends on the unit of evaluation. Treating thousands of heterogeneous task units as one accuracy denominator would obscure the difference between low-consequence metadata, high-consequence direct-r extraction, source-risk triage, and downstream substitution risk. A defensible validation study therefore requires a source-anchored adjudicated human reference standard, locked model outputs, prespecified task-family scoring rules, and claim boundaries that separate workflow augmentation from autonomous replacement.</w:t>
      </w:r>
    </w:p>
    <w:p>
      <w:pPr>
        <w:spacing w:line="480" w:lineRule="auto" w:after="0"/>
        <w:ind w:firstLine="720"/>
      </w:pPr>
      <w:r>
        <w:rPr>
          <w:rFonts w:ascii="Times New Roman" w:hAnsi="Times New Roman"/>
          <w:b w:val="0"/>
          <w:i w:val="0"/>
          <w:color w:val="000000"/>
          <w:sz w:val="24"/>
        </w:rPr>
        <w:t>Paper B evaluates whether a prespecified LLM workflow can augment MASEM-ready extraction in an AI adoption evidence-synthesis project. The primary workflow is Codex GPT-5.5. Claude Sonnet and Gemini 3 Flash are used only as supplementary cross-model sensitivity and triage signals. The study asks whether the workflow can recover extraction targets, characterize errors by source condition, prioritize expert review, and preserve downstream MASEM or TSSEM conclusions under bounded diagnostic substitution checks.</w:t>
      </w:r>
    </w:p>
    <w:p>
      <w:pPr>
        <w:pStyle w:val="Heading1"/>
        <w:spacing w:line="480" w:lineRule="auto" w:after="0"/>
        <w:jc w:val="center"/>
      </w:pPr>
      <w:r/>
      <w:r>
        <w:rPr>
          <w:rFonts w:ascii="Times New Roman" w:hAnsi="Times New Roman"/>
          <w:b/>
          <w:i w:val="0"/>
          <w:color w:val="000000"/>
          <w:sz w:val="24"/>
        </w:rPr>
        <w:t>Literature Review [Reserved for Team Contribution]</w:t>
      </w:r>
    </w:p>
    <w:p>
      <w:pPr>
        <w:spacing w:line="480" w:lineRule="auto" w:after="0"/>
      </w:pPr>
      <w:r>
        <w:rPr>
          <w:rFonts w:ascii="Times New Roman" w:hAnsi="Times New Roman"/>
          <w:b w:val="0"/>
          <w:i w:val="0"/>
          <w:color w:val="000000"/>
          <w:sz w:val="24"/>
        </w:rPr>
        <w:t>[Reserved. Team authors should draft prior work on LLM-assisted systematic reviews, extraction automation, human-in-the-loop evidence synthesis, and benchmark limitations. This draft does not supply Literature Review prose.]</w:t>
      </w:r>
    </w:p>
    <w:p>
      <w:pPr>
        <w:pStyle w:val="Heading1"/>
        <w:spacing w:line="480" w:lineRule="auto" w:after="0"/>
        <w:jc w:val="center"/>
      </w:pPr>
      <w:r/>
      <w:r>
        <w:rPr>
          <w:rFonts w:ascii="Times New Roman" w:hAnsi="Times New Roman"/>
          <w:b/>
          <w:i w:val="0"/>
          <w:color w:val="000000"/>
          <w:sz w:val="24"/>
        </w:rPr>
        <w:t>Method</w:t>
      </w:r>
    </w:p>
    <w:p>
      <w:pPr>
        <w:pStyle w:val="Heading2"/>
        <w:spacing w:line="480" w:lineRule="auto" w:after="0"/>
        <w:jc w:val="left"/>
      </w:pPr>
      <w:r/>
      <w:r>
        <w:rPr>
          <w:rFonts w:ascii="Times New Roman" w:hAnsi="Times New Roman"/>
          <w:b/>
          <w:i w:val="0"/>
          <w:color w:val="000000"/>
          <w:sz w:val="24"/>
        </w:rPr>
        <w:t>Corpus, Data States, and Reference Standard</w:t>
      </w:r>
    </w:p>
    <w:p>
      <w:pPr>
        <w:spacing w:line="480" w:lineRule="auto" w:after="0"/>
        <w:ind w:firstLine="720"/>
      </w:pPr>
      <w:r>
        <w:rPr>
          <w:rFonts w:ascii="Times New Roman" w:hAnsi="Times New Roman"/>
          <w:b w:val="0"/>
          <w:i w:val="0"/>
          <w:color w:val="000000"/>
          <w:sz w:val="24"/>
        </w:rPr>
        <w:t>The parent corpus is an AI adoption in higher education MASEM project. Paper B uses the validation and extraction subset derived from that corpus. The workflow separates raw independent human coder workbooks, pre-adjudication human-human disagreement queues, source-document adjudication decisions, a frozen source-anchored adjudicated human reference layer, locked LLM outputs, and downstream diagnostic analysis files.</w:t>
      </w:r>
    </w:p>
    <w:p>
      <w:pPr>
        <w:spacing w:line="480" w:lineRule="auto" w:after="0"/>
        <w:ind w:firstLine="720"/>
      </w:pPr>
      <w:r>
        <w:rPr>
          <w:rFonts w:ascii="Times New Roman" w:hAnsi="Times New Roman"/>
          <w:b w:val="0"/>
          <w:i w:val="0"/>
          <w:color w:val="000000"/>
          <w:sz w:val="24"/>
        </w:rPr>
        <w:t>The canonical human-consensus package is the OneDrive folder Paper2_Human_Final_Consensus_20260605_v2, with Git reference-freeze and scoring artifacts derived downstream. The post-freeze full-corpus reference contains 213 studies and preserves caveats rather than silently rewriting raw coder workbooks. The legacy model-explicit denominator-family package contains 8,783 task units and remains useful as pre-full-corpus reproducibility evidence, but final full-corpus result claims are governed by the 2026-06-09 post-freeze Step 5 gate.</w:t>
      </w:r>
    </w:p>
    <w:p>
      <w:pPr>
        <w:pStyle w:val="Heading2"/>
        <w:spacing w:line="480" w:lineRule="auto" w:after="0"/>
        <w:jc w:val="left"/>
      </w:pPr>
      <w:r/>
      <w:r>
        <w:rPr>
          <w:rFonts w:ascii="Times New Roman" w:hAnsi="Times New Roman"/>
          <w:b/>
          <w:i w:val="0"/>
          <w:color w:val="000000"/>
          <w:sz w:val="24"/>
        </w:rPr>
        <w:t>Task Families and Scoring Rules</w:t>
      </w:r>
    </w:p>
    <w:p>
      <w:pPr>
        <w:spacing w:line="480" w:lineRule="auto" w:after="0"/>
        <w:ind w:firstLine="720"/>
      </w:pPr>
      <w:r>
        <w:rPr>
          <w:rFonts w:ascii="Times New Roman" w:hAnsi="Times New Roman"/>
          <w:b w:val="0"/>
          <w:i w:val="0"/>
          <w:color w:val="000000"/>
          <w:sz w:val="24"/>
        </w:rPr>
        <w:t>Task units are not interpreted as one accuracy denominator. Each row is assigned a denominator family and scoring eligibility rule. Direct-r extraction rows, converted or source-statistic numeric rows, metadata rows, human-review decision rows, source-absence rows, duplicate-source exclusions, blank/absence consensus rows, and trace rows are scored or interpreted separately.</w:t>
      </w:r>
    </w:p>
    <w:p>
      <w:pPr>
        <w:spacing w:line="480" w:lineRule="auto" w:after="0"/>
        <w:ind w:firstLine="720"/>
      </w:pPr>
      <w:r>
        <w:rPr>
          <w:rFonts w:ascii="Times New Roman" w:hAnsi="Times New Roman"/>
          <w:b w:val="0"/>
          <w:i w:val="0"/>
          <w:color w:val="000000"/>
          <w:sz w:val="24"/>
        </w:rPr>
        <w:t>Direct-r numeric extraction is scored with an absolute error tolerance of 0.005. Metadata extraction is reported using strict exact match and relaxed normalized match. Abstentions on scorable rows count as incorrect and are reported as workflow behavior. Blank/absence consensus and human-disagreement trace rows are interpreted as triage evidence rather than final content-accuracy rows.</w:t>
      </w:r>
    </w:p>
    <w:p>
      <w:pPr>
        <w:pStyle w:val="Heading2"/>
        <w:spacing w:line="480" w:lineRule="auto" w:after="0"/>
        <w:jc w:val="left"/>
      </w:pPr>
      <w:r/>
      <w:r>
        <w:rPr>
          <w:rFonts w:ascii="Times New Roman" w:hAnsi="Times New Roman"/>
          <w:b/>
          <w:i w:val="0"/>
          <w:color w:val="000000"/>
          <w:sz w:val="24"/>
        </w:rPr>
        <w:t>Model Scope and Locked Outputs</w:t>
      </w:r>
    </w:p>
    <w:p>
      <w:pPr>
        <w:spacing w:line="480" w:lineRule="auto" w:after="0"/>
        <w:ind w:firstLine="720"/>
      </w:pPr>
      <w:r>
        <w:rPr>
          <w:rFonts w:ascii="Times New Roman" w:hAnsi="Times New Roman"/>
          <w:b w:val="0"/>
          <w:i w:val="0"/>
          <w:color w:val="000000"/>
          <w:sz w:val="24"/>
        </w:rPr>
        <w:t>Codex GPT-5.5 is the primary prespecified workflow. Claude Sonnet and Gemini 3 Flash are retained as supplementary sensitivity and triage evidence only. Clean model-explicit locked outputs are available for Codex GPT-5.5, Claude Sonnet, and Gemini 3 Flash across 7,859 task units in the legacy model-explicit package. Earlier Claude default-unspecified rows are retained only as audit provenance after the Sonnet backfill.</w:t>
      </w:r>
    </w:p>
    <w:p>
      <w:pPr>
        <w:pStyle w:val="Heading2"/>
        <w:spacing w:line="480" w:lineRule="auto" w:after="0"/>
        <w:jc w:val="left"/>
      </w:pPr>
      <w:r/>
      <w:r>
        <w:rPr>
          <w:rFonts w:ascii="Times New Roman" w:hAnsi="Times New Roman"/>
          <w:b/>
          <w:i w:val="0"/>
          <w:color w:val="000000"/>
          <w:sz w:val="24"/>
        </w:rPr>
        <w:t>Analysis Plan</w:t>
      </w:r>
    </w:p>
    <w:p>
      <w:pPr>
        <w:spacing w:line="480" w:lineRule="auto" w:after="0"/>
        <w:ind w:firstLine="720"/>
      </w:pPr>
      <w:r>
        <w:rPr>
          <w:rFonts w:ascii="Times New Roman" w:hAnsi="Times New Roman"/>
          <w:b w:val="0"/>
          <w:i w:val="0"/>
          <w:color w:val="000000"/>
          <w:sz w:val="24"/>
        </w:rPr>
        <w:t>RQ1 evaluates extraction validity by denominator family and task stratum. RQ2 classifies errors by source condition, source-type status, denominator family, and downstream consequence. RQ3 evaluates whether model behavior, cross-model disagreement, source-risk flags, and human-disagreement traces prioritize expert review. Downstream substitution analyses are reported only as bounded diagnostics: they test whether expert-reviewed LLM-assisted inputs change human-reference pooled correlations or TSSEM paths under the current eligible subset.</w:t>
      </w:r>
    </w:p>
    <w:p>
      <w:pPr>
        <w:spacing w:line="480" w:lineRule="auto" w:after="0"/>
        <w:ind w:firstLine="720"/>
      </w:pPr>
      <w:r>
        <w:rPr>
          <w:rFonts w:ascii="Times New Roman" w:hAnsi="Times New Roman"/>
          <w:b w:val="0"/>
          <w:i w:val="0"/>
          <w:color w:val="000000"/>
          <w:sz w:val="24"/>
        </w:rPr>
        <w:t>The approved missing-N rule excludes rows without source-supported numeric sample size from N-weighted TSSEM/MASEM weighting unless later source checks supply numeric N. The deterministic reconciliation layer fills numeric N for 741 of 804 legacy primary rerun rows and excludes the remaining 63 rows from N-weighted SEM weighting. Therefore, all-row SEM wording is prohibited unless numeric N is completed for every SEM input row.</w:t>
      </w:r>
    </w:p>
    <w:p>
      <w:pPr>
        <w:pStyle w:val="Heading1"/>
        <w:spacing w:line="480" w:lineRule="auto" w:after="0"/>
        <w:jc w:val="center"/>
      </w:pPr>
      <w:r/>
      <w:r>
        <w:rPr>
          <w:rFonts w:ascii="Times New Roman" w:hAnsi="Times New Roman"/>
          <w:b/>
          <w:i w:val="0"/>
          <w:color w:val="000000"/>
          <w:sz w:val="24"/>
        </w:rPr>
        <w:t>Results</w:t>
      </w:r>
    </w:p>
    <w:p>
      <w:pPr>
        <w:pStyle w:val="Heading2"/>
        <w:spacing w:line="480" w:lineRule="auto" w:after="0"/>
        <w:jc w:val="left"/>
      </w:pPr>
      <w:r/>
      <w:r>
        <w:rPr>
          <w:rFonts w:ascii="Times New Roman" w:hAnsi="Times New Roman"/>
          <w:b/>
          <w:i w:val="0"/>
          <w:color w:val="000000"/>
          <w:sz w:val="24"/>
        </w:rPr>
        <w:t>Reference and Locked-Output Coverage</w:t>
      </w:r>
    </w:p>
    <w:p>
      <w:pPr>
        <w:spacing w:line="480" w:lineRule="auto" w:after="0"/>
        <w:ind w:firstLine="720"/>
      </w:pPr>
      <w:r>
        <w:rPr>
          <w:rFonts w:ascii="Times New Roman" w:hAnsi="Times New Roman"/>
          <w:b w:val="0"/>
          <w:i w:val="0"/>
          <w:color w:val="000000"/>
          <w:sz w:val="24"/>
        </w:rPr>
        <w:t>The legacy model-explicit package contains 8,783 task units. Codex GPT-5.5, Claude Sonnet, and Gemini 3 Flash each have clean model-explicit locked outputs for 7,859 eligible task units. These rows support denominator-family scoring and supplementary cross-model triage, not a single pooled vendor-ranking denominator.</w:t>
      </w:r>
    </w:p>
    <w:p>
      <w:pPr>
        <w:keepNext/>
        <w:spacing w:line="480" w:lineRule="auto" w:after="0"/>
      </w:pPr>
      <w:r>
        <w:rPr>
          <w:rFonts w:ascii="Times New Roman" w:hAnsi="Times New Roman"/>
          <w:b/>
          <w:i w:val="0"/>
          <w:color w:val="000000"/>
          <w:sz w:val="24"/>
        </w:rPr>
        <w:t>Table 1</w:t>
      </w:r>
    </w:p>
    <w:p>
      <w:pPr>
        <w:keepNext/>
        <w:spacing w:line="480" w:lineRule="auto" w:after="0"/>
      </w:pPr>
      <w:r>
        <w:rPr>
          <w:rFonts w:ascii="Times New Roman" w:hAnsi="Times New Roman"/>
          <w:b w:val="0"/>
          <w:i/>
          <w:color w:val="000000"/>
          <w:sz w:val="24"/>
        </w:rPr>
        <w:t>Paper B Data States and Claim Roles</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top"/>
            <w:tcW w:w="3120" w:type="dxa"/>
          </w:tcPr>
          <w:p>
            <w:pPr>
              <w:spacing w:after="0" w:line="240" w:lineRule="auto"/>
              <w:jc w:val="left"/>
            </w:pPr>
            <w:r/>
            <w:r>
              <w:rPr>
                <w:rFonts w:ascii="Times New Roman" w:hAnsi="Times New Roman"/>
                <w:b/>
                <w:i w:val="0"/>
                <w:color w:val="000000"/>
                <w:sz w:val="21"/>
              </w:rPr>
              <w:t>Data state</w:t>
            </w:r>
          </w:p>
        </w:tc>
        <w:tc>
          <w:tcPr>
            <w:tcW w:type="dxa" w:w="3120"/>
            <w:vAlign w:val="top"/>
            <w:tcW w:w="3120" w:type="dxa"/>
          </w:tcPr>
          <w:p>
            <w:pPr>
              <w:spacing w:after="0" w:line="240" w:lineRule="auto"/>
              <w:jc w:val="left"/>
            </w:pPr>
            <w:r/>
            <w:r>
              <w:rPr>
                <w:rFonts w:ascii="Times New Roman" w:hAnsi="Times New Roman"/>
                <w:b/>
                <w:i w:val="0"/>
                <w:color w:val="000000"/>
                <w:sz w:val="21"/>
              </w:rPr>
              <w:t>Current evidence</w:t>
            </w:r>
          </w:p>
        </w:tc>
        <w:tc>
          <w:tcPr>
            <w:tcW w:type="dxa" w:w="3120"/>
            <w:vAlign w:val="top"/>
            <w:tcW w:w="3120" w:type="dxa"/>
          </w:tcPr>
          <w:p>
            <w:pPr>
              <w:spacing w:after="0" w:line="240" w:lineRule="auto"/>
              <w:jc w:val="left"/>
            </w:pPr>
            <w:r/>
            <w:r>
              <w:rPr>
                <w:rFonts w:ascii="Times New Roman" w:hAnsi="Times New Roman"/>
                <w:b/>
                <w:i w:val="0"/>
                <w:color w:val="000000"/>
                <w:sz w:val="21"/>
              </w:rPr>
              <w:t>Claim role</w:t>
            </w:r>
          </w:p>
        </w:tc>
      </w:tr>
      <w:tr>
        <w:tc>
          <w:tcPr>
            <w:tcW w:type="dxa" w:w="3120"/>
            <w:vAlign w:val="top"/>
            <w:tcW w:w="3120" w:type="dxa"/>
          </w:tcPr>
          <w:p>
            <w:pPr>
              <w:spacing w:after="0" w:line="240" w:lineRule="auto"/>
              <w:jc w:val="left"/>
            </w:pPr>
            <w:r/>
            <w:r>
              <w:rPr>
                <w:rFonts w:ascii="Times New Roman" w:hAnsi="Times New Roman"/>
                <w:b w:val="0"/>
                <w:i w:val="0"/>
                <w:color w:val="000000"/>
                <w:sz w:val="21"/>
              </w:rPr>
              <w:t>Frozen full-corpus reference</w:t>
            </w:r>
          </w:p>
        </w:tc>
        <w:tc>
          <w:tcPr>
            <w:tcW w:type="dxa" w:w="3120"/>
            <w:vAlign w:val="top"/>
            <w:tcW w:w="3120" w:type="dxa"/>
          </w:tcPr>
          <w:p>
            <w:pPr>
              <w:spacing w:after="0" w:line="240" w:lineRule="auto"/>
              <w:jc w:val="left"/>
            </w:pPr>
            <w:r/>
            <w:r>
              <w:rPr>
                <w:rFonts w:ascii="Times New Roman" w:hAnsi="Times New Roman"/>
                <w:b w:val="0"/>
                <w:i w:val="0"/>
                <w:color w:val="000000"/>
                <w:sz w:val="21"/>
              </w:rPr>
              <w:t>213 studies frozen on 2026-06-09</w:t>
            </w:r>
          </w:p>
        </w:tc>
        <w:tc>
          <w:tcPr>
            <w:tcW w:type="dxa" w:w="3120"/>
            <w:vAlign w:val="top"/>
            <w:tcW w:w="3120" w:type="dxa"/>
          </w:tcPr>
          <w:p>
            <w:pPr>
              <w:spacing w:after="0" w:line="240" w:lineRule="auto"/>
              <w:jc w:val="left"/>
            </w:pPr>
            <w:r/>
            <w:r>
              <w:rPr>
                <w:rFonts w:ascii="Times New Roman" w:hAnsi="Times New Roman"/>
                <w:b w:val="0"/>
                <w:i w:val="0"/>
                <w:color w:val="000000"/>
                <w:sz w:val="21"/>
              </w:rPr>
              <w:t>Current governing reference layer</w:t>
            </w:r>
          </w:p>
        </w:tc>
      </w:tr>
      <w:tr>
        <w:tc>
          <w:tcPr>
            <w:tcW w:type="dxa" w:w="3120"/>
            <w:vAlign w:val="top"/>
            <w:tcW w:w="3120" w:type="dxa"/>
          </w:tcPr>
          <w:p>
            <w:pPr>
              <w:spacing w:after="0" w:line="240" w:lineRule="auto"/>
              <w:jc w:val="left"/>
            </w:pPr>
            <w:r/>
            <w:r>
              <w:rPr>
                <w:rFonts w:ascii="Times New Roman" w:hAnsi="Times New Roman"/>
                <w:b w:val="0"/>
                <w:i w:val="0"/>
                <w:color w:val="000000"/>
                <w:sz w:val="21"/>
              </w:rPr>
              <w:t>Legacy task-unit package</w:t>
            </w:r>
          </w:p>
        </w:tc>
        <w:tc>
          <w:tcPr>
            <w:tcW w:type="dxa" w:w="3120"/>
            <w:vAlign w:val="top"/>
            <w:tcW w:w="3120" w:type="dxa"/>
          </w:tcPr>
          <w:p>
            <w:pPr>
              <w:spacing w:after="0" w:line="240" w:lineRule="auto"/>
              <w:jc w:val="left"/>
            </w:pPr>
            <w:r/>
            <w:r>
              <w:rPr>
                <w:rFonts w:ascii="Times New Roman" w:hAnsi="Times New Roman"/>
                <w:b w:val="0"/>
                <w:i w:val="0"/>
                <w:color w:val="000000"/>
                <w:sz w:val="21"/>
              </w:rPr>
              <w:t>8,783 task units</w:t>
            </w:r>
          </w:p>
        </w:tc>
        <w:tc>
          <w:tcPr>
            <w:tcW w:type="dxa" w:w="3120"/>
            <w:vAlign w:val="top"/>
            <w:tcW w:w="3120" w:type="dxa"/>
          </w:tcPr>
          <w:p>
            <w:pPr>
              <w:spacing w:after="0" w:line="240" w:lineRule="auto"/>
              <w:jc w:val="left"/>
            </w:pPr>
            <w:r/>
            <w:r>
              <w:rPr>
                <w:rFonts w:ascii="Times New Roman" w:hAnsi="Times New Roman"/>
                <w:b w:val="0"/>
                <w:i w:val="0"/>
                <w:color w:val="000000"/>
                <w:sz w:val="21"/>
              </w:rPr>
              <w:t>Pre-full-corpus reproducibility and denominator-family evidence</w:t>
            </w:r>
          </w:p>
        </w:tc>
      </w:tr>
      <w:tr>
        <w:tc>
          <w:tcPr>
            <w:tcW w:type="dxa" w:w="3120"/>
            <w:vAlign w:val="top"/>
            <w:tcW w:w="3120" w:type="dxa"/>
          </w:tcPr>
          <w:p>
            <w:pPr>
              <w:spacing w:after="0" w:line="240" w:lineRule="auto"/>
              <w:jc w:val="left"/>
            </w:pPr>
            <w:r/>
            <w:r>
              <w:rPr>
                <w:rFonts w:ascii="Times New Roman" w:hAnsi="Times New Roman"/>
                <w:b w:val="0"/>
                <w:i w:val="0"/>
                <w:color w:val="000000"/>
                <w:sz w:val="21"/>
              </w:rPr>
              <w:t>Clean model-explicit outputs</w:t>
            </w:r>
          </w:p>
        </w:tc>
        <w:tc>
          <w:tcPr>
            <w:tcW w:type="dxa" w:w="3120"/>
            <w:vAlign w:val="top"/>
            <w:tcW w:w="3120" w:type="dxa"/>
          </w:tcPr>
          <w:p>
            <w:pPr>
              <w:spacing w:after="0" w:line="240" w:lineRule="auto"/>
              <w:jc w:val="left"/>
            </w:pPr>
            <w:r/>
            <w:r>
              <w:rPr>
                <w:rFonts w:ascii="Times New Roman" w:hAnsi="Times New Roman"/>
                <w:b w:val="0"/>
                <w:i w:val="0"/>
                <w:color w:val="000000"/>
                <w:sz w:val="21"/>
              </w:rPr>
              <w:t>7,859 rows per model</w:t>
            </w:r>
          </w:p>
        </w:tc>
        <w:tc>
          <w:tcPr>
            <w:tcW w:type="dxa" w:w="3120"/>
            <w:vAlign w:val="top"/>
            <w:tcW w:w="3120" w:type="dxa"/>
          </w:tcPr>
          <w:p>
            <w:pPr>
              <w:spacing w:after="0" w:line="240" w:lineRule="auto"/>
              <w:jc w:val="left"/>
            </w:pPr>
            <w:r/>
            <w:r>
              <w:rPr>
                <w:rFonts w:ascii="Times New Roman" w:hAnsi="Times New Roman"/>
                <w:b w:val="0"/>
                <w:i w:val="0"/>
                <w:color w:val="000000"/>
                <w:sz w:val="21"/>
              </w:rPr>
              <w:t>RQ1-RQ3 task-family scoring and sensitivity</w:t>
            </w:r>
          </w:p>
        </w:tc>
      </w:tr>
      <w:tr>
        <w:tc>
          <w:tcPr>
            <w:tcW w:type="dxa" w:w="3120"/>
            <w:vAlign w:val="top"/>
            <w:tcW w:w="3120" w:type="dxa"/>
          </w:tcPr>
          <w:p>
            <w:pPr>
              <w:spacing w:after="0" w:line="240" w:lineRule="auto"/>
              <w:jc w:val="left"/>
            </w:pPr>
            <w:r/>
            <w:r>
              <w:rPr>
                <w:rFonts w:ascii="Times New Roman" w:hAnsi="Times New Roman"/>
                <w:b w:val="0"/>
                <w:i w:val="0"/>
                <w:color w:val="000000"/>
                <w:sz w:val="21"/>
              </w:rPr>
              <w:t>Bounded source-rendered M1-R shard</w:t>
            </w:r>
          </w:p>
        </w:tc>
        <w:tc>
          <w:tcPr>
            <w:tcW w:type="dxa" w:w="3120"/>
            <w:vAlign w:val="top"/>
            <w:tcW w:w="3120" w:type="dxa"/>
          </w:tcPr>
          <w:p>
            <w:pPr>
              <w:spacing w:after="0" w:line="240" w:lineRule="auto"/>
              <w:jc w:val="left"/>
            </w:pPr>
            <w:r/>
            <w:r>
              <w:rPr>
                <w:rFonts w:ascii="Times New Roman" w:hAnsi="Times New Roman"/>
                <w:b w:val="0"/>
                <w:i w:val="0"/>
                <w:color w:val="000000"/>
                <w:sz w:val="21"/>
              </w:rPr>
              <w:t>90 rows</w:t>
            </w:r>
          </w:p>
        </w:tc>
        <w:tc>
          <w:tcPr>
            <w:tcW w:type="dxa" w:w="3120"/>
            <w:vAlign w:val="top"/>
            <w:tcW w:w="3120" w:type="dxa"/>
          </w:tcPr>
          <w:p>
            <w:pPr>
              <w:spacing w:after="0" w:line="240" w:lineRule="auto"/>
              <w:jc w:val="left"/>
            </w:pPr>
            <w:r/>
            <w:r>
              <w:rPr>
                <w:rFonts w:ascii="Times New Roman" w:hAnsi="Times New Roman"/>
                <w:b w:val="0"/>
                <w:i w:val="0"/>
                <w:color w:val="000000"/>
                <w:sz w:val="21"/>
              </w:rPr>
              <w:t>Staged diagnostic only, not full-corpus accuracy</w:t>
            </w:r>
          </w:p>
        </w:tc>
      </w:tr>
      <w:tr>
        <w:tc>
          <w:tcPr>
            <w:tcW w:type="dxa" w:w="3120"/>
            <w:vAlign w:val="top"/>
            <w:tcW w:w="3120" w:type="dxa"/>
          </w:tcPr>
          <w:p>
            <w:pPr>
              <w:spacing w:after="0" w:line="240" w:lineRule="auto"/>
              <w:jc w:val="left"/>
            </w:pPr>
            <w:r/>
            <w:r>
              <w:rPr>
                <w:rFonts w:ascii="Times New Roman" w:hAnsi="Times New Roman"/>
                <w:b w:val="0"/>
                <w:i w:val="0"/>
                <w:color w:val="000000"/>
                <w:sz w:val="21"/>
              </w:rPr>
              <w:t>Core-6 TSSEM diagnostic</w:t>
            </w:r>
          </w:p>
        </w:tc>
        <w:tc>
          <w:tcPr>
            <w:tcW w:type="dxa" w:w="3120"/>
            <w:vAlign w:val="top"/>
            <w:tcW w:w="3120" w:type="dxa"/>
          </w:tcPr>
          <w:p>
            <w:pPr>
              <w:spacing w:after="0" w:line="240" w:lineRule="auto"/>
              <w:jc w:val="left"/>
            </w:pPr>
            <w:r/>
            <w:r>
              <w:rPr>
                <w:rFonts w:ascii="Times New Roman" w:hAnsi="Times New Roman"/>
                <w:b w:val="0"/>
                <w:i w:val="0"/>
                <w:color w:val="000000"/>
                <w:sz w:val="21"/>
              </w:rPr>
              <w:t>15 complete-case studies</w:t>
            </w:r>
          </w:p>
        </w:tc>
        <w:tc>
          <w:tcPr>
            <w:tcW w:type="dxa" w:w="3120"/>
            <w:vAlign w:val="top"/>
            <w:tcW w:w="3120" w:type="dxa"/>
          </w:tcPr>
          <w:p>
            <w:pPr>
              <w:spacing w:after="0" w:line="240" w:lineRule="auto"/>
              <w:jc w:val="left"/>
            </w:pPr>
            <w:r/>
            <w:r>
              <w:rPr>
                <w:rFonts w:ascii="Times New Roman" w:hAnsi="Times New Roman"/>
                <w:b w:val="0"/>
                <w:i w:val="0"/>
                <w:color w:val="000000"/>
                <w:sz w:val="21"/>
              </w:rPr>
              <w:t>Subset substitution-stability diagnostic</w:t>
            </w:r>
          </w:p>
        </w:tc>
      </w:tr>
    </w:tbl>
    <w:p>
      <w:pPr>
        <w:spacing w:line="480" w:lineRule="auto" w:after="0"/>
      </w:pPr>
      <w:r>
        <w:rPr>
          <w:rFonts w:ascii="Times New Roman" w:hAnsi="Times New Roman"/>
          <w:b w:val="0"/>
          <w:i/>
          <w:color w:val="000000"/>
          <w:sz w:val="20"/>
        </w:rPr>
        <w:t>Note. Draft table; update after lead analysis lock where indicated.</w:t>
      </w:r>
    </w:p>
    <w:p>
      <w:pPr>
        <w:pStyle w:val="Heading2"/>
        <w:spacing w:line="480" w:lineRule="auto" w:after="0"/>
        <w:jc w:val="left"/>
      </w:pPr>
      <w:r/>
      <w:r>
        <w:rPr>
          <w:rFonts w:ascii="Times New Roman" w:hAnsi="Times New Roman"/>
          <w:b/>
          <w:i w:val="0"/>
          <w:color w:val="000000"/>
          <w:sz w:val="24"/>
        </w:rPr>
        <w:t>RQ1: Extraction Validity by Task Family</w:t>
      </w:r>
    </w:p>
    <w:p>
      <w:pPr>
        <w:spacing w:line="480" w:lineRule="auto" w:after="0"/>
        <w:ind w:firstLine="720"/>
      </w:pPr>
      <w:r>
        <w:rPr>
          <w:rFonts w:ascii="Times New Roman" w:hAnsi="Times New Roman"/>
          <w:b w:val="0"/>
          <w:i w:val="0"/>
          <w:color w:val="000000"/>
          <w:sz w:val="24"/>
        </w:rPr>
        <w:t>For the primary Codex GPT-5.5 workflow in the legacy model-explicit package, source-reported direct-r extraction contained 323 scored rows. Codex matched 3 rows within the 0.005 tolerance and abstained on 320 rows. The 43 source_blank_direct_r rows were retained in the direct-r extraction family but all received abstentions. Converted numeric strata included 30 beta rows, 53 beta/path-converted human-consensus rows, and 5 numeric source-statistic rows; all were abstained under the current locked prompt/input condition.</w:t>
      </w:r>
    </w:p>
    <w:p>
      <w:pPr>
        <w:spacing w:line="480" w:lineRule="auto" w:after="0"/>
        <w:ind w:firstLine="720"/>
      </w:pPr>
      <w:r>
        <w:rPr>
          <w:rFonts w:ascii="Times New Roman" w:hAnsi="Times New Roman"/>
          <w:b w:val="0"/>
          <w:i w:val="0"/>
          <w:color w:val="000000"/>
          <w:sz w:val="24"/>
        </w:rPr>
        <w:t>Metadata performance varied by field. Codex achieved exact and relaxed match for all scored source-type rows and statistic-count rows, and 16 of 19 study-design rows. Other metadata families, including AI type, user role, country, and first author, showed high abstention rates. These results describe task-family workflow behavior under locked inputs rather than general model capability.</w:t>
      </w:r>
    </w:p>
    <w:p>
      <w:pPr>
        <w:keepNext/>
        <w:spacing w:line="480" w:lineRule="auto" w:after="0"/>
      </w:pPr>
      <w:r>
        <w:rPr>
          <w:rFonts w:ascii="Times New Roman" w:hAnsi="Times New Roman"/>
          <w:b/>
          <w:i w:val="0"/>
          <w:color w:val="000000"/>
          <w:sz w:val="24"/>
        </w:rPr>
        <w:t>Table 2</w:t>
      </w:r>
    </w:p>
    <w:p>
      <w:pPr>
        <w:keepNext/>
        <w:spacing w:line="480" w:lineRule="auto" w:after="0"/>
      </w:pPr>
      <w:r>
        <w:rPr>
          <w:rFonts w:ascii="Times New Roman" w:hAnsi="Times New Roman"/>
          <w:b w:val="0"/>
          <w:i/>
          <w:color w:val="000000"/>
          <w:sz w:val="24"/>
        </w:rPr>
        <w:t>Primary Codex GPT-5.5 RQ1 Numeric and Metadata Results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vAlign w:val="top"/>
            <w:tcW w:w="1872" w:type="dxa"/>
          </w:tcPr>
          <w:p>
            <w:pPr>
              <w:spacing w:after="0" w:line="240" w:lineRule="auto"/>
              <w:jc w:val="left"/>
            </w:pPr>
            <w:r/>
            <w:r>
              <w:rPr>
                <w:rFonts w:ascii="Times New Roman" w:hAnsi="Times New Roman"/>
                <w:b/>
                <w:i w:val="0"/>
                <w:color w:val="000000"/>
                <w:sz w:val="21"/>
              </w:rPr>
              <w:t>Task stratum</w:t>
            </w:r>
          </w:p>
        </w:tc>
        <w:tc>
          <w:tcPr>
            <w:tcW w:type="dxa" w:w="1872"/>
            <w:vAlign w:val="top"/>
            <w:tcW w:w="1872" w:type="dxa"/>
          </w:tcPr>
          <w:p>
            <w:pPr>
              <w:spacing w:after="0" w:line="240" w:lineRule="auto"/>
              <w:jc w:val="left"/>
            </w:pPr>
            <w:r/>
            <w:r>
              <w:rPr>
                <w:rFonts w:ascii="Times New Roman" w:hAnsi="Times New Roman"/>
                <w:b/>
                <w:i w:val="0"/>
                <w:color w:val="000000"/>
                <w:sz w:val="21"/>
              </w:rPr>
              <w:t>Scored rows</w:t>
            </w:r>
          </w:p>
        </w:tc>
        <w:tc>
          <w:tcPr>
            <w:tcW w:type="dxa" w:w="1872"/>
            <w:vAlign w:val="top"/>
            <w:tcW w:w="1872" w:type="dxa"/>
          </w:tcPr>
          <w:p>
            <w:pPr>
              <w:spacing w:after="0" w:line="240" w:lineRule="auto"/>
              <w:jc w:val="left"/>
            </w:pPr>
            <w:r/>
            <w:r>
              <w:rPr>
                <w:rFonts w:ascii="Times New Roman" w:hAnsi="Times New Roman"/>
                <w:b/>
                <w:i w:val="0"/>
                <w:color w:val="000000"/>
                <w:sz w:val="21"/>
              </w:rPr>
              <w:t>Correct</w:t>
            </w:r>
          </w:p>
        </w:tc>
        <w:tc>
          <w:tcPr>
            <w:tcW w:type="dxa" w:w="1872"/>
            <w:vAlign w:val="top"/>
            <w:tcW w:w="1872" w:type="dxa"/>
          </w:tcPr>
          <w:p>
            <w:pPr>
              <w:spacing w:after="0" w:line="240" w:lineRule="auto"/>
              <w:jc w:val="left"/>
            </w:pPr>
            <w:r/>
            <w:r>
              <w:rPr>
                <w:rFonts w:ascii="Times New Roman" w:hAnsi="Times New Roman"/>
                <w:b/>
                <w:i w:val="0"/>
                <w:color w:val="000000"/>
                <w:sz w:val="21"/>
              </w:rPr>
              <w:t>Abstentions</w:t>
            </w:r>
          </w:p>
        </w:tc>
        <w:tc>
          <w:tcPr>
            <w:tcW w:type="dxa" w:w="1872"/>
            <w:vAlign w:val="top"/>
            <w:tcW w:w="1872" w:type="dxa"/>
          </w:tcPr>
          <w:p>
            <w:pPr>
              <w:spacing w:after="0" w:line="240" w:lineRule="auto"/>
              <w:jc w:val="left"/>
            </w:pPr>
            <w:r/>
            <w:r>
              <w:rPr>
                <w:rFonts w:ascii="Times New Roman" w:hAnsi="Times New Roman"/>
                <w:b/>
                <w:i w:val="0"/>
                <w:color w:val="000000"/>
                <w:sz w:val="21"/>
              </w:rPr>
              <w:t>Interpretation</w:t>
            </w:r>
          </w:p>
        </w:tc>
      </w:tr>
      <w:tr>
        <w:tc>
          <w:tcPr>
            <w:tcW w:type="dxa" w:w="1872"/>
            <w:vAlign w:val="top"/>
            <w:tcW w:w="1872" w:type="dxa"/>
          </w:tcPr>
          <w:p>
            <w:pPr>
              <w:spacing w:after="0" w:line="240" w:lineRule="auto"/>
              <w:jc w:val="left"/>
            </w:pPr>
            <w:r/>
            <w:r>
              <w:rPr>
                <w:rFonts w:ascii="Times New Roman" w:hAnsi="Times New Roman"/>
                <w:b w:val="0"/>
                <w:i w:val="0"/>
                <w:color w:val="000000"/>
                <w:sz w:val="21"/>
              </w:rPr>
              <w:t>Source-reported direct-r</w:t>
            </w:r>
          </w:p>
        </w:tc>
        <w:tc>
          <w:tcPr>
            <w:tcW w:type="dxa" w:w="1872"/>
            <w:vAlign w:val="top"/>
            <w:tcW w:w="1872" w:type="dxa"/>
          </w:tcPr>
          <w:p>
            <w:pPr>
              <w:spacing w:after="0" w:line="240" w:lineRule="auto"/>
              <w:jc w:val="left"/>
            </w:pPr>
            <w:r/>
            <w:r>
              <w:rPr>
                <w:rFonts w:ascii="Times New Roman" w:hAnsi="Times New Roman"/>
                <w:b w:val="0"/>
                <w:i w:val="0"/>
                <w:color w:val="000000"/>
                <w:sz w:val="21"/>
              </w:rPr>
              <w:t>323</w:t>
            </w:r>
          </w:p>
        </w:tc>
        <w:tc>
          <w:tcPr>
            <w:tcW w:type="dxa" w:w="1872"/>
            <w:vAlign w:val="top"/>
            <w:tcW w:w="1872" w:type="dxa"/>
          </w:tcPr>
          <w:p>
            <w:pPr>
              <w:spacing w:after="0" w:line="240" w:lineRule="auto"/>
              <w:jc w:val="left"/>
            </w:pPr>
            <w:r/>
            <w:r>
              <w:rPr>
                <w:rFonts w:ascii="Times New Roman" w:hAnsi="Times New Roman"/>
                <w:b w:val="0"/>
                <w:i w:val="0"/>
                <w:color w:val="000000"/>
                <w:sz w:val="21"/>
              </w:rPr>
              <w:t>3</w:t>
            </w:r>
          </w:p>
        </w:tc>
        <w:tc>
          <w:tcPr>
            <w:tcW w:type="dxa" w:w="1872"/>
            <w:vAlign w:val="top"/>
            <w:tcW w:w="1872" w:type="dxa"/>
          </w:tcPr>
          <w:p>
            <w:pPr>
              <w:spacing w:after="0" w:line="240" w:lineRule="auto"/>
              <w:jc w:val="left"/>
            </w:pPr>
            <w:r/>
            <w:r>
              <w:rPr>
                <w:rFonts w:ascii="Times New Roman" w:hAnsi="Times New Roman"/>
                <w:b w:val="0"/>
                <w:i w:val="0"/>
                <w:color w:val="000000"/>
                <w:sz w:val="21"/>
              </w:rPr>
              <w:t>320</w:t>
            </w:r>
          </w:p>
        </w:tc>
        <w:tc>
          <w:tcPr>
            <w:tcW w:type="dxa" w:w="1872"/>
            <w:vAlign w:val="top"/>
            <w:tcW w:w="1872" w:type="dxa"/>
          </w:tcPr>
          <w:p>
            <w:pPr>
              <w:spacing w:after="0" w:line="240" w:lineRule="auto"/>
              <w:jc w:val="left"/>
            </w:pPr>
            <w:r/>
            <w:r>
              <w:rPr>
                <w:rFonts w:ascii="Times New Roman" w:hAnsi="Times New Roman"/>
                <w:b w:val="0"/>
                <w:i w:val="0"/>
                <w:color w:val="000000"/>
                <w:sz w:val="21"/>
              </w:rPr>
              <w:t>Not safe for autonomous numeric substitution</w:t>
            </w:r>
          </w:p>
        </w:tc>
      </w:tr>
      <w:tr>
        <w:tc>
          <w:tcPr>
            <w:tcW w:type="dxa" w:w="1872"/>
            <w:vAlign w:val="top"/>
            <w:tcW w:w="1872" w:type="dxa"/>
          </w:tcPr>
          <w:p>
            <w:pPr>
              <w:spacing w:after="0" w:line="240" w:lineRule="auto"/>
              <w:jc w:val="left"/>
            </w:pPr>
            <w:r/>
            <w:r>
              <w:rPr>
                <w:rFonts w:ascii="Times New Roman" w:hAnsi="Times New Roman"/>
                <w:b w:val="0"/>
                <w:i w:val="0"/>
                <w:color w:val="000000"/>
                <w:sz w:val="21"/>
              </w:rPr>
              <w:t>Source-blank direct-r</w:t>
            </w:r>
          </w:p>
        </w:tc>
        <w:tc>
          <w:tcPr>
            <w:tcW w:type="dxa" w:w="1872"/>
            <w:vAlign w:val="top"/>
            <w:tcW w:w="1872" w:type="dxa"/>
          </w:tcPr>
          <w:p>
            <w:pPr>
              <w:spacing w:after="0" w:line="240" w:lineRule="auto"/>
              <w:jc w:val="left"/>
            </w:pPr>
            <w:r/>
            <w:r>
              <w:rPr>
                <w:rFonts w:ascii="Times New Roman" w:hAnsi="Times New Roman"/>
                <w:b w:val="0"/>
                <w:i w:val="0"/>
                <w:color w:val="000000"/>
                <w:sz w:val="21"/>
              </w:rPr>
              <w:t>43</w:t>
            </w:r>
          </w:p>
        </w:tc>
        <w:tc>
          <w:tcPr>
            <w:tcW w:type="dxa" w:w="1872"/>
            <w:vAlign w:val="top"/>
            <w:tcW w:w="1872" w:type="dxa"/>
          </w:tcPr>
          <w:p>
            <w:pPr>
              <w:spacing w:after="0" w:line="240" w:lineRule="auto"/>
              <w:jc w:val="left"/>
            </w:pPr>
            <w:r/>
            <w:r>
              <w:rPr>
                <w:rFonts w:ascii="Times New Roman" w:hAnsi="Times New Roman"/>
                <w:b w:val="0"/>
                <w:i w:val="0"/>
                <w:color w:val="000000"/>
                <w:sz w:val="21"/>
              </w:rPr>
              <w:t>0</w:t>
            </w:r>
          </w:p>
        </w:tc>
        <w:tc>
          <w:tcPr>
            <w:tcW w:type="dxa" w:w="1872"/>
            <w:vAlign w:val="top"/>
            <w:tcW w:w="1872" w:type="dxa"/>
          </w:tcPr>
          <w:p>
            <w:pPr>
              <w:spacing w:after="0" w:line="240" w:lineRule="auto"/>
              <w:jc w:val="left"/>
            </w:pPr>
            <w:r/>
            <w:r>
              <w:rPr>
                <w:rFonts w:ascii="Times New Roman" w:hAnsi="Times New Roman"/>
                <w:b w:val="0"/>
                <w:i w:val="0"/>
                <w:color w:val="000000"/>
                <w:sz w:val="21"/>
              </w:rPr>
              <w:t>43</w:t>
            </w:r>
          </w:p>
        </w:tc>
        <w:tc>
          <w:tcPr>
            <w:tcW w:type="dxa" w:w="1872"/>
            <w:vAlign w:val="top"/>
            <w:tcW w:w="1872" w:type="dxa"/>
          </w:tcPr>
          <w:p>
            <w:pPr>
              <w:spacing w:after="0" w:line="240" w:lineRule="auto"/>
              <w:jc w:val="left"/>
            </w:pPr>
            <w:r/>
            <w:r>
              <w:rPr>
                <w:rFonts w:ascii="Times New Roman" w:hAnsi="Times New Roman"/>
                <w:b w:val="0"/>
                <w:i w:val="0"/>
                <w:color w:val="000000"/>
                <w:sz w:val="21"/>
              </w:rPr>
              <w:t>Direct-r family with weaker source evidence</w:t>
            </w:r>
          </w:p>
        </w:tc>
      </w:tr>
      <w:tr>
        <w:tc>
          <w:tcPr>
            <w:tcW w:type="dxa" w:w="1872"/>
            <w:vAlign w:val="top"/>
            <w:tcW w:w="1872" w:type="dxa"/>
          </w:tcPr>
          <w:p>
            <w:pPr>
              <w:spacing w:after="0" w:line="240" w:lineRule="auto"/>
              <w:jc w:val="left"/>
            </w:pPr>
            <w:r/>
            <w:r>
              <w:rPr>
                <w:rFonts w:ascii="Times New Roman" w:hAnsi="Times New Roman"/>
                <w:b w:val="0"/>
                <w:i w:val="0"/>
                <w:color w:val="000000"/>
                <w:sz w:val="21"/>
              </w:rPr>
              <w:t>Converted beta</w:t>
            </w:r>
          </w:p>
        </w:tc>
        <w:tc>
          <w:tcPr>
            <w:tcW w:type="dxa" w:w="1872"/>
            <w:vAlign w:val="top"/>
            <w:tcW w:w="1872" w:type="dxa"/>
          </w:tcPr>
          <w:p>
            <w:pPr>
              <w:spacing w:after="0" w:line="240" w:lineRule="auto"/>
              <w:jc w:val="left"/>
            </w:pPr>
            <w:r/>
            <w:r>
              <w:rPr>
                <w:rFonts w:ascii="Times New Roman" w:hAnsi="Times New Roman"/>
                <w:b w:val="0"/>
                <w:i w:val="0"/>
                <w:color w:val="000000"/>
                <w:sz w:val="21"/>
              </w:rPr>
              <w:t>30</w:t>
            </w:r>
          </w:p>
        </w:tc>
        <w:tc>
          <w:tcPr>
            <w:tcW w:type="dxa" w:w="1872"/>
            <w:vAlign w:val="top"/>
            <w:tcW w:w="1872" w:type="dxa"/>
          </w:tcPr>
          <w:p>
            <w:pPr>
              <w:spacing w:after="0" w:line="240" w:lineRule="auto"/>
              <w:jc w:val="left"/>
            </w:pPr>
            <w:r/>
            <w:r>
              <w:rPr>
                <w:rFonts w:ascii="Times New Roman" w:hAnsi="Times New Roman"/>
                <w:b w:val="0"/>
                <w:i w:val="0"/>
                <w:color w:val="000000"/>
                <w:sz w:val="21"/>
              </w:rPr>
              <w:t>0</w:t>
            </w:r>
          </w:p>
        </w:tc>
        <w:tc>
          <w:tcPr>
            <w:tcW w:type="dxa" w:w="1872"/>
            <w:vAlign w:val="top"/>
            <w:tcW w:w="1872" w:type="dxa"/>
          </w:tcPr>
          <w:p>
            <w:pPr>
              <w:spacing w:after="0" w:line="240" w:lineRule="auto"/>
              <w:jc w:val="left"/>
            </w:pPr>
            <w:r/>
            <w:r>
              <w:rPr>
                <w:rFonts w:ascii="Times New Roman" w:hAnsi="Times New Roman"/>
                <w:b w:val="0"/>
                <w:i w:val="0"/>
                <w:color w:val="000000"/>
                <w:sz w:val="21"/>
              </w:rPr>
              <w:t>30</w:t>
            </w:r>
          </w:p>
        </w:tc>
        <w:tc>
          <w:tcPr>
            <w:tcW w:type="dxa" w:w="1872"/>
            <w:vAlign w:val="top"/>
            <w:tcW w:w="1872" w:type="dxa"/>
          </w:tcPr>
          <w:p>
            <w:pPr>
              <w:spacing w:after="0" w:line="240" w:lineRule="auto"/>
              <w:jc w:val="left"/>
            </w:pPr>
            <w:r/>
            <w:r>
              <w:rPr>
                <w:rFonts w:ascii="Times New Roman" w:hAnsi="Times New Roman"/>
                <w:b w:val="0"/>
                <w:i w:val="0"/>
                <w:color w:val="000000"/>
                <w:sz w:val="21"/>
              </w:rPr>
              <w:t>High-consequence numeric stratum</w:t>
            </w:r>
          </w:p>
        </w:tc>
      </w:tr>
      <w:tr>
        <w:tc>
          <w:tcPr>
            <w:tcW w:type="dxa" w:w="1872"/>
            <w:vAlign w:val="top"/>
            <w:tcW w:w="1872" w:type="dxa"/>
          </w:tcPr>
          <w:p>
            <w:pPr>
              <w:spacing w:after="0" w:line="240" w:lineRule="auto"/>
              <w:jc w:val="left"/>
            </w:pPr>
            <w:r/>
            <w:r>
              <w:rPr>
                <w:rFonts w:ascii="Times New Roman" w:hAnsi="Times New Roman"/>
                <w:b w:val="0"/>
                <w:i w:val="0"/>
                <w:color w:val="000000"/>
                <w:sz w:val="21"/>
              </w:rPr>
              <w:t>Beta/path converted by human consensus</w:t>
            </w:r>
          </w:p>
        </w:tc>
        <w:tc>
          <w:tcPr>
            <w:tcW w:type="dxa" w:w="1872"/>
            <w:vAlign w:val="top"/>
            <w:tcW w:w="1872" w:type="dxa"/>
          </w:tcPr>
          <w:p>
            <w:pPr>
              <w:spacing w:after="0" w:line="240" w:lineRule="auto"/>
              <w:jc w:val="left"/>
            </w:pPr>
            <w:r/>
            <w:r>
              <w:rPr>
                <w:rFonts w:ascii="Times New Roman" w:hAnsi="Times New Roman"/>
                <w:b w:val="0"/>
                <w:i w:val="0"/>
                <w:color w:val="000000"/>
                <w:sz w:val="21"/>
              </w:rPr>
              <w:t>53</w:t>
            </w:r>
          </w:p>
        </w:tc>
        <w:tc>
          <w:tcPr>
            <w:tcW w:type="dxa" w:w="1872"/>
            <w:vAlign w:val="top"/>
            <w:tcW w:w="1872" w:type="dxa"/>
          </w:tcPr>
          <w:p>
            <w:pPr>
              <w:spacing w:after="0" w:line="240" w:lineRule="auto"/>
              <w:jc w:val="left"/>
            </w:pPr>
            <w:r/>
            <w:r>
              <w:rPr>
                <w:rFonts w:ascii="Times New Roman" w:hAnsi="Times New Roman"/>
                <w:b w:val="0"/>
                <w:i w:val="0"/>
                <w:color w:val="000000"/>
                <w:sz w:val="21"/>
              </w:rPr>
              <w:t>0</w:t>
            </w:r>
          </w:p>
        </w:tc>
        <w:tc>
          <w:tcPr>
            <w:tcW w:type="dxa" w:w="1872"/>
            <w:vAlign w:val="top"/>
            <w:tcW w:w="1872" w:type="dxa"/>
          </w:tcPr>
          <w:p>
            <w:pPr>
              <w:spacing w:after="0" w:line="240" w:lineRule="auto"/>
              <w:jc w:val="left"/>
            </w:pPr>
            <w:r/>
            <w:r>
              <w:rPr>
                <w:rFonts w:ascii="Times New Roman" w:hAnsi="Times New Roman"/>
                <w:b w:val="0"/>
                <w:i w:val="0"/>
                <w:color w:val="000000"/>
                <w:sz w:val="21"/>
              </w:rPr>
              <w:t>53</w:t>
            </w:r>
          </w:p>
        </w:tc>
        <w:tc>
          <w:tcPr>
            <w:tcW w:type="dxa" w:w="1872"/>
            <w:vAlign w:val="top"/>
            <w:tcW w:w="1872" w:type="dxa"/>
          </w:tcPr>
          <w:p>
            <w:pPr>
              <w:spacing w:after="0" w:line="240" w:lineRule="auto"/>
              <w:jc w:val="left"/>
            </w:pPr>
            <w:r/>
            <w:r>
              <w:rPr>
                <w:rFonts w:ascii="Times New Roman" w:hAnsi="Times New Roman"/>
                <w:b w:val="0"/>
                <w:i w:val="0"/>
                <w:color w:val="000000"/>
                <w:sz w:val="21"/>
              </w:rPr>
              <w:t>High-consequence numeric stratum</w:t>
            </w:r>
          </w:p>
        </w:tc>
      </w:tr>
      <w:tr>
        <w:tc>
          <w:tcPr>
            <w:tcW w:type="dxa" w:w="1872"/>
            <w:vAlign w:val="top"/>
            <w:tcW w:w="1872" w:type="dxa"/>
          </w:tcPr>
          <w:p>
            <w:pPr>
              <w:spacing w:after="0" w:line="240" w:lineRule="auto"/>
              <w:jc w:val="left"/>
            </w:pPr>
            <w:r/>
            <w:r>
              <w:rPr>
                <w:rFonts w:ascii="Times New Roman" w:hAnsi="Times New Roman"/>
                <w:b w:val="0"/>
                <w:i w:val="0"/>
                <w:color w:val="000000"/>
                <w:sz w:val="21"/>
              </w:rPr>
              <w:t>Numeric source-statistic converted by human consensus</w:t>
            </w:r>
          </w:p>
        </w:tc>
        <w:tc>
          <w:tcPr>
            <w:tcW w:type="dxa" w:w="1872"/>
            <w:vAlign w:val="top"/>
            <w:tcW w:w="1872" w:type="dxa"/>
          </w:tcPr>
          <w:p>
            <w:pPr>
              <w:spacing w:after="0" w:line="240" w:lineRule="auto"/>
              <w:jc w:val="left"/>
            </w:pPr>
            <w:r/>
            <w:r>
              <w:rPr>
                <w:rFonts w:ascii="Times New Roman" w:hAnsi="Times New Roman"/>
                <w:b w:val="0"/>
                <w:i w:val="0"/>
                <w:color w:val="000000"/>
                <w:sz w:val="21"/>
              </w:rPr>
              <w:t>5</w:t>
            </w:r>
          </w:p>
        </w:tc>
        <w:tc>
          <w:tcPr>
            <w:tcW w:type="dxa" w:w="1872"/>
            <w:vAlign w:val="top"/>
            <w:tcW w:w="1872" w:type="dxa"/>
          </w:tcPr>
          <w:p>
            <w:pPr>
              <w:spacing w:after="0" w:line="240" w:lineRule="auto"/>
              <w:jc w:val="left"/>
            </w:pPr>
            <w:r/>
            <w:r>
              <w:rPr>
                <w:rFonts w:ascii="Times New Roman" w:hAnsi="Times New Roman"/>
                <w:b w:val="0"/>
                <w:i w:val="0"/>
                <w:color w:val="000000"/>
                <w:sz w:val="21"/>
              </w:rPr>
              <w:t>0</w:t>
            </w:r>
          </w:p>
        </w:tc>
        <w:tc>
          <w:tcPr>
            <w:tcW w:type="dxa" w:w="1872"/>
            <w:vAlign w:val="top"/>
            <w:tcW w:w="1872" w:type="dxa"/>
          </w:tcPr>
          <w:p>
            <w:pPr>
              <w:spacing w:after="0" w:line="240" w:lineRule="auto"/>
              <w:jc w:val="left"/>
            </w:pPr>
            <w:r/>
            <w:r>
              <w:rPr>
                <w:rFonts w:ascii="Times New Roman" w:hAnsi="Times New Roman"/>
                <w:b w:val="0"/>
                <w:i w:val="0"/>
                <w:color w:val="000000"/>
                <w:sz w:val="21"/>
              </w:rPr>
              <w:t>5</w:t>
            </w:r>
          </w:p>
        </w:tc>
        <w:tc>
          <w:tcPr>
            <w:tcW w:type="dxa" w:w="1872"/>
            <w:vAlign w:val="top"/>
            <w:tcW w:w="1872" w:type="dxa"/>
          </w:tcPr>
          <w:p>
            <w:pPr>
              <w:spacing w:after="0" w:line="240" w:lineRule="auto"/>
              <w:jc w:val="left"/>
            </w:pPr>
            <w:r/>
            <w:r>
              <w:rPr>
                <w:rFonts w:ascii="Times New Roman" w:hAnsi="Times New Roman"/>
                <w:b w:val="0"/>
                <w:i w:val="0"/>
                <w:color w:val="000000"/>
                <w:sz w:val="21"/>
              </w:rPr>
              <w:t>High-consequence numeric stratum</w:t>
            </w:r>
          </w:p>
        </w:tc>
      </w:tr>
      <w:tr>
        <w:tc>
          <w:tcPr>
            <w:tcW w:type="dxa" w:w="1872"/>
            <w:vAlign w:val="top"/>
            <w:tcW w:w="1872" w:type="dxa"/>
          </w:tcPr>
          <w:p>
            <w:pPr>
              <w:spacing w:after="0" w:line="240" w:lineRule="auto"/>
              <w:jc w:val="left"/>
            </w:pPr>
            <w:r/>
            <w:r>
              <w:rPr>
                <w:rFonts w:ascii="Times New Roman" w:hAnsi="Times New Roman"/>
                <w:b w:val="0"/>
                <w:i w:val="0"/>
                <w:color w:val="000000"/>
                <w:sz w:val="21"/>
              </w:rPr>
              <w:t>Metadata source type</w:t>
            </w:r>
          </w:p>
        </w:tc>
        <w:tc>
          <w:tcPr>
            <w:tcW w:type="dxa" w:w="1872"/>
            <w:vAlign w:val="top"/>
            <w:tcW w:w="1872" w:type="dxa"/>
          </w:tcPr>
          <w:p>
            <w:pPr>
              <w:spacing w:after="0" w:line="240" w:lineRule="auto"/>
              <w:jc w:val="left"/>
            </w:pPr>
            <w:r/>
            <w:r>
              <w:rPr>
                <w:rFonts w:ascii="Times New Roman" w:hAnsi="Times New Roman"/>
                <w:b w:val="0"/>
                <w:i w:val="0"/>
                <w:color w:val="000000"/>
                <w:sz w:val="21"/>
              </w:rPr>
              <w:t>18</w:t>
            </w:r>
          </w:p>
        </w:tc>
        <w:tc>
          <w:tcPr>
            <w:tcW w:type="dxa" w:w="1872"/>
            <w:vAlign w:val="top"/>
            <w:tcW w:w="1872" w:type="dxa"/>
          </w:tcPr>
          <w:p>
            <w:pPr>
              <w:spacing w:after="0" w:line="240" w:lineRule="auto"/>
              <w:jc w:val="left"/>
            </w:pPr>
            <w:r/>
            <w:r>
              <w:rPr>
                <w:rFonts w:ascii="Times New Roman" w:hAnsi="Times New Roman"/>
                <w:b w:val="0"/>
                <w:i w:val="0"/>
                <w:color w:val="000000"/>
                <w:sz w:val="21"/>
              </w:rPr>
              <w:t>18</w:t>
            </w:r>
          </w:p>
        </w:tc>
        <w:tc>
          <w:tcPr>
            <w:tcW w:type="dxa" w:w="1872"/>
            <w:vAlign w:val="top"/>
            <w:tcW w:w="1872" w:type="dxa"/>
          </w:tcPr>
          <w:p>
            <w:pPr>
              <w:spacing w:after="0" w:line="240" w:lineRule="auto"/>
              <w:jc w:val="left"/>
            </w:pPr>
            <w:r/>
            <w:r>
              <w:rPr>
                <w:rFonts w:ascii="Times New Roman" w:hAnsi="Times New Roman"/>
                <w:b w:val="0"/>
                <w:i w:val="0"/>
                <w:color w:val="000000"/>
                <w:sz w:val="21"/>
              </w:rPr>
              <w:t>0</w:t>
            </w:r>
          </w:p>
        </w:tc>
        <w:tc>
          <w:tcPr>
            <w:tcW w:type="dxa" w:w="1872"/>
            <w:vAlign w:val="top"/>
            <w:tcW w:w="1872" w:type="dxa"/>
          </w:tcPr>
          <w:p>
            <w:pPr>
              <w:spacing w:after="0" w:line="240" w:lineRule="auto"/>
              <w:jc w:val="left"/>
            </w:pPr>
            <w:r/>
            <w:r>
              <w:rPr>
                <w:rFonts w:ascii="Times New Roman" w:hAnsi="Times New Roman"/>
                <w:b w:val="0"/>
                <w:i w:val="0"/>
                <w:color w:val="000000"/>
                <w:sz w:val="21"/>
              </w:rPr>
              <w:t>Strong field-specific performance</w:t>
            </w:r>
          </w:p>
        </w:tc>
      </w:tr>
      <w:tr>
        <w:tc>
          <w:tcPr>
            <w:tcW w:type="dxa" w:w="1872"/>
            <w:vAlign w:val="top"/>
            <w:tcW w:w="1872" w:type="dxa"/>
          </w:tcPr>
          <w:p>
            <w:pPr>
              <w:spacing w:after="0" w:line="240" w:lineRule="auto"/>
              <w:jc w:val="left"/>
            </w:pPr>
            <w:r/>
            <w:r>
              <w:rPr>
                <w:rFonts w:ascii="Times New Roman" w:hAnsi="Times New Roman"/>
                <w:b w:val="0"/>
                <w:i w:val="0"/>
                <w:color w:val="000000"/>
                <w:sz w:val="21"/>
              </w:rPr>
              <w:t>Metadata study design</w:t>
            </w:r>
          </w:p>
        </w:tc>
        <w:tc>
          <w:tcPr>
            <w:tcW w:type="dxa" w:w="1872"/>
            <w:vAlign w:val="top"/>
            <w:tcW w:w="1872" w:type="dxa"/>
          </w:tcPr>
          <w:p>
            <w:pPr>
              <w:spacing w:after="0" w:line="240" w:lineRule="auto"/>
              <w:jc w:val="left"/>
            </w:pPr>
            <w:r/>
            <w:r>
              <w:rPr>
                <w:rFonts w:ascii="Times New Roman" w:hAnsi="Times New Roman"/>
                <w:b w:val="0"/>
                <w:i w:val="0"/>
                <w:color w:val="000000"/>
                <w:sz w:val="21"/>
              </w:rPr>
              <w:t>19</w:t>
            </w:r>
          </w:p>
        </w:tc>
        <w:tc>
          <w:tcPr>
            <w:tcW w:type="dxa" w:w="1872"/>
            <w:vAlign w:val="top"/>
            <w:tcW w:w="1872" w:type="dxa"/>
          </w:tcPr>
          <w:p>
            <w:pPr>
              <w:spacing w:after="0" w:line="240" w:lineRule="auto"/>
              <w:jc w:val="left"/>
            </w:pPr>
            <w:r/>
            <w:r>
              <w:rPr>
                <w:rFonts w:ascii="Times New Roman" w:hAnsi="Times New Roman"/>
                <w:b w:val="0"/>
                <w:i w:val="0"/>
                <w:color w:val="000000"/>
                <w:sz w:val="21"/>
              </w:rPr>
              <w:t>16</w:t>
            </w:r>
          </w:p>
        </w:tc>
        <w:tc>
          <w:tcPr>
            <w:tcW w:type="dxa" w:w="1872"/>
            <w:vAlign w:val="top"/>
            <w:tcW w:w="1872" w:type="dxa"/>
          </w:tcPr>
          <w:p>
            <w:pPr>
              <w:spacing w:after="0" w:line="240" w:lineRule="auto"/>
              <w:jc w:val="left"/>
            </w:pPr>
            <w:r/>
            <w:r>
              <w:rPr>
                <w:rFonts w:ascii="Times New Roman" w:hAnsi="Times New Roman"/>
                <w:b w:val="0"/>
                <w:i w:val="0"/>
                <w:color w:val="000000"/>
                <w:sz w:val="21"/>
              </w:rPr>
              <w:t>0</w:t>
            </w:r>
          </w:p>
        </w:tc>
        <w:tc>
          <w:tcPr>
            <w:tcW w:type="dxa" w:w="1872"/>
            <w:vAlign w:val="top"/>
            <w:tcW w:w="1872" w:type="dxa"/>
          </w:tcPr>
          <w:p>
            <w:pPr>
              <w:spacing w:after="0" w:line="240" w:lineRule="auto"/>
              <w:jc w:val="left"/>
            </w:pPr>
            <w:r/>
            <w:r>
              <w:rPr>
                <w:rFonts w:ascii="Times New Roman" w:hAnsi="Times New Roman"/>
                <w:b w:val="0"/>
                <w:i w:val="0"/>
                <w:color w:val="000000"/>
                <w:sz w:val="21"/>
              </w:rPr>
              <w:t>Relatively strong field-specific performance</w:t>
            </w:r>
          </w:p>
        </w:tc>
      </w:tr>
    </w:tbl>
    <w:p>
      <w:pPr>
        <w:spacing w:line="480" w:lineRule="auto" w:after="0"/>
      </w:pPr>
      <w:r>
        <w:rPr>
          <w:rFonts w:ascii="Times New Roman" w:hAnsi="Times New Roman"/>
          <w:b w:val="0"/>
          <w:i/>
          <w:color w:val="000000"/>
          <w:sz w:val="20"/>
        </w:rPr>
        <w:t>Note. Draft table; update after lead analysis lock where indicated.</w:t>
      </w:r>
    </w:p>
    <w:p>
      <w:pPr>
        <w:pStyle w:val="Heading2"/>
        <w:spacing w:line="480" w:lineRule="auto" w:after="0"/>
        <w:jc w:val="left"/>
      </w:pPr>
      <w:r/>
      <w:r>
        <w:rPr>
          <w:rFonts w:ascii="Times New Roman" w:hAnsi="Times New Roman"/>
          <w:b/>
          <w:i w:val="0"/>
          <w:color w:val="000000"/>
          <w:sz w:val="24"/>
        </w:rPr>
        <w:t>RQ2: Error Taxonomy and Source Conditions</w:t>
      </w:r>
    </w:p>
    <w:p>
      <w:pPr>
        <w:spacing w:line="480" w:lineRule="auto" w:after="0"/>
        <w:ind w:firstLine="720"/>
      </w:pPr>
      <w:r>
        <w:rPr>
          <w:rFonts w:ascii="Times New Roman" w:hAnsi="Times New Roman"/>
          <w:b w:val="0"/>
          <w:i w:val="0"/>
          <w:color w:val="000000"/>
          <w:sz w:val="24"/>
        </w:rPr>
        <w:t>The dominant RQ2 pattern was abstention on scorable rows. Codex produced 320 abstentions for source-reported direct-r rows, 43 abstentions for source-blank direct-r rows, and 88 abstentions across converted/source-type numeric strata. Metadata extraction also contained 381 abstentions on scorable source-evidence rows and 29 metadata mismatches. These patterns show why high-consequence MASEM numeric rows cannot be replaced automatically under the current workflow.</w:t>
      </w:r>
    </w:p>
    <w:p>
      <w:pPr>
        <w:spacing w:line="480" w:lineRule="auto" w:after="0"/>
        <w:ind w:firstLine="720"/>
      </w:pPr>
      <w:r>
        <w:rPr>
          <w:rFonts w:ascii="Times New Roman" w:hAnsi="Times New Roman"/>
          <w:b w:val="0"/>
          <w:i w:val="0"/>
          <w:color w:val="000000"/>
          <w:sz w:val="24"/>
        </w:rPr>
        <w:t>Blank/absence consensus and human-disagreement trace rows behaved differently from final content-accuracy rows. They are useful because they show over-answering, abstention, and cross-model inconsistency in cases where source evidence is absent, ambiguous, or disputed. They should not be collapsed with direct-r or metadata accuracy.</w:t>
      </w:r>
    </w:p>
    <w:p>
      <w:pPr>
        <w:pStyle w:val="Heading2"/>
        <w:spacing w:line="480" w:lineRule="auto" w:after="0"/>
        <w:jc w:val="left"/>
      </w:pPr>
      <w:r/>
      <w:r>
        <w:rPr>
          <w:rFonts w:ascii="Times New Roman" w:hAnsi="Times New Roman"/>
          <w:b/>
          <w:i w:val="0"/>
          <w:color w:val="000000"/>
          <w:sz w:val="24"/>
        </w:rPr>
        <w:t>RQ3: Human-Review Triage and Cross-Model Sensitivity</w:t>
      </w:r>
    </w:p>
    <w:p>
      <w:pPr>
        <w:spacing w:line="480" w:lineRule="auto" w:after="0"/>
        <w:ind w:firstLine="720"/>
      </w:pPr>
      <w:r>
        <w:rPr>
          <w:rFonts w:ascii="Times New Roman" w:hAnsi="Times New Roman"/>
          <w:b w:val="0"/>
          <w:i w:val="0"/>
          <w:color w:val="000000"/>
          <w:sz w:val="24"/>
        </w:rPr>
        <w:t>The RQ3 triage analysis used the full 8,783 task-unit reference universe and left-joined locked model rows where available. It classified 1,196 rows as P0 expert-review numeric or MASEM tasks, 649 rows as P1 source or human-disagreement review tasks, 483 rows as P1 general review-signal tasks, 6,412 rows as P2 blank-behavior audit rows, 1 row as a P2 scoring-completeness check, and 42 rows as low priority after the primary workflow check.</w:t>
      </w:r>
    </w:p>
    <w:p>
      <w:pPr>
        <w:spacing w:line="480" w:lineRule="auto" w:after="0"/>
        <w:ind w:firstLine="720"/>
      </w:pPr>
      <w:r>
        <w:rPr>
          <w:rFonts w:ascii="Times New Roman" w:hAnsi="Times New Roman"/>
          <w:b w:val="0"/>
          <w:i w:val="0"/>
          <w:color w:val="000000"/>
          <w:sz w:val="24"/>
        </w:rPr>
        <w:t>Cross-model behavior disagreement appeared in 6,592 task units and is interpreted only as a review-prioritization signal. Human-disagreement traces appeared in 467 task units, source or trace risk appeared in 1,525 task units, and 924 task units were reference-only rows without locked model output. These signals support targeted review triage, not model ranking.</w:t>
      </w:r>
    </w:p>
    <w:p>
      <w:pPr>
        <w:keepNext/>
        <w:spacing w:line="480" w:lineRule="auto" w:after="0"/>
      </w:pPr>
      <w:r>
        <w:rPr>
          <w:rFonts w:ascii="Times New Roman" w:hAnsi="Times New Roman"/>
          <w:b/>
          <w:i w:val="0"/>
          <w:color w:val="000000"/>
          <w:sz w:val="24"/>
        </w:rPr>
        <w:t>Table 3</w:t>
      </w:r>
    </w:p>
    <w:p>
      <w:pPr>
        <w:keepNext/>
        <w:spacing w:line="480" w:lineRule="auto" w:after="0"/>
      </w:pPr>
      <w:r>
        <w:rPr>
          <w:rFonts w:ascii="Times New Roman" w:hAnsi="Times New Roman"/>
          <w:b w:val="0"/>
          <w:i/>
          <w:color w:val="000000"/>
          <w:sz w:val="24"/>
        </w:rPr>
        <w:t>RQ3 Review Priority Counts</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top"/>
            <w:tcW w:w="3120" w:type="dxa"/>
          </w:tcPr>
          <w:p>
            <w:pPr>
              <w:spacing w:after="0" w:line="240" w:lineRule="auto"/>
              <w:jc w:val="left"/>
            </w:pPr>
            <w:r/>
            <w:r>
              <w:rPr>
                <w:rFonts w:ascii="Times New Roman" w:hAnsi="Times New Roman"/>
                <w:b/>
                <w:i w:val="0"/>
                <w:color w:val="000000"/>
                <w:sz w:val="21"/>
              </w:rPr>
              <w:t>Review priority</w:t>
            </w:r>
          </w:p>
        </w:tc>
        <w:tc>
          <w:tcPr>
            <w:tcW w:type="dxa" w:w="3120"/>
            <w:vAlign w:val="top"/>
            <w:tcW w:w="3120" w:type="dxa"/>
          </w:tcPr>
          <w:p>
            <w:pPr>
              <w:spacing w:after="0" w:line="240" w:lineRule="auto"/>
              <w:jc w:val="left"/>
            </w:pPr>
            <w:r/>
            <w:r>
              <w:rPr>
                <w:rFonts w:ascii="Times New Roman" w:hAnsi="Times New Roman"/>
                <w:b/>
                <w:i w:val="0"/>
                <w:color w:val="000000"/>
                <w:sz w:val="21"/>
              </w:rPr>
              <w:t>Task units</w:t>
            </w:r>
          </w:p>
        </w:tc>
        <w:tc>
          <w:tcPr>
            <w:tcW w:type="dxa" w:w="3120"/>
            <w:vAlign w:val="top"/>
            <w:tcW w:w="3120" w:type="dxa"/>
          </w:tcPr>
          <w:p>
            <w:pPr>
              <w:spacing w:after="0" w:line="240" w:lineRule="auto"/>
              <w:jc w:val="left"/>
            </w:pPr>
            <w:r/>
            <w:r>
              <w:rPr>
                <w:rFonts w:ascii="Times New Roman" w:hAnsi="Times New Roman"/>
                <w:b/>
                <w:i w:val="0"/>
                <w:color w:val="000000"/>
                <w:sz w:val="21"/>
              </w:rPr>
              <w:t>Manuscript interpretation</w:t>
            </w:r>
          </w:p>
        </w:tc>
      </w:tr>
      <w:tr>
        <w:tc>
          <w:tcPr>
            <w:tcW w:type="dxa" w:w="3120"/>
            <w:vAlign w:val="top"/>
            <w:tcW w:w="3120" w:type="dxa"/>
          </w:tcPr>
          <w:p>
            <w:pPr>
              <w:spacing w:after="0" w:line="240" w:lineRule="auto"/>
              <w:jc w:val="left"/>
            </w:pPr>
            <w:r/>
            <w:r>
              <w:rPr>
                <w:rFonts w:ascii="Times New Roman" w:hAnsi="Times New Roman"/>
                <w:b w:val="0"/>
                <w:i w:val="0"/>
                <w:color w:val="000000"/>
                <w:sz w:val="21"/>
              </w:rPr>
              <w:t>P0 expert-review numeric or MASEM</w:t>
            </w:r>
          </w:p>
        </w:tc>
        <w:tc>
          <w:tcPr>
            <w:tcW w:type="dxa" w:w="3120"/>
            <w:vAlign w:val="top"/>
            <w:tcW w:w="3120" w:type="dxa"/>
          </w:tcPr>
          <w:p>
            <w:pPr>
              <w:spacing w:after="0" w:line="240" w:lineRule="auto"/>
              <w:jc w:val="left"/>
            </w:pPr>
            <w:r/>
            <w:r>
              <w:rPr>
                <w:rFonts w:ascii="Times New Roman" w:hAnsi="Times New Roman"/>
                <w:b w:val="0"/>
                <w:i w:val="0"/>
                <w:color w:val="000000"/>
                <w:sz w:val="21"/>
              </w:rPr>
              <w:t>1,196</w:t>
            </w:r>
          </w:p>
        </w:tc>
        <w:tc>
          <w:tcPr>
            <w:tcW w:type="dxa" w:w="3120"/>
            <w:vAlign w:val="top"/>
            <w:tcW w:w="3120" w:type="dxa"/>
          </w:tcPr>
          <w:p>
            <w:pPr>
              <w:spacing w:after="0" w:line="240" w:lineRule="auto"/>
              <w:jc w:val="left"/>
            </w:pPr>
            <w:r/>
            <w:r>
              <w:rPr>
                <w:rFonts w:ascii="Times New Roman" w:hAnsi="Times New Roman"/>
                <w:b w:val="0"/>
                <w:i w:val="0"/>
                <w:color w:val="000000"/>
                <w:sz w:val="21"/>
              </w:rPr>
              <w:t>High-consequence numeric review</w:t>
            </w:r>
          </w:p>
        </w:tc>
      </w:tr>
      <w:tr>
        <w:tc>
          <w:tcPr>
            <w:tcW w:type="dxa" w:w="3120"/>
            <w:vAlign w:val="top"/>
            <w:tcW w:w="3120" w:type="dxa"/>
          </w:tcPr>
          <w:p>
            <w:pPr>
              <w:spacing w:after="0" w:line="240" w:lineRule="auto"/>
              <w:jc w:val="left"/>
            </w:pPr>
            <w:r/>
            <w:r>
              <w:rPr>
                <w:rFonts w:ascii="Times New Roman" w:hAnsi="Times New Roman"/>
                <w:b w:val="0"/>
                <w:i w:val="0"/>
                <w:color w:val="000000"/>
                <w:sz w:val="21"/>
              </w:rPr>
              <w:t>P1 source or human-disagreement review</w:t>
            </w:r>
          </w:p>
        </w:tc>
        <w:tc>
          <w:tcPr>
            <w:tcW w:type="dxa" w:w="3120"/>
            <w:vAlign w:val="top"/>
            <w:tcW w:w="3120" w:type="dxa"/>
          </w:tcPr>
          <w:p>
            <w:pPr>
              <w:spacing w:after="0" w:line="240" w:lineRule="auto"/>
              <w:jc w:val="left"/>
            </w:pPr>
            <w:r/>
            <w:r>
              <w:rPr>
                <w:rFonts w:ascii="Times New Roman" w:hAnsi="Times New Roman"/>
                <w:b w:val="0"/>
                <w:i w:val="0"/>
                <w:color w:val="000000"/>
                <w:sz w:val="21"/>
              </w:rPr>
              <w:t>649</w:t>
            </w:r>
          </w:p>
        </w:tc>
        <w:tc>
          <w:tcPr>
            <w:tcW w:type="dxa" w:w="3120"/>
            <w:vAlign w:val="top"/>
            <w:tcW w:w="3120" w:type="dxa"/>
          </w:tcPr>
          <w:p>
            <w:pPr>
              <w:spacing w:after="0" w:line="240" w:lineRule="auto"/>
              <w:jc w:val="left"/>
            </w:pPr>
            <w:r/>
            <w:r>
              <w:rPr>
                <w:rFonts w:ascii="Times New Roman" w:hAnsi="Times New Roman"/>
                <w:b w:val="0"/>
                <w:i w:val="0"/>
                <w:color w:val="000000"/>
                <w:sz w:val="21"/>
              </w:rPr>
              <w:t>Source-risk or human-disagreement review</w:t>
            </w:r>
          </w:p>
        </w:tc>
      </w:tr>
      <w:tr>
        <w:tc>
          <w:tcPr>
            <w:tcW w:type="dxa" w:w="3120"/>
            <w:vAlign w:val="top"/>
            <w:tcW w:w="3120" w:type="dxa"/>
          </w:tcPr>
          <w:p>
            <w:pPr>
              <w:spacing w:after="0" w:line="240" w:lineRule="auto"/>
              <w:jc w:val="left"/>
            </w:pPr>
            <w:r/>
            <w:r>
              <w:rPr>
                <w:rFonts w:ascii="Times New Roman" w:hAnsi="Times New Roman"/>
                <w:b w:val="0"/>
                <w:i w:val="0"/>
                <w:color w:val="000000"/>
                <w:sz w:val="21"/>
              </w:rPr>
              <w:t>P1 general review signal</w:t>
            </w:r>
          </w:p>
        </w:tc>
        <w:tc>
          <w:tcPr>
            <w:tcW w:type="dxa" w:w="3120"/>
            <w:vAlign w:val="top"/>
            <w:tcW w:w="3120" w:type="dxa"/>
          </w:tcPr>
          <w:p>
            <w:pPr>
              <w:spacing w:after="0" w:line="240" w:lineRule="auto"/>
              <w:jc w:val="left"/>
            </w:pPr>
            <w:r/>
            <w:r>
              <w:rPr>
                <w:rFonts w:ascii="Times New Roman" w:hAnsi="Times New Roman"/>
                <w:b w:val="0"/>
                <w:i w:val="0"/>
                <w:color w:val="000000"/>
                <w:sz w:val="21"/>
              </w:rPr>
              <w:t>483</w:t>
            </w:r>
          </w:p>
        </w:tc>
        <w:tc>
          <w:tcPr>
            <w:tcW w:type="dxa" w:w="3120"/>
            <w:vAlign w:val="top"/>
            <w:tcW w:w="3120" w:type="dxa"/>
          </w:tcPr>
          <w:p>
            <w:pPr>
              <w:spacing w:after="0" w:line="240" w:lineRule="auto"/>
              <w:jc w:val="left"/>
            </w:pPr>
            <w:r/>
            <w:r>
              <w:rPr>
                <w:rFonts w:ascii="Times New Roman" w:hAnsi="Times New Roman"/>
                <w:b w:val="0"/>
                <w:i w:val="0"/>
                <w:color w:val="000000"/>
                <w:sz w:val="21"/>
              </w:rPr>
              <w:t>Other review-prioritization signal</w:t>
            </w:r>
          </w:p>
        </w:tc>
      </w:tr>
      <w:tr>
        <w:tc>
          <w:tcPr>
            <w:tcW w:type="dxa" w:w="3120"/>
            <w:vAlign w:val="top"/>
            <w:tcW w:w="3120" w:type="dxa"/>
          </w:tcPr>
          <w:p>
            <w:pPr>
              <w:spacing w:after="0" w:line="240" w:lineRule="auto"/>
              <w:jc w:val="left"/>
            </w:pPr>
            <w:r/>
            <w:r>
              <w:rPr>
                <w:rFonts w:ascii="Times New Roman" w:hAnsi="Times New Roman"/>
                <w:b w:val="0"/>
                <w:i w:val="0"/>
                <w:color w:val="000000"/>
                <w:sz w:val="21"/>
              </w:rPr>
              <w:t>P2 blank-behavior audit</w:t>
            </w:r>
          </w:p>
        </w:tc>
        <w:tc>
          <w:tcPr>
            <w:tcW w:type="dxa" w:w="3120"/>
            <w:vAlign w:val="top"/>
            <w:tcW w:w="3120" w:type="dxa"/>
          </w:tcPr>
          <w:p>
            <w:pPr>
              <w:spacing w:after="0" w:line="240" w:lineRule="auto"/>
              <w:jc w:val="left"/>
            </w:pPr>
            <w:r/>
            <w:r>
              <w:rPr>
                <w:rFonts w:ascii="Times New Roman" w:hAnsi="Times New Roman"/>
                <w:b w:val="0"/>
                <w:i w:val="0"/>
                <w:color w:val="000000"/>
                <w:sz w:val="21"/>
              </w:rPr>
              <w:t>6,412</w:t>
            </w:r>
          </w:p>
        </w:tc>
        <w:tc>
          <w:tcPr>
            <w:tcW w:type="dxa" w:w="3120"/>
            <w:vAlign w:val="top"/>
            <w:tcW w:w="3120" w:type="dxa"/>
          </w:tcPr>
          <w:p>
            <w:pPr>
              <w:spacing w:after="0" w:line="240" w:lineRule="auto"/>
              <w:jc w:val="left"/>
            </w:pPr>
            <w:r/>
            <w:r>
              <w:rPr>
                <w:rFonts w:ascii="Times New Roman" w:hAnsi="Times New Roman"/>
                <w:b w:val="0"/>
                <w:i w:val="0"/>
                <w:color w:val="000000"/>
                <w:sz w:val="21"/>
              </w:rPr>
              <w:t>Workflow behavior, not final accuracy</w:t>
            </w:r>
          </w:p>
        </w:tc>
      </w:tr>
      <w:tr>
        <w:tc>
          <w:tcPr>
            <w:tcW w:type="dxa" w:w="3120"/>
            <w:vAlign w:val="top"/>
            <w:tcW w:w="3120" w:type="dxa"/>
          </w:tcPr>
          <w:p>
            <w:pPr>
              <w:spacing w:after="0" w:line="240" w:lineRule="auto"/>
              <w:jc w:val="left"/>
            </w:pPr>
            <w:r/>
            <w:r>
              <w:rPr>
                <w:rFonts w:ascii="Times New Roman" w:hAnsi="Times New Roman"/>
                <w:b w:val="0"/>
                <w:i w:val="0"/>
                <w:color w:val="000000"/>
                <w:sz w:val="21"/>
              </w:rPr>
              <w:t>P2 scoring-completeness check</w:t>
            </w:r>
          </w:p>
        </w:tc>
        <w:tc>
          <w:tcPr>
            <w:tcW w:type="dxa" w:w="3120"/>
            <w:vAlign w:val="top"/>
            <w:tcW w:w="3120" w:type="dxa"/>
          </w:tcPr>
          <w:p>
            <w:pPr>
              <w:spacing w:after="0" w:line="240" w:lineRule="auto"/>
              <w:jc w:val="left"/>
            </w:pPr>
            <w:r/>
            <w:r>
              <w:rPr>
                <w:rFonts w:ascii="Times New Roman" w:hAnsi="Times New Roman"/>
                <w:b w:val="0"/>
                <w:i w:val="0"/>
                <w:color w:val="000000"/>
                <w:sz w:val="21"/>
              </w:rPr>
              <w:t>1</w:t>
            </w:r>
          </w:p>
        </w:tc>
        <w:tc>
          <w:tcPr>
            <w:tcW w:type="dxa" w:w="3120"/>
            <w:vAlign w:val="top"/>
            <w:tcW w:w="3120" w:type="dxa"/>
          </w:tcPr>
          <w:p>
            <w:pPr>
              <w:spacing w:after="0" w:line="240" w:lineRule="auto"/>
              <w:jc w:val="left"/>
            </w:pPr>
            <w:r/>
            <w:r>
              <w:rPr>
                <w:rFonts w:ascii="Times New Roman" w:hAnsi="Times New Roman"/>
                <w:b w:val="0"/>
                <w:i w:val="0"/>
                <w:color w:val="000000"/>
                <w:sz w:val="21"/>
              </w:rPr>
              <w:t>Completeness audit</w:t>
            </w:r>
          </w:p>
        </w:tc>
      </w:tr>
      <w:tr>
        <w:tc>
          <w:tcPr>
            <w:tcW w:type="dxa" w:w="3120"/>
            <w:vAlign w:val="top"/>
            <w:tcW w:w="3120" w:type="dxa"/>
          </w:tcPr>
          <w:p>
            <w:pPr>
              <w:spacing w:after="0" w:line="240" w:lineRule="auto"/>
              <w:jc w:val="left"/>
            </w:pPr>
            <w:r/>
            <w:r>
              <w:rPr>
                <w:rFonts w:ascii="Times New Roman" w:hAnsi="Times New Roman"/>
                <w:b w:val="0"/>
                <w:i w:val="0"/>
                <w:color w:val="000000"/>
                <w:sz w:val="21"/>
              </w:rPr>
              <w:t>P3 low priority after primary check</w:t>
            </w:r>
          </w:p>
        </w:tc>
        <w:tc>
          <w:tcPr>
            <w:tcW w:type="dxa" w:w="3120"/>
            <w:vAlign w:val="top"/>
            <w:tcW w:w="3120" w:type="dxa"/>
          </w:tcPr>
          <w:p>
            <w:pPr>
              <w:spacing w:after="0" w:line="240" w:lineRule="auto"/>
              <w:jc w:val="left"/>
            </w:pPr>
            <w:r/>
            <w:r>
              <w:rPr>
                <w:rFonts w:ascii="Times New Roman" w:hAnsi="Times New Roman"/>
                <w:b w:val="0"/>
                <w:i w:val="0"/>
                <w:color w:val="000000"/>
                <w:sz w:val="21"/>
              </w:rPr>
              <w:t>42</w:t>
            </w:r>
          </w:p>
        </w:tc>
        <w:tc>
          <w:tcPr>
            <w:tcW w:type="dxa" w:w="3120"/>
            <w:vAlign w:val="top"/>
            <w:tcW w:w="3120" w:type="dxa"/>
          </w:tcPr>
          <w:p>
            <w:pPr>
              <w:spacing w:after="0" w:line="240" w:lineRule="auto"/>
              <w:jc w:val="left"/>
            </w:pPr>
            <w:r/>
            <w:r>
              <w:rPr>
                <w:rFonts w:ascii="Times New Roman" w:hAnsi="Times New Roman"/>
                <w:b w:val="0"/>
                <w:i w:val="0"/>
                <w:color w:val="000000"/>
                <w:sz w:val="21"/>
              </w:rPr>
              <w:t>Low priority under current scoring</w:t>
            </w:r>
          </w:p>
        </w:tc>
      </w:tr>
    </w:tbl>
    <w:p>
      <w:pPr>
        <w:spacing w:line="480" w:lineRule="auto" w:after="0"/>
      </w:pPr>
      <w:r>
        <w:rPr>
          <w:rFonts w:ascii="Times New Roman" w:hAnsi="Times New Roman"/>
          <w:b w:val="0"/>
          <w:i/>
          <w:color w:val="000000"/>
          <w:sz w:val="20"/>
        </w:rPr>
        <w:t>Note. Draft table; update after lead analysis lock where indicated.</w:t>
      </w:r>
    </w:p>
    <w:p>
      <w:pPr>
        <w:pStyle w:val="Heading2"/>
        <w:spacing w:line="480" w:lineRule="auto" w:after="0"/>
        <w:jc w:val="left"/>
      </w:pPr>
      <w:r/>
      <w:r>
        <w:rPr>
          <w:rFonts w:ascii="Times New Roman" w:hAnsi="Times New Roman"/>
          <w:b/>
          <w:i w:val="0"/>
          <w:color w:val="000000"/>
          <w:sz w:val="24"/>
        </w:rPr>
        <w:t>Post-Freeze Source-Rendered Diagnostic Evidence</w:t>
      </w:r>
    </w:p>
    <w:p>
      <w:pPr>
        <w:spacing w:line="480" w:lineRule="auto" w:after="0"/>
        <w:ind w:firstLine="720"/>
      </w:pPr>
      <w:r>
        <w:rPr>
          <w:rFonts w:ascii="Times New Roman" w:hAnsi="Times New Roman"/>
          <w:b w:val="0"/>
          <w:i w:val="0"/>
          <w:color w:val="000000"/>
          <w:sz w:val="24"/>
        </w:rPr>
        <w:t>After the 2026-06-09 full-corpus reference freeze, a source-rendered Step 5 workflow reached full target source-rendering coverage and executed a bounded 90-row M1-R shard with Codex GPT-5.5. The shard produced 90 of 90 locked rows, model_cli_error = 0, source quote policy violations = 0, 65 nonblank answers, and 25 abstentions. Exception-aware generic numeric scoring was 15 of 30 for direct/source-r rows, 27 of 30 for latent or construct correlations, and 13 of 30 for secondary beta/path rows. This is staged diagnostic evidence only and must not be interpreted as full-corpus accuracy.</w:t>
      </w:r>
    </w:p>
    <w:p>
      <w:pPr>
        <w:pStyle w:val="Heading2"/>
        <w:spacing w:line="480" w:lineRule="auto" w:after="0"/>
        <w:jc w:val="left"/>
      </w:pPr>
      <w:r/>
      <w:r>
        <w:rPr>
          <w:rFonts w:ascii="Times New Roman" w:hAnsi="Times New Roman"/>
          <w:b/>
          <w:i w:val="0"/>
          <w:color w:val="000000"/>
          <w:sz w:val="24"/>
        </w:rPr>
        <w:t>Downstream MASEM and TSSEM Diagnostic</w:t>
      </w:r>
    </w:p>
    <w:p>
      <w:pPr>
        <w:spacing w:line="480" w:lineRule="auto" w:after="0"/>
        <w:ind w:firstLine="720"/>
      </w:pPr>
      <w:r>
        <w:rPr>
          <w:rFonts w:ascii="Times New Roman" w:hAnsi="Times New Roman"/>
          <w:b w:val="0"/>
          <w:i w:val="0"/>
          <w:color w:val="000000"/>
          <w:sz w:val="24"/>
        </w:rPr>
        <w:t>The human-reference MASEM baseline is the Paper1 tiered primary model-ready file with 804 rows. The pre-tiered primary file contains 822 rows and is retained for audit. Expanded and converted inputs contain 1,303 and 481 rows, respectively, and are treated as sensitivity layers.</w:t>
      </w:r>
    </w:p>
    <w:p>
      <w:pPr>
        <w:spacing w:line="480" w:lineRule="auto" w:after="0"/>
        <w:ind w:firstLine="720"/>
      </w:pPr>
      <w:r>
        <w:rPr>
          <w:rFonts w:ascii="Times New Roman" w:hAnsi="Times New Roman"/>
          <w:b w:val="0"/>
          <w:i w:val="0"/>
          <w:color w:val="000000"/>
          <w:sz w:val="24"/>
        </w:rPr>
        <w:t>The P0/P1 expert-review layer covered 1,845 task units, including 1,196 P0 numeric/MASEM rows and 649 P1 source or human-disagreement rows. The expert-reviewed LLM-assisted primary input contains 804 rows. It applies 3 exact numeric replacements, all of which match the frozen human-reference values, yielding 0 nonzero value deltas relative to the human-reference baseline.</w:t>
      </w:r>
    </w:p>
    <w:p>
      <w:pPr>
        <w:spacing w:line="480" w:lineRule="auto" w:after="0"/>
        <w:ind w:firstLine="720"/>
      </w:pPr>
      <w:r>
        <w:rPr>
          <w:rFonts w:ascii="Times New Roman" w:hAnsi="Times New Roman"/>
          <w:b w:val="0"/>
          <w:i w:val="0"/>
          <w:color w:val="000000"/>
          <w:sz w:val="24"/>
        </w:rPr>
        <w:t>At the pooled-correlation level, the primary expert-reviewed LLM-assisted input has maximum absolute mean-r delta = 0.000000 and no structural edges with nonzero change. Source-risk exclusion and converted-input augmentation are sensitivity diagnostics, with maximum absolute mean-r deltas of 0.407000 and 0.116229, respectively, and nonzero changes on 9 structural edges in each sensitivity layer.</w:t>
      </w:r>
    </w:p>
    <w:p>
      <w:pPr>
        <w:spacing w:line="480" w:lineRule="auto" w:after="0"/>
        <w:ind w:firstLine="720"/>
      </w:pPr>
      <w:r>
        <w:rPr>
          <w:rFonts w:ascii="Times New Roman" w:hAnsi="Times New Roman"/>
          <w:b w:val="0"/>
          <w:i w:val="0"/>
          <w:color w:val="000000"/>
          <w:sz w:val="24"/>
        </w:rPr>
        <w:t>The bounded R/metaSEM TSSEM diagnostic used N-weighted eligible rows and the six-construct complete-case subset PE, EE, SI, FC, BI, and UB. Fifteen studies reported all 15 pairwise correlations for this subset, yielding 225 aggregated pair rows. Stage 1 random-effects TSSEM and Stage 2 path models converged for both the human-reference baseline and the expert-reviewed LLM-assisted input. The maximum absolute pooled-correlation delta was 0.00000000, and the structural paths were identical across scenarios: PE to BI = 0.376578, EE to BI = 0.271255, SI to BI = 0.242604, FC to UB = 0.222908, and BI to UB = 0.566349. Model fit was also identical: chi-square = 3.554181, df = 4, p = 0.469688, CFI = 1.000000, RMSEA = 0.000000, and SRMR = 0.025199.</w:t>
      </w:r>
    </w:p>
    <w:p>
      <w:pPr>
        <w:keepNext/>
        <w:spacing w:line="480" w:lineRule="auto" w:after="0"/>
      </w:pPr>
      <w:r>
        <w:rPr>
          <w:rFonts w:ascii="Times New Roman" w:hAnsi="Times New Roman"/>
          <w:b/>
          <w:i w:val="0"/>
          <w:color w:val="000000"/>
          <w:sz w:val="24"/>
        </w:rPr>
        <w:t>Table 4</w:t>
      </w:r>
    </w:p>
    <w:p>
      <w:pPr>
        <w:keepNext/>
        <w:spacing w:line="480" w:lineRule="auto" w:after="0"/>
      </w:pPr>
      <w:r>
        <w:rPr>
          <w:rFonts w:ascii="Times New Roman" w:hAnsi="Times New Roman"/>
          <w:b w:val="0"/>
          <w:i/>
          <w:color w:val="000000"/>
          <w:sz w:val="24"/>
        </w:rPr>
        <w:t>Downstream Substitution and TSSEM Diagnostic</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top"/>
            <w:tcW w:w="3120" w:type="dxa"/>
          </w:tcPr>
          <w:p>
            <w:pPr>
              <w:spacing w:after="0" w:line="240" w:lineRule="auto"/>
              <w:jc w:val="left"/>
            </w:pPr>
            <w:r/>
            <w:r>
              <w:rPr>
                <w:rFonts w:ascii="Times New Roman" w:hAnsi="Times New Roman"/>
                <w:b/>
                <w:i w:val="0"/>
                <w:color w:val="000000"/>
                <w:sz w:val="21"/>
              </w:rPr>
              <w:t>Diagnostic layer</w:t>
            </w:r>
          </w:p>
        </w:tc>
        <w:tc>
          <w:tcPr>
            <w:tcW w:type="dxa" w:w="3120"/>
            <w:vAlign w:val="top"/>
            <w:tcW w:w="3120" w:type="dxa"/>
          </w:tcPr>
          <w:p>
            <w:pPr>
              <w:spacing w:after="0" w:line="240" w:lineRule="auto"/>
              <w:jc w:val="left"/>
            </w:pPr>
            <w:r/>
            <w:r>
              <w:rPr>
                <w:rFonts w:ascii="Times New Roman" w:hAnsi="Times New Roman"/>
                <w:b/>
                <w:i w:val="0"/>
                <w:color w:val="000000"/>
                <w:sz w:val="21"/>
              </w:rPr>
              <w:t>Current result</w:t>
            </w:r>
          </w:p>
        </w:tc>
        <w:tc>
          <w:tcPr>
            <w:tcW w:type="dxa" w:w="3120"/>
            <w:vAlign w:val="top"/>
            <w:tcW w:w="3120" w:type="dxa"/>
          </w:tcPr>
          <w:p>
            <w:pPr>
              <w:spacing w:after="0" w:line="240" w:lineRule="auto"/>
              <w:jc w:val="left"/>
            </w:pPr>
            <w:r/>
            <w:r>
              <w:rPr>
                <w:rFonts w:ascii="Times New Roman" w:hAnsi="Times New Roman"/>
                <w:b/>
                <w:i w:val="0"/>
                <w:color w:val="000000"/>
                <w:sz w:val="21"/>
              </w:rPr>
              <w:t>Permitted claim</w:t>
            </w:r>
          </w:p>
        </w:tc>
      </w:tr>
      <w:tr>
        <w:tc>
          <w:tcPr>
            <w:tcW w:type="dxa" w:w="3120"/>
            <w:vAlign w:val="top"/>
            <w:tcW w:w="3120" w:type="dxa"/>
          </w:tcPr>
          <w:p>
            <w:pPr>
              <w:spacing w:after="0" w:line="240" w:lineRule="auto"/>
              <w:jc w:val="left"/>
            </w:pPr>
            <w:r/>
            <w:r>
              <w:rPr>
                <w:rFonts w:ascii="Times New Roman" w:hAnsi="Times New Roman"/>
                <w:b w:val="0"/>
                <w:i w:val="0"/>
                <w:color w:val="000000"/>
                <w:sz w:val="21"/>
              </w:rPr>
              <w:t>Expert-reviewed primary input</w:t>
            </w:r>
          </w:p>
        </w:tc>
        <w:tc>
          <w:tcPr>
            <w:tcW w:type="dxa" w:w="3120"/>
            <w:vAlign w:val="top"/>
            <w:tcW w:w="3120" w:type="dxa"/>
          </w:tcPr>
          <w:p>
            <w:pPr>
              <w:spacing w:after="0" w:line="240" w:lineRule="auto"/>
              <w:jc w:val="left"/>
            </w:pPr>
            <w:r/>
            <w:r>
              <w:rPr>
                <w:rFonts w:ascii="Times New Roman" w:hAnsi="Times New Roman"/>
                <w:b w:val="0"/>
                <w:i w:val="0"/>
                <w:color w:val="000000"/>
                <w:sz w:val="21"/>
              </w:rPr>
              <w:t>804 rows; 3 exact replacements; 0 nonzero value deltas</w:t>
            </w:r>
          </w:p>
        </w:tc>
        <w:tc>
          <w:tcPr>
            <w:tcW w:type="dxa" w:w="3120"/>
            <w:vAlign w:val="top"/>
            <w:tcW w:w="3120" w:type="dxa"/>
          </w:tcPr>
          <w:p>
            <w:pPr>
              <w:spacing w:after="0" w:line="240" w:lineRule="auto"/>
              <w:jc w:val="left"/>
            </w:pPr>
            <w:r/>
            <w:r>
              <w:rPr>
                <w:rFonts w:ascii="Times New Roman" w:hAnsi="Times New Roman"/>
                <w:b w:val="0"/>
                <w:i w:val="0"/>
                <w:color w:val="000000"/>
                <w:sz w:val="21"/>
              </w:rPr>
              <w:t>No primary input change relative to human reference</w:t>
            </w:r>
          </w:p>
        </w:tc>
      </w:tr>
      <w:tr>
        <w:tc>
          <w:tcPr>
            <w:tcW w:type="dxa" w:w="3120"/>
            <w:vAlign w:val="top"/>
            <w:tcW w:w="3120" w:type="dxa"/>
          </w:tcPr>
          <w:p>
            <w:pPr>
              <w:spacing w:after="0" w:line="240" w:lineRule="auto"/>
              <w:jc w:val="left"/>
            </w:pPr>
            <w:r/>
            <w:r>
              <w:rPr>
                <w:rFonts w:ascii="Times New Roman" w:hAnsi="Times New Roman"/>
                <w:b w:val="0"/>
                <w:i w:val="0"/>
                <w:color w:val="000000"/>
                <w:sz w:val="21"/>
              </w:rPr>
              <w:t>Pooled-correlation rerun</w:t>
            </w:r>
          </w:p>
        </w:tc>
        <w:tc>
          <w:tcPr>
            <w:tcW w:type="dxa" w:w="3120"/>
            <w:vAlign w:val="top"/>
            <w:tcW w:w="3120" w:type="dxa"/>
          </w:tcPr>
          <w:p>
            <w:pPr>
              <w:spacing w:after="0" w:line="240" w:lineRule="auto"/>
              <w:jc w:val="left"/>
            </w:pPr>
            <w:r/>
            <w:r>
              <w:rPr>
                <w:rFonts w:ascii="Times New Roman" w:hAnsi="Times New Roman"/>
                <w:b w:val="0"/>
                <w:i w:val="0"/>
                <w:color w:val="000000"/>
                <w:sz w:val="21"/>
              </w:rPr>
              <w:t>Max abs mean-r delta = 0.000000</w:t>
            </w:r>
          </w:p>
        </w:tc>
        <w:tc>
          <w:tcPr>
            <w:tcW w:type="dxa" w:w="3120"/>
            <w:vAlign w:val="top"/>
            <w:tcW w:w="3120" w:type="dxa"/>
          </w:tcPr>
          <w:p>
            <w:pPr>
              <w:spacing w:after="0" w:line="240" w:lineRule="auto"/>
              <w:jc w:val="left"/>
            </w:pPr>
            <w:r/>
            <w:r>
              <w:rPr>
                <w:rFonts w:ascii="Times New Roman" w:hAnsi="Times New Roman"/>
                <w:b w:val="0"/>
                <w:i w:val="0"/>
                <w:color w:val="000000"/>
                <w:sz w:val="21"/>
              </w:rPr>
              <w:t>Primary pooled-r unchanged</w:t>
            </w:r>
          </w:p>
        </w:tc>
      </w:tr>
      <w:tr>
        <w:tc>
          <w:tcPr>
            <w:tcW w:type="dxa" w:w="3120"/>
            <w:vAlign w:val="top"/>
            <w:tcW w:w="3120" w:type="dxa"/>
          </w:tcPr>
          <w:p>
            <w:pPr>
              <w:spacing w:after="0" w:line="240" w:lineRule="auto"/>
              <w:jc w:val="left"/>
            </w:pPr>
            <w:r/>
            <w:r>
              <w:rPr>
                <w:rFonts w:ascii="Times New Roman" w:hAnsi="Times New Roman"/>
                <w:b w:val="0"/>
                <w:i w:val="0"/>
                <w:color w:val="000000"/>
                <w:sz w:val="21"/>
              </w:rPr>
              <w:t>Source-risk exclusion sensitivity</w:t>
            </w:r>
          </w:p>
        </w:tc>
        <w:tc>
          <w:tcPr>
            <w:tcW w:type="dxa" w:w="3120"/>
            <w:vAlign w:val="top"/>
            <w:tcW w:w="3120" w:type="dxa"/>
          </w:tcPr>
          <w:p>
            <w:pPr>
              <w:spacing w:after="0" w:line="240" w:lineRule="auto"/>
              <w:jc w:val="left"/>
            </w:pPr>
            <w:r/>
            <w:r>
              <w:rPr>
                <w:rFonts w:ascii="Times New Roman" w:hAnsi="Times New Roman"/>
                <w:b w:val="0"/>
                <w:i w:val="0"/>
                <w:color w:val="000000"/>
                <w:sz w:val="21"/>
              </w:rPr>
              <w:t>Max abs mean-r delta = 0.407000; 9 edges changed</w:t>
            </w:r>
          </w:p>
        </w:tc>
        <w:tc>
          <w:tcPr>
            <w:tcW w:type="dxa" w:w="3120"/>
            <w:vAlign w:val="top"/>
            <w:tcW w:w="3120" w:type="dxa"/>
          </w:tcPr>
          <w:p>
            <w:pPr>
              <w:spacing w:after="0" w:line="240" w:lineRule="auto"/>
              <w:jc w:val="left"/>
            </w:pPr>
            <w:r/>
            <w:r>
              <w:rPr>
                <w:rFonts w:ascii="Times New Roman" w:hAnsi="Times New Roman"/>
                <w:b w:val="0"/>
                <w:i w:val="0"/>
                <w:color w:val="000000"/>
                <w:sz w:val="21"/>
              </w:rPr>
              <w:t>Sensitivity only</w:t>
            </w:r>
          </w:p>
        </w:tc>
      </w:tr>
      <w:tr>
        <w:tc>
          <w:tcPr>
            <w:tcW w:type="dxa" w:w="3120"/>
            <w:vAlign w:val="top"/>
            <w:tcW w:w="3120" w:type="dxa"/>
          </w:tcPr>
          <w:p>
            <w:pPr>
              <w:spacing w:after="0" w:line="240" w:lineRule="auto"/>
              <w:jc w:val="left"/>
            </w:pPr>
            <w:r/>
            <w:r>
              <w:rPr>
                <w:rFonts w:ascii="Times New Roman" w:hAnsi="Times New Roman"/>
                <w:b w:val="0"/>
                <w:i w:val="0"/>
                <w:color w:val="000000"/>
                <w:sz w:val="21"/>
              </w:rPr>
              <w:t>Converted-input augmentation sensitivity</w:t>
            </w:r>
          </w:p>
        </w:tc>
        <w:tc>
          <w:tcPr>
            <w:tcW w:type="dxa" w:w="3120"/>
            <w:vAlign w:val="top"/>
            <w:tcW w:w="3120" w:type="dxa"/>
          </w:tcPr>
          <w:p>
            <w:pPr>
              <w:spacing w:after="0" w:line="240" w:lineRule="auto"/>
              <w:jc w:val="left"/>
            </w:pPr>
            <w:r/>
            <w:r>
              <w:rPr>
                <w:rFonts w:ascii="Times New Roman" w:hAnsi="Times New Roman"/>
                <w:b w:val="0"/>
                <w:i w:val="0"/>
                <w:color w:val="000000"/>
                <w:sz w:val="21"/>
              </w:rPr>
              <w:t>Max abs mean-r delta = 0.116229; 9 edges changed</w:t>
            </w:r>
          </w:p>
        </w:tc>
        <w:tc>
          <w:tcPr>
            <w:tcW w:type="dxa" w:w="3120"/>
            <w:vAlign w:val="top"/>
            <w:tcW w:w="3120" w:type="dxa"/>
          </w:tcPr>
          <w:p>
            <w:pPr>
              <w:spacing w:after="0" w:line="240" w:lineRule="auto"/>
              <w:jc w:val="left"/>
            </w:pPr>
            <w:r/>
            <w:r>
              <w:rPr>
                <w:rFonts w:ascii="Times New Roman" w:hAnsi="Times New Roman"/>
                <w:b w:val="0"/>
                <w:i w:val="0"/>
                <w:color w:val="000000"/>
                <w:sz w:val="21"/>
              </w:rPr>
              <w:t>Sensitivity only</w:t>
            </w:r>
          </w:p>
        </w:tc>
      </w:tr>
      <w:tr>
        <w:tc>
          <w:tcPr>
            <w:tcW w:type="dxa" w:w="3120"/>
            <w:vAlign w:val="top"/>
            <w:tcW w:w="3120" w:type="dxa"/>
          </w:tcPr>
          <w:p>
            <w:pPr>
              <w:spacing w:after="0" w:line="240" w:lineRule="auto"/>
              <w:jc w:val="left"/>
            </w:pPr>
            <w:r/>
            <w:r>
              <w:rPr>
                <w:rFonts w:ascii="Times New Roman" w:hAnsi="Times New Roman"/>
                <w:b w:val="0"/>
                <w:i w:val="0"/>
                <w:color w:val="000000"/>
                <w:sz w:val="21"/>
              </w:rPr>
              <w:t>Core-6 TSSEM diagnostic</w:t>
            </w:r>
          </w:p>
        </w:tc>
        <w:tc>
          <w:tcPr>
            <w:tcW w:type="dxa" w:w="3120"/>
            <w:vAlign w:val="top"/>
            <w:tcW w:w="3120" w:type="dxa"/>
          </w:tcPr>
          <w:p>
            <w:pPr>
              <w:spacing w:after="0" w:line="240" w:lineRule="auto"/>
              <w:jc w:val="left"/>
            </w:pPr>
            <w:r/>
            <w:r>
              <w:rPr>
                <w:rFonts w:ascii="Times New Roman" w:hAnsi="Times New Roman"/>
                <w:b w:val="0"/>
                <w:i w:val="0"/>
                <w:color w:val="000000"/>
                <w:sz w:val="21"/>
              </w:rPr>
              <w:t>15 studies; paths and fit identical</w:t>
            </w:r>
          </w:p>
        </w:tc>
        <w:tc>
          <w:tcPr>
            <w:tcW w:type="dxa" w:w="3120"/>
            <w:vAlign w:val="top"/>
            <w:tcW w:w="3120" w:type="dxa"/>
          </w:tcPr>
          <w:p>
            <w:pPr>
              <w:spacing w:after="0" w:line="240" w:lineRule="auto"/>
              <w:jc w:val="left"/>
            </w:pPr>
            <w:r/>
            <w:r>
              <w:rPr>
                <w:rFonts w:ascii="Times New Roman" w:hAnsi="Times New Roman"/>
                <w:b w:val="0"/>
                <w:i w:val="0"/>
                <w:color w:val="000000"/>
                <w:sz w:val="21"/>
              </w:rPr>
              <w:t>Subset diagnostic stability only</w:t>
            </w:r>
          </w:p>
        </w:tc>
      </w:tr>
    </w:tbl>
    <w:p>
      <w:pPr>
        <w:spacing w:line="480" w:lineRule="auto" w:after="0"/>
      </w:pPr>
      <w:r>
        <w:rPr>
          <w:rFonts w:ascii="Times New Roman" w:hAnsi="Times New Roman"/>
          <w:b w:val="0"/>
          <w:i/>
          <w:color w:val="000000"/>
          <w:sz w:val="20"/>
        </w:rPr>
        <w:t>Note. Draft table; update after lead analysis lock where indicated.</w:t>
      </w:r>
    </w:p>
    <w:p>
      <w:pPr>
        <w:pStyle w:val="Heading2"/>
        <w:spacing w:line="480" w:lineRule="auto" w:after="0"/>
        <w:jc w:val="left"/>
      </w:pPr>
      <w:r/>
      <w:r>
        <w:rPr>
          <w:rFonts w:ascii="Times New Roman" w:hAnsi="Times New Roman"/>
          <w:b/>
          <w:i w:val="0"/>
          <w:color w:val="000000"/>
          <w:sz w:val="24"/>
        </w:rPr>
        <w:t>Claim Boundary</w:t>
      </w:r>
    </w:p>
    <w:p>
      <w:pPr>
        <w:spacing w:line="480" w:lineRule="auto" w:after="0"/>
        <w:ind w:firstLine="720"/>
      </w:pPr>
      <w:r>
        <w:rPr>
          <w:rFonts w:ascii="Times New Roman" w:hAnsi="Times New Roman"/>
          <w:b w:val="0"/>
          <w:i w:val="0"/>
          <w:color w:val="000000"/>
          <w:sz w:val="24"/>
        </w:rPr>
        <w:t>The current results support a bounded augmentation claim: the workflow is useful for structured locked-output evaluation and review triage, but current locked outputs are not sufficient for unsupervised MASEM substitution. The deterministic expert-reviewed rerun supports a narrow claim that the primary LLM-assisted input made no nonzero pooled-correlation changes relative to the human-reference baseline. The bounded core-6 TSSEM diagnostic supports subset stability for PE, EE, SI, FC, BI, and UB only. Broader statements about all constructs, all rows, indirect effects, or substantive SEM conclusions require the final approved TSSEM/MASEM specification and source-supported numeric N for every SEM input row.</w:t>
      </w:r>
    </w:p>
    <w:p>
      <w:pPr>
        <w:pStyle w:val="Heading1"/>
        <w:spacing w:line="480" w:lineRule="auto" w:after="0"/>
        <w:jc w:val="center"/>
      </w:pPr>
      <w:r/>
      <w:r>
        <w:rPr>
          <w:rFonts w:ascii="Times New Roman" w:hAnsi="Times New Roman"/>
          <w:b/>
          <w:i w:val="0"/>
          <w:color w:val="000000"/>
          <w:sz w:val="24"/>
        </w:rPr>
        <w:t>Discussion [Reserved for Team Contribution]</w:t>
      </w:r>
    </w:p>
    <w:p>
      <w:pPr>
        <w:spacing w:line="480" w:lineRule="auto" w:after="0"/>
      </w:pPr>
      <w:r>
        <w:rPr>
          <w:rFonts w:ascii="Times New Roman" w:hAnsi="Times New Roman"/>
          <w:b w:val="0"/>
          <w:i w:val="0"/>
          <w:color w:val="000000"/>
          <w:sz w:val="24"/>
        </w:rPr>
        <w:t>[Reserved. Team authors should draft interpretation of augmentation value, limitations of current locked outputs, implications for human-in-the-loop extraction, and future workflow improvements after the lead approves the final claim boundary.]</w:t>
      </w:r>
    </w:p>
    <w:p>
      <w:pPr>
        <w:pStyle w:val="Heading1"/>
        <w:spacing w:line="480" w:lineRule="auto" w:after="0"/>
        <w:jc w:val="center"/>
      </w:pPr>
      <w:r/>
      <w:r>
        <w:rPr>
          <w:rFonts w:ascii="Times New Roman" w:hAnsi="Times New Roman"/>
          <w:b/>
          <w:i w:val="0"/>
          <w:color w:val="000000"/>
          <w:sz w:val="24"/>
        </w:rPr>
        <w:t>Data and Code Availability</w:t>
      </w:r>
    </w:p>
    <w:p>
      <w:pPr>
        <w:spacing w:line="480" w:lineRule="auto" w:after="0"/>
        <w:ind w:firstLine="720"/>
      </w:pPr>
      <w:r>
        <w:rPr>
          <w:rFonts w:ascii="Times New Roman" w:hAnsi="Times New Roman"/>
          <w:b w:val="0"/>
          <w:i w:val="0"/>
          <w:color w:val="000000"/>
          <w:sz w:val="24"/>
        </w:rPr>
        <w:t>The share-safe Paper 2 public repository is available at https://osf.io/mkrgd/overview. It contains prompts, schemas, scoring rules, manifest-registered locked model outputs, derived analysis outputs, scripts, reporting checklists, and decision records. Raw article PDFs, raw human coder workbooks, and private OneDrive-only working materials are excluded. The public package should be interpreted with the same claim boundary used in this manuscript.</w:t>
      </w:r>
    </w:p>
    <w:p>
      <w:pPr>
        <w:pStyle w:val="Heading1"/>
        <w:spacing w:line="480" w:lineRule="auto" w:after="0"/>
        <w:jc w:val="center"/>
      </w:pPr>
      <w:r/>
      <w:r>
        <w:rPr>
          <w:rFonts w:ascii="Times New Roman" w:hAnsi="Times New Roman"/>
          <w:b/>
          <w:i w:val="0"/>
          <w:color w:val="000000"/>
          <w:sz w:val="24"/>
        </w:rPr>
        <w:t>References</w:t>
      </w:r>
    </w:p>
    <w:p>
      <w:pPr>
        <w:spacing w:line="480" w:lineRule="auto" w:after="0"/>
        <w:ind w:left="720" w:hanging="720"/>
      </w:pPr>
      <w:r>
        <w:rPr>
          <w:rFonts w:ascii="Times New Roman" w:hAnsi="Times New Roman"/>
          <w:b w:val="0"/>
          <w:i w:val="0"/>
          <w:color w:val="000000"/>
          <w:sz w:val="24"/>
        </w:rPr>
        <w:t>Cheung, M. W.-L. (2015). Meta-analysis: A structural equation modeling approach. Wiley.</w:t>
      </w:r>
    </w:p>
    <w:p>
      <w:pPr>
        <w:spacing w:line="480" w:lineRule="auto" w:after="0"/>
        <w:ind w:left="720" w:hanging="720"/>
      </w:pPr>
      <w:r>
        <w:rPr>
          <w:rFonts w:ascii="Times New Roman" w:hAnsi="Times New Roman"/>
          <w:b w:val="0"/>
          <w:i w:val="0"/>
          <w:color w:val="000000"/>
          <w:sz w:val="24"/>
        </w:rPr>
        <w:t>Jak, S., &amp; Cheung, M. W.-L. (2020). Meta-analytic structural equation modeling with moderating effects on SEM parameters. Psychological Methods, 25(4), 430-449.</w:t>
      </w:r>
    </w:p>
    <w:p>
      <w:pPr>
        <w:spacing w:line="480" w:lineRule="auto" w:after="0"/>
        <w:ind w:left="720" w:hanging="720"/>
      </w:pPr>
      <w:r>
        <w:rPr>
          <w:rFonts w:ascii="Times New Roman" w:hAnsi="Times New Roman"/>
          <w:b w:val="0"/>
          <w:i w:val="0"/>
          <w:color w:val="000000"/>
          <w:sz w:val="24"/>
        </w:rPr>
        <w:t>Page, M. J., McKenzie, J. E., Bossuyt, P. M., Boutron, I., Hoffmann, T. C., Mulrow, C. D., Shamseer, L., Tetzlaff, J. M., Akl, E. A., Brennan, S. E., Chou, R., Glanville, J., Grimshaw, J. M., Hrobjartsson, A., Lalu, M. M., Li, T., Loder, E. W., Mayo-Wilson, E., McDonald, S., ... Moher, D. (2021). The PRISMA 2020 statement: An updated guideline for reporting systematic reviews. BMJ, 372, n71.</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280"/>
      <w:gridCol w:w="1080"/>
    </w:tblGrid>
    <w:tr>
      <w:tc>
        <w:tcPr>
          <w:tcW w:type="dxa" w:w="4680"/>
        </w:tcPr>
        <w:p>
          <w:pPr>
            <w:spacing w:after="0" w:line="240" w:lineRule="auto"/>
            <w:jc w:val="left"/>
          </w:pPr>
          <w:r>
            <w:rPr>
              <w:rFonts w:ascii="Times New Roman" w:hAnsi="Times New Roman"/>
              <w:b w:val="0"/>
              <w:i w:val="0"/>
              <w:color w:val="000000"/>
              <w:sz w:val="24"/>
            </w:rPr>
            <w:t>LLM EXTRACTION VALIDATION</w:t>
          </w:r>
        </w:p>
      </w:tc>
      <w:tc>
        <w:tcPr>
          <w:tcW w:type="dxa" w:w="4680"/>
        </w:tcPr>
        <w:p>
          <w:pPr>
            <w:spacing w:after="0" w:line="240" w:lineRule="auto"/>
            <w:jc w:val="right"/>
          </w:pPr>
          <w:r>
            <w:rPr>
              <w:rFonts w:ascii="Times New Roman" w:hAnsi="Times New Roman"/>
              <w:b w:val="0"/>
              <w:i w:val="0"/>
              <w:color w:val="000000"/>
              <w:sz w:val="24"/>
            </w:rPr>
            <w:fldChar w:fldCharType="begin"/>
            <w:instrText xml:space="preserve">PAGE</w:instrTex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