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pPr>
    </w:p>
    <w:p>
      <w:pPr>
        <w:spacing w:line="480" w:lineRule="exact" w:before="0" w:after="0"/>
      </w:pPr>
    </w:p>
    <w:p>
      <w:pPr>
        <w:spacing w:line="480" w:lineRule="exact" w:before="0" w:after="0"/>
      </w:pPr>
    </w:p>
    <w:p>
      <w:pPr>
        <w:spacing w:line="480" w:lineRule="auto" w:before="0" w:after="0"/>
        <w:jc w:val="center"/>
      </w:pPr>
      <w:r>
        <w:rPr>
          <w:rFonts w:ascii="Times New Roman" w:hAnsi="Times New Roman" w:eastAsia="Times New Roman"/>
          <w:b/>
          <w:sz w:val="24"/>
        </w:rPr>
        <w:t>Task-Contingent Disagreement in AI-Assisted MASEM Evidence Coding: Research Structure for a Methodological Paper</w:t>
      </w:r>
    </w:p>
    <w:p>
      <w:pPr>
        <w:spacing w:line="480" w:lineRule="exact" w:before="0" w:after="0"/>
        <w:jc w:val="center"/>
      </w:pPr>
      <w:r>
        <w:rPr>
          <w:rFonts w:ascii="Times New Roman" w:hAnsi="Times New Roman" w:eastAsia="Times New Roman"/>
          <w:sz w:val="24"/>
        </w:rPr>
        <w:t>Hosung You</w:t>
      </w:r>
    </w:p>
    <w:p>
      <w:pPr>
        <w:spacing w:line="480" w:lineRule="exact" w:before="0" w:after="0"/>
        <w:jc w:val="center"/>
      </w:pPr>
      <w:r>
        <w:rPr>
          <w:rFonts w:ascii="Times New Roman" w:hAnsi="Times New Roman" w:eastAsia="Times New Roman"/>
          <w:sz w:val="24"/>
        </w:rPr>
        <w:t>Penn State College of Education</w:t>
      </w:r>
    </w:p>
    <w:p>
      <w:pPr>
        <w:spacing w:line="480" w:lineRule="exact" w:before="0" w:after="0"/>
        <w:jc w:val="center"/>
      </w:pPr>
      <w:r>
        <w:rPr>
          <w:rFonts w:ascii="Times New Roman" w:hAnsi="Times New Roman" w:eastAsia="Times New Roman"/>
          <w:sz w:val="24"/>
        </w:rPr>
        <w:t>Planning document prepared for the AI Adoption MASEM repository</w:t>
      </w:r>
    </w:p>
    <w:p>
      <w:pPr>
        <w:spacing w:line="480" w:lineRule="exact" w:before="0" w:after="0"/>
        <w:jc w:val="center"/>
      </w:pPr>
      <w:r>
        <w:rPr>
          <w:rFonts w:ascii="Times New Roman" w:hAnsi="Times New Roman" w:eastAsia="Times New Roman"/>
          <w:sz w:val="24"/>
        </w:rPr>
        <w:t>May 25, 2026</w:t>
      </w:r>
    </w:p>
    <w:p>
      <w:pPr>
        <w:spacing w:line="480" w:lineRule="exact" w:before="0" w:after="0"/>
      </w:pPr>
    </w:p>
    <w:p>
      <w:pPr>
        <w:spacing w:line="480" w:lineRule="exact" w:before="0" w:after="0"/>
      </w:pPr>
    </w:p>
    <w:p>
      <w:pPr>
        <w:pStyle w:val="Heading2"/>
        <w:spacing w:line="480" w:lineRule="exact" w:before="0" w:after="0"/>
      </w:pPr>
      <w:r>
        <w:rPr>
          <w:rFonts w:ascii="Times New Roman" w:hAnsi="Times New Roman" w:eastAsia="Times New Roman"/>
          <w:sz w:val="24"/>
        </w:rPr>
        <w:t>Author Note</w:t>
      </w:r>
    </w:p>
    <w:p>
      <w:pPr>
        <w:spacing w:line="480" w:lineRule="exact" w:before="0" w:after="0"/>
      </w:pPr>
      <w:r>
        <w:rPr>
          <w:rFonts w:ascii="Times New Roman" w:hAnsi="Times New Roman" w:eastAsia="Times New Roman"/>
          <w:sz w:val="24"/>
        </w:rPr>
        <w:t>This document is an APA 7-style internal research-structure brief, not a final manuscript. It records the current methodological direction for a paper using field-level disagreement among human coders, adjudicated human reference values, and future AI-coded values to develop a task-contingent taxonomy of evidence-coding difficulty in MASEM extraction.</w:t>
      </w:r>
    </w:p>
    <w:p>
      <w:pPr>
        <w:sectPr>
          <w:headerReference w:type="default" r:id="rId9"/>
          <w:pgSz w:w="12240" w:h="15840"/>
          <w:pgMar w:top="1440" w:right="1440" w:bottom="1440" w:left="1440" w:header="720" w:footer="720" w:gutter="0"/>
          <w:cols w:space="720"/>
          <w:docGrid w:linePitch="360"/>
        </w:sectPr>
      </w:pPr>
    </w:p>
    <w:p>
      <w:pPr>
        <w:pStyle w:val="Heading1"/>
        <w:spacing w:line="480" w:lineRule="exact" w:before="0" w:after="0"/>
      </w:pPr>
      <w:r>
        <w:rPr>
          <w:rFonts w:ascii="Times New Roman" w:hAnsi="Times New Roman" w:eastAsia="Times New Roman"/>
          <w:sz w:val="24"/>
        </w:rPr>
        <w:t>Abstract</w:t>
      </w:r>
    </w:p>
    <w:p>
      <w:pPr>
        <w:spacing w:line="480" w:lineRule="exact" w:before="0" w:after="0"/>
      </w:pPr>
      <w:r>
        <w:rPr>
          <w:rFonts w:ascii="Times New Roman" w:hAnsi="Times New Roman" w:eastAsia="Times New Roman"/>
          <w:sz w:val="24"/>
        </w:rPr>
        <w:t>This methodological paper will examine AI-assisted evidence coding for a meta-analytic structural equation modeling (MASEM) project on AI adoption in education. The proposed contribution is not a general claim that AI coding is accurate or inaccurate. Instead, the paper will use field-level disagreement to develop a task-contingent taxonomy of where human coders and AI systems succeed or fail differently. The design treats independent human raw coding as first-order evidence, a source-anchored adjudicated human reference standard as the criterion reference for analysis, and AI coding as a later comparison layer. Error types will be assigned during adjudication while preserving source evidence and adjudication rationale. This structure supports analysis of multi-party disagreement, field-family difficulty, source-document ambiguity, and AI-specific failure modes without reducing the study to a model leaderboard. The resulting manuscript will clarify when AI-assisted extraction is defensible, auditable, and methodologically useful for complex research synthesis.</w:t>
      </w:r>
    </w:p>
    <w:p>
      <w:pPr>
        <w:spacing w:line="480" w:lineRule="exact" w:before="0" w:after="0"/>
      </w:pPr>
      <w:r>
        <w:rPr>
          <w:rFonts w:ascii="Times New Roman" w:hAnsi="Times New Roman" w:eastAsia="Times New Roman"/>
          <w:i/>
          <w:sz w:val="24"/>
        </w:rPr>
        <w:t>Keywords: AI-assisted coding, meta-analysis, MASEM, data extraction, adjudication, disagreement taxonomy</w:t>
      </w:r>
    </w:p>
    <w:p>
      <w:pPr>
        <w:sectPr>
          <w:pgSz w:w="12240" w:h="15840"/>
          <w:pgMar w:top="1440" w:right="1440" w:bottom="1440" w:left="1440" w:header="720" w:footer="720" w:gutter="0"/>
          <w:cols w:space="720"/>
          <w:docGrid w:linePitch="360"/>
        </w:sectPr>
      </w:pPr>
    </w:p>
    <w:p>
      <w:pPr>
        <w:pStyle w:val="Heading1"/>
        <w:spacing w:line="480" w:lineRule="exact" w:before="0" w:after="0"/>
      </w:pPr>
      <w:r>
        <w:rPr>
          <w:rFonts w:ascii="Times New Roman" w:hAnsi="Times New Roman" w:eastAsia="Times New Roman"/>
          <w:sz w:val="24"/>
        </w:rPr>
        <w:t>Research Structure</w:t>
      </w:r>
    </w:p>
    <w:p>
      <w:pPr>
        <w:spacing w:line="480" w:lineRule="exact" w:before="0" w:after="0"/>
      </w:pPr>
      <w:r>
        <w:rPr>
          <w:rFonts w:ascii="Times New Roman" w:hAnsi="Times New Roman" w:eastAsia="Times New Roman"/>
          <w:sz w:val="24"/>
        </w:rPr>
        <w:t>The paper should be framed as a methodology study of evidence construction rather than as a simple AI accuracy benchmark. The core empirical material is field-level disagreement: human coder disagreements before adjudication, source-anchored adjudication decisions, and eventual AI-coded values compared against the adjudicated reference.</w:t>
      </w:r>
    </w:p>
    <w:p>
      <w:pPr>
        <w:pStyle w:val="Heading2"/>
        <w:spacing w:line="480" w:lineRule="exact" w:before="0" w:after="0"/>
      </w:pPr>
      <w:r>
        <w:rPr>
          <w:rFonts w:ascii="Times New Roman" w:hAnsi="Times New Roman" w:eastAsia="Times New Roman"/>
          <w:sz w:val="24"/>
        </w:rPr>
        <w:t>Working Positioning</w:t>
      </w:r>
    </w:p>
    <w:p>
      <w:pPr>
        <w:spacing w:line="480" w:lineRule="exact" w:before="0" w:after="0"/>
      </w:pPr>
      <w:r>
        <w:rPr>
          <w:rFonts w:ascii="Times New Roman" w:hAnsi="Times New Roman" w:eastAsia="Times New Roman"/>
          <w:sz w:val="24"/>
        </w:rPr>
        <w:t>The central claim is that coding difficulty in MASEM extraction is task-contingent. Some fields are close to literal extraction, such as sample size, reported correlations, or source table locations. Other fields require interpretation, such as construct mapping, sample boundary decisions, statistic-type classification, or reporting-quality judgments. The paper should therefore ask how the linguistic and inferential demands of each coding field condition disagreement among human coders and AI systems.</w:t>
      </w:r>
    </w:p>
    <w:p>
      <w:pPr>
        <w:pStyle w:val="Heading2"/>
        <w:spacing w:line="480" w:lineRule="exact" w:before="0" w:after="0"/>
      </w:pPr>
      <w:r>
        <w:rPr>
          <w:rFonts w:ascii="Times New Roman" w:hAnsi="Times New Roman" w:eastAsia="Times New Roman"/>
          <w:sz w:val="24"/>
        </w:rPr>
        <w:t>Proposed Contribution</w:t>
      </w:r>
    </w:p>
    <w:p>
      <w:pPr>
        <w:pStyle w:val="ListBullet"/>
        <w:spacing w:line="480" w:lineRule="exact" w:after="0"/>
      </w:pPr>
      <w:r>
        <w:rPr>
          <w:rFonts w:ascii="Times New Roman" w:hAnsi="Times New Roman" w:eastAsia="Times New Roman"/>
          <w:sz w:val="24"/>
        </w:rPr>
        <w:t>Develop a field-level taxonomy of human-AI coding disagreement in MASEM-ready evidence extraction.</w:t>
      </w:r>
    </w:p>
    <w:p>
      <w:pPr>
        <w:pStyle w:val="ListBullet"/>
        <w:spacing w:line="480" w:lineRule="exact" w:after="0"/>
      </w:pPr>
      <w:r>
        <w:rPr>
          <w:rFonts w:ascii="Times New Roman" w:hAnsi="Times New Roman" w:eastAsia="Times New Roman"/>
          <w:sz w:val="24"/>
        </w:rPr>
        <w:t>Show how raw human disagreement identifies fields that are difficult before AI enters the workflow.</w:t>
      </w:r>
    </w:p>
    <w:p>
      <w:pPr>
        <w:pStyle w:val="ListBullet"/>
        <w:spacing w:line="480" w:lineRule="exact" w:after="0"/>
      </w:pPr>
      <w:r>
        <w:rPr>
          <w:rFonts w:ascii="Times New Roman" w:hAnsi="Times New Roman" w:eastAsia="Times New Roman"/>
          <w:sz w:val="24"/>
        </w:rPr>
        <w:t>Treat AI performance as one layer in a broader disagreement ecology, not as a replacement claim.</w:t>
      </w:r>
    </w:p>
    <w:p>
      <w:pPr>
        <w:pStyle w:val="ListBullet"/>
        <w:spacing w:line="480" w:lineRule="exact" w:after="0"/>
      </w:pPr>
      <w:r>
        <w:rPr>
          <w:rFonts w:ascii="Times New Roman" w:hAnsi="Times New Roman" w:eastAsia="Times New Roman"/>
          <w:sz w:val="24"/>
        </w:rPr>
        <w:t>Preserve auditability through source locations, adjudication rationales, and error types assigned during adjudication.</w:t>
      </w:r>
    </w:p>
    <w:p>
      <w:pPr>
        <w:keepNext/>
        <w:spacing w:line="480" w:lineRule="exact" w:before="0" w:after="0"/>
      </w:pPr>
      <w:r>
        <w:rPr>
          <w:rFonts w:ascii="Times New Roman" w:hAnsi="Times New Roman" w:eastAsia="Times New Roman"/>
          <w:b/>
          <w:sz w:val="24"/>
        </w:rPr>
        <w:t>Table 1</w:t>
      </w:r>
    </w:p>
    <w:p>
      <w:pPr>
        <w:keepNext/>
        <w:spacing w:line="480" w:lineRule="exact" w:before="0" w:after="0"/>
      </w:pPr>
      <w:r>
        <w:rPr>
          <w:rFonts w:ascii="Times New Roman" w:hAnsi="Times New Roman" w:eastAsia="Times New Roman"/>
          <w:i/>
          <w:sz w:val="24"/>
        </w:rPr>
        <w:t>Manuscript Boundary and Relation to Companion Papers</w:t>
      </w:r>
    </w:p>
    <w:tbl>
      <w:tblPr>
        <w:tblW w:type="dxa" w:w="9360"/>
        <w:jc w:val="center"/>
        <w:tblLayout w:type="fixed"/>
        <w:tblLook w:firstColumn="1" w:firstRow="1" w:lastColumn="0" w:lastRow="0" w:noHBand="0" w:noVBand="1" w:val="04A0"/>
        <w:tblInd w:type="dxa" w:w="0"/>
      </w:tblPr>
      <w:tblGrid>
        <w:gridCol w:w="1440"/>
        <w:gridCol w:w="3240"/>
        <w:gridCol w:w="4680"/>
      </w:tblGrid>
      <w:tr>
        <w:tc>
          <w:tcPr>
            <w:tcW w:type="dxa" w:w="144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Paper</w:t>
            </w:r>
          </w:p>
        </w:tc>
        <w:tc>
          <w:tcPr>
            <w:tcW w:type="dxa" w:w="324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Primary Object</w:t>
            </w:r>
          </w:p>
        </w:tc>
        <w:tc>
          <w:tcPr>
            <w:tcW w:type="dxa" w:w="468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Use of This Methodological Paper</w:t>
            </w:r>
          </w:p>
        </w:tc>
      </w:tr>
      <w:tr>
        <w:tc>
          <w:tcPr>
            <w:tcW w:type="dxa" w:w="14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Paper A</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Substantive MASEM meta-analysis of AI adoption in education.</w:t>
            </w:r>
          </w:p>
        </w:tc>
        <w:tc>
          <w:tcPr>
            <w:tcW w:type="dxa" w:w="468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Uses the frozen adjudicated reference as analysis input; cites the methodology paper for evidence-construction validity.</w:t>
            </w:r>
          </w:p>
        </w:tc>
      </w:tr>
      <w:tr>
        <w:tc>
          <w:tcPr>
            <w:tcW w:type="dxa" w:w="14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Paper B</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Validation of MASEM-ready extraction and downstream substitution stability.</w:t>
            </w:r>
          </w:p>
        </w:tc>
        <w:tc>
          <w:tcPr>
            <w:tcW w:type="dxa" w:w="468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Can house the field-level disagreement taxonomy if the main claim remains workflow validity rather than model ranking.</w:t>
            </w:r>
          </w:p>
        </w:tc>
      </w:tr>
      <w:tr>
        <w:tc>
          <w:tcPr>
            <w:tcW w:type="dxa" w:w="14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Paper C</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Computational harness benchmark comparing raw Codex and Codex + LongTable against the human reference.</w:t>
            </w:r>
          </w:p>
        </w:tc>
        <w:tc>
          <w:tcPr>
            <w:tcW w:type="dxa" w:w="468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Should remain distinct if the focal claim becomes stateful harness auditability, reproducibility, and source-span recoverability.</w:t>
            </w:r>
          </w:p>
        </w:tc>
      </w:tr>
    </w:tbl>
    <w:p>
      <w:pPr>
        <w:spacing w:line="480" w:lineRule="exact" w:before="0" w:after="0"/>
      </w:pPr>
    </w:p>
    <w:p>
      <w:pPr>
        <w:pStyle w:val="Heading1"/>
        <w:spacing w:line="480" w:lineRule="exact" w:before="0" w:after="0"/>
      </w:pPr>
      <w:r>
        <w:rPr>
          <w:rFonts w:ascii="Times New Roman" w:hAnsi="Times New Roman" w:eastAsia="Times New Roman"/>
          <w:sz w:val="24"/>
        </w:rPr>
        <w:t>Research Questions</w:t>
      </w:r>
    </w:p>
    <w:p>
      <w:pPr>
        <w:pStyle w:val="Heading2"/>
        <w:spacing w:line="480" w:lineRule="exact" w:before="0" w:after="0"/>
      </w:pPr>
      <w:r>
        <w:rPr>
          <w:rFonts w:ascii="Times New Roman" w:hAnsi="Times New Roman" w:eastAsia="Times New Roman"/>
          <w:sz w:val="24"/>
        </w:rPr>
        <w:t>Primary Research Question</w:t>
      </w:r>
    </w:p>
    <w:p>
      <w:pPr>
        <w:spacing w:line="480" w:lineRule="exact" w:before="0" w:after="0"/>
      </w:pPr>
      <w:r>
        <w:rPr>
          <w:rFonts w:ascii="Times New Roman" w:hAnsi="Times New Roman" w:eastAsia="Times New Roman"/>
          <w:sz w:val="24"/>
        </w:rPr>
        <w:t>How do field-level coding tasks in MASEM-ready evidence extraction differ in the ways they produce agreement and disagreement among independent human coders, an adjudicated human reference standard, and AI-coded values?</w:t>
      </w:r>
    </w:p>
    <w:p>
      <w:pPr>
        <w:pStyle w:val="Heading2"/>
        <w:spacing w:line="480" w:lineRule="exact" w:before="0" w:after="0"/>
      </w:pPr>
      <w:r>
        <w:rPr>
          <w:rFonts w:ascii="Times New Roman" w:hAnsi="Times New Roman" w:eastAsia="Times New Roman"/>
          <w:sz w:val="24"/>
        </w:rPr>
        <w:t>Secondary Research Questions</w:t>
      </w:r>
    </w:p>
    <w:p>
      <w:pPr>
        <w:pStyle w:val="ListBullet"/>
        <w:spacing w:line="480" w:lineRule="exact" w:after="0"/>
      </w:pPr>
      <w:r>
        <w:rPr>
          <w:rFonts w:ascii="Times New Roman" w:hAnsi="Times New Roman" w:eastAsia="Times New Roman"/>
          <w:sz w:val="24"/>
        </w:rPr>
        <w:t>Which field families show high human-human disagreement before adjudication?</w:t>
      </w:r>
    </w:p>
    <w:p>
      <w:pPr>
        <w:pStyle w:val="ListBullet"/>
        <w:spacing w:line="480" w:lineRule="exact" w:after="0"/>
      </w:pPr>
      <w:r>
        <w:rPr>
          <w:rFonts w:ascii="Times New Roman" w:hAnsi="Times New Roman" w:eastAsia="Times New Roman"/>
          <w:sz w:val="24"/>
        </w:rPr>
        <w:t>Which disagreement patterns reflect routine extraction difficulty, construct ambiguity, reporting limitations, or AI-specific failure?</w:t>
      </w:r>
    </w:p>
    <w:p>
      <w:pPr>
        <w:pStyle w:val="ListBullet"/>
        <w:spacing w:line="480" w:lineRule="exact" w:after="0"/>
      </w:pPr>
      <w:r>
        <w:rPr>
          <w:rFonts w:ascii="Times New Roman" w:hAnsi="Times New Roman" w:eastAsia="Times New Roman"/>
          <w:sz w:val="24"/>
        </w:rPr>
        <w:t>Does AI coding agree more often with the adjudicated reference in literal extraction fields than in interpretive coding fields?</w:t>
      </w:r>
    </w:p>
    <w:p>
      <w:pPr>
        <w:pStyle w:val="ListBullet"/>
        <w:spacing w:line="480" w:lineRule="exact" w:after="0"/>
      </w:pPr>
      <w:r>
        <w:rPr>
          <w:rFonts w:ascii="Times New Roman" w:hAnsi="Times New Roman" w:eastAsia="Times New Roman"/>
          <w:sz w:val="24"/>
        </w:rPr>
        <w:t>Which error types are most consequential for MASEM inputs, such as correlation matrices, construct mappings, and inclusion/exclusion decisions?</w:t>
      </w:r>
    </w:p>
    <w:p>
      <w:pPr>
        <w:pStyle w:val="Heading1"/>
        <w:spacing w:line="480" w:lineRule="exact" w:before="0" w:after="0"/>
      </w:pPr>
      <w:r>
        <w:rPr>
          <w:rFonts w:ascii="Times New Roman" w:hAnsi="Times New Roman" w:eastAsia="Times New Roman"/>
          <w:sz w:val="24"/>
        </w:rPr>
        <w:t>Data Architecture</w:t>
      </w:r>
    </w:p>
    <w:p>
      <w:pPr>
        <w:spacing w:line="480" w:lineRule="exact" w:before="0" w:after="0"/>
      </w:pPr>
      <w:r>
        <w:rPr>
          <w:rFonts w:ascii="Times New Roman" w:hAnsi="Times New Roman" w:eastAsia="Times New Roman"/>
          <w:sz w:val="24"/>
        </w:rPr>
        <w:t>The analysis should preserve the distinction between first-order coding artifacts and derived analysis tables. Raw human workbooks should remain untouched. Canonical tables should be generated as derived, versioned analysis artifacts.</w:t>
      </w:r>
    </w:p>
    <w:p>
      <w:pPr>
        <w:keepNext/>
        <w:spacing w:line="480" w:lineRule="exact" w:before="0" w:after="0"/>
      </w:pPr>
      <w:r>
        <w:rPr>
          <w:rFonts w:ascii="Times New Roman" w:hAnsi="Times New Roman" w:eastAsia="Times New Roman"/>
          <w:b/>
          <w:sz w:val="24"/>
        </w:rPr>
        <w:t>Table 2</w:t>
      </w:r>
    </w:p>
    <w:p>
      <w:pPr>
        <w:keepNext/>
        <w:spacing w:line="480" w:lineRule="exact" w:before="0" w:after="0"/>
      </w:pPr>
      <w:r>
        <w:rPr>
          <w:rFonts w:ascii="Times New Roman" w:hAnsi="Times New Roman" w:eastAsia="Times New Roman"/>
          <w:i/>
          <w:sz w:val="24"/>
        </w:rPr>
        <w:t>Dataset States Required for the Methodological Paper</w:t>
      </w:r>
    </w:p>
    <w:tbl>
      <w:tblPr>
        <w:tblW w:type="dxa" w:w="9360"/>
        <w:jc w:val="center"/>
        <w:tblLayout w:type="fixed"/>
        <w:tblLook w:firstColumn="1" w:firstRow="1" w:lastColumn="0" w:lastRow="0" w:noHBand="0" w:noVBand="1" w:val="04A0"/>
        <w:tblInd w:type="dxa" w:w="0"/>
      </w:tblPr>
      <w:tblGrid>
        <w:gridCol w:w="2520"/>
        <w:gridCol w:w="3420"/>
        <w:gridCol w:w="3420"/>
      </w:tblGrid>
      <w:tr>
        <w:tc>
          <w:tcPr>
            <w:tcW w:type="dxa" w:w="252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Dataset State</w:t>
            </w:r>
          </w:p>
        </w:tc>
        <w:tc>
          <w:tcPr>
            <w:tcW w:type="dxa" w:w="342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Role</w:t>
            </w:r>
          </w:p>
        </w:tc>
        <w:tc>
          <w:tcPr>
            <w:tcW w:type="dxa" w:w="342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Current Repository Status</w:t>
            </w:r>
          </w:p>
        </w:tc>
      </w:tr>
      <w:tr>
        <w:tc>
          <w:tcPr>
            <w:tcW w:type="dxa" w:w="25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Raw human coder workbooks</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First-order independent human coding values.</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Phase 1 workbooks are available. Phase 2 completed returns should be frozen before analysis.</w:t>
            </w:r>
          </w:p>
        </w:tc>
      </w:tr>
      <w:tr>
        <w:tc>
          <w:tcPr>
            <w:tcW w:type="dxa" w:w="25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Pairwise disagreement workbook</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Derived table of human-human disagreement by field and pair.</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Phase 1 comparison workbook exists. Phase 2 comparison must be generated after raw return freeze.</w:t>
            </w:r>
          </w:p>
        </w:tc>
      </w:tr>
      <w:tr>
        <w:tc>
          <w:tcPr>
            <w:tcW w:type="dxa" w:w="25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Adjudication field table</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Source-anchored final value, rationale, and error type for each discrepant field.</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Not yet available as a canonical long table; currently represented through workbook resolutions and Markdown logs.</w:t>
            </w:r>
          </w:p>
        </w:tc>
      </w:tr>
      <w:tr>
        <w:tc>
          <w:tcPr>
            <w:tcW w:type="dxa" w:w="25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Adjudicated human reference</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Criterion reference for later AI comparison and MASEM input.</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Not frozen yet according to the current workflow log.</w:t>
            </w:r>
          </w:p>
        </w:tc>
      </w:tr>
      <w:tr>
        <w:tc>
          <w:tcPr>
            <w:tcW w:type="dxa" w:w="25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AI-coded values</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Post-freeze comparison layer for field-level agreement and error analysis.</w:t>
            </w:r>
          </w:p>
        </w:tc>
        <w:tc>
          <w:tcPr>
            <w:tcW w:type="dxa" w:w="342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Should remain blinded until the human reference is frozen.</w:t>
            </w:r>
          </w:p>
        </w:tc>
      </w:tr>
    </w:tbl>
    <w:p>
      <w:pPr>
        <w:spacing w:line="480" w:lineRule="exact" w:before="0" w:after="0"/>
      </w:pPr>
    </w:p>
    <w:p>
      <w:pPr>
        <w:pStyle w:val="Heading2"/>
        <w:spacing w:line="480" w:lineRule="exact" w:before="0" w:after="0"/>
      </w:pPr>
      <w:r>
        <w:rPr>
          <w:rFonts w:ascii="Times New Roman" w:hAnsi="Times New Roman" w:eastAsia="Times New Roman"/>
          <w:sz w:val="24"/>
        </w:rPr>
        <w:t>Canonical Derived Tables</w:t>
      </w:r>
    </w:p>
    <w:p>
      <w:pPr>
        <w:spacing w:line="480" w:lineRule="exact" w:before="0" w:after="0"/>
      </w:pPr>
      <w:r>
        <w:rPr>
          <w:rFonts w:ascii="Times New Roman" w:hAnsi="Times New Roman" w:eastAsia="Times New Roman"/>
          <w:sz w:val="24"/>
        </w:rPr>
        <w:t>The immediate documentation task is to convert existing human coding outputs into an analysis-ready long format. The canonical table should be described as derived from raw human workbooks, not as a replacement for them.</w:t>
      </w:r>
    </w:p>
    <w:p>
      <w:pPr>
        <w:keepNext/>
        <w:spacing w:line="480" w:lineRule="exact" w:before="0" w:after="0"/>
      </w:pPr>
      <w:r>
        <w:rPr>
          <w:rFonts w:ascii="Times New Roman" w:hAnsi="Times New Roman" w:eastAsia="Times New Roman"/>
          <w:b/>
          <w:sz w:val="24"/>
        </w:rPr>
        <w:t>Table 3</w:t>
      </w:r>
    </w:p>
    <w:p>
      <w:pPr>
        <w:keepNext/>
        <w:spacing w:line="480" w:lineRule="exact" w:before="0" w:after="0"/>
      </w:pPr>
      <w:r>
        <w:rPr>
          <w:rFonts w:ascii="Times New Roman" w:hAnsi="Times New Roman" w:eastAsia="Times New Roman"/>
          <w:i/>
          <w:sz w:val="24"/>
        </w:rPr>
        <w:t>Minimum Field-Level Canonical Table Structure</w:t>
      </w:r>
    </w:p>
    <w:tbl>
      <w:tblPr>
        <w:tblW w:type="dxa" w:w="9360"/>
        <w:jc w:val="center"/>
        <w:tblLayout w:type="fixed"/>
        <w:tblLook w:firstColumn="1" w:firstRow="1" w:lastColumn="0" w:lastRow="0" w:noHBand="0" w:noVBand="1" w:val="04A0"/>
        <w:tblInd w:type="dxa" w:w="0"/>
      </w:tblPr>
      <w:tblGrid>
        <w:gridCol w:w="2160"/>
        <w:gridCol w:w="3600"/>
        <w:gridCol w:w="3600"/>
      </w:tblGrid>
      <w:tr>
        <w:tc>
          <w:tcPr>
            <w:tcW w:type="dxa" w:w="216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Column Family</w:t>
            </w:r>
          </w:p>
        </w:tc>
        <w:tc>
          <w:tcPr>
            <w:tcW w:type="dxa" w:w="360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Example Fields</w:t>
            </w:r>
          </w:p>
        </w:tc>
        <w:tc>
          <w:tcPr>
            <w:tcW w:type="dxa" w:w="360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Purpose</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Identification</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phase, pair_id, study_id, field_id, field_family</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Allows nesting by study, phase, pair, and coding task.</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Human raw values</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coder_a_id, coder_a_value, coder_b_id, coder_b_value</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Preserves independent human coding before adjudication.</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Reference decision</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adjudicated_reference, source_location, adjudicator_id, adjudication_date</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Provides the criterion reference and audit trail.</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Rationale</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source_evidence_summary, adjudication_rationale, rule_applied</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Shows why the final value is source-anchored and defensible.</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Taxonomy</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error_type, disagreement_pattern, uncertainty_note</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Supports task-contingent taxonomy development and later AI comparison.</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AI layer</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ai_value, ai_source_location, ai_match, ai_error_type</w:t>
            </w:r>
          </w:p>
        </w:tc>
        <w:tc>
          <w:tcPr>
            <w:tcW w:type="dxa" w:w="360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Added only after reference freeze.</w:t>
            </w:r>
          </w:p>
        </w:tc>
      </w:tr>
    </w:tbl>
    <w:p>
      <w:pPr>
        <w:spacing w:line="480" w:lineRule="exact" w:before="0" w:after="0"/>
      </w:pPr>
    </w:p>
    <w:p>
      <w:pPr>
        <w:pStyle w:val="Heading1"/>
        <w:spacing w:line="480" w:lineRule="exact" w:before="0" w:after="0"/>
      </w:pPr>
      <w:r>
        <w:rPr>
          <w:rFonts w:ascii="Times New Roman" w:hAnsi="Times New Roman" w:eastAsia="Times New Roman"/>
          <w:sz w:val="24"/>
        </w:rPr>
        <w:t>Reference Standard</w:t>
      </w:r>
    </w:p>
    <w:p>
      <w:pPr>
        <w:spacing w:line="480" w:lineRule="exact" w:before="0" w:after="0"/>
      </w:pPr>
      <w:r>
        <w:rPr>
          <w:rFonts w:ascii="Times New Roman" w:hAnsi="Times New Roman" w:eastAsia="Times New Roman"/>
          <w:sz w:val="24"/>
        </w:rPr>
        <w:t>For analysis, the source-anchored adjudicated human reference standard should function as the criterion reference. In manuscript language, it should not be described as absolute truth or as a gold standard. The preferred wording is: source-anchored adjudicated human reference standard, or adjudicated human reference.</w:t>
      </w:r>
    </w:p>
    <w:p>
      <w:pPr>
        <w:pStyle w:val="Heading2"/>
        <w:spacing w:line="480" w:lineRule="exact" w:before="0" w:after="0"/>
      </w:pPr>
      <w:r>
        <w:rPr>
          <w:rFonts w:ascii="Times New Roman" w:hAnsi="Times New Roman" w:eastAsia="Times New Roman"/>
          <w:sz w:val="24"/>
        </w:rPr>
        <w:t>Operational Rule</w:t>
      </w:r>
    </w:p>
    <w:p>
      <w:pPr>
        <w:spacing w:line="480" w:lineRule="exact" w:before="0" w:after="0"/>
      </w:pPr>
      <w:r>
        <w:rPr>
          <w:rFonts w:ascii="Times New Roman" w:hAnsi="Times New Roman" w:eastAsia="Times New Roman"/>
          <w:sz w:val="24"/>
        </w:rPr>
        <w:t>Each discrepant field should receive a final reference value, source location, concise source evidence summary, adjudication rationale, rule applied, and error type during adjudication. The error type may be assigned immediately, provided the underlying rationale is preserved so that the taxonomy can be audited or revised later.</w:t>
      </w:r>
    </w:p>
    <w:p>
      <w:pPr>
        <w:pStyle w:val="Heading1"/>
        <w:spacing w:line="480" w:lineRule="exact" w:before="0" w:after="0"/>
      </w:pPr>
      <w:r>
        <w:rPr>
          <w:rFonts w:ascii="Times New Roman" w:hAnsi="Times New Roman" w:eastAsia="Times New Roman"/>
          <w:sz w:val="24"/>
        </w:rPr>
        <w:t>Initial Taxonomy Lens</w:t>
      </w:r>
    </w:p>
    <w:p>
      <w:pPr>
        <w:spacing w:line="480" w:lineRule="exact" w:before="0" w:after="0"/>
      </w:pPr>
      <w:r>
        <w:rPr>
          <w:rFonts w:ascii="Times New Roman" w:hAnsi="Times New Roman" w:eastAsia="Times New Roman"/>
          <w:sz w:val="24"/>
        </w:rPr>
        <w:t>The taxonomy should be inductive, but it can use a sensitizing lens based on linguistic and inferential demand. This avoids presenting the categories as purely post hoc while preserving room for data-driven refinement.</w:t>
      </w:r>
    </w:p>
    <w:p>
      <w:pPr>
        <w:keepNext/>
        <w:spacing w:line="480" w:lineRule="exact" w:before="0" w:after="0"/>
      </w:pPr>
      <w:r>
        <w:rPr>
          <w:rFonts w:ascii="Times New Roman" w:hAnsi="Times New Roman" w:eastAsia="Times New Roman"/>
          <w:b/>
          <w:sz w:val="24"/>
        </w:rPr>
        <w:t>Table 4</w:t>
      </w:r>
    </w:p>
    <w:p>
      <w:pPr>
        <w:keepNext/>
        <w:spacing w:line="480" w:lineRule="exact" w:before="0" w:after="0"/>
      </w:pPr>
      <w:r>
        <w:rPr>
          <w:rFonts w:ascii="Times New Roman" w:hAnsi="Times New Roman" w:eastAsia="Times New Roman"/>
          <w:i/>
          <w:sz w:val="24"/>
        </w:rPr>
        <w:t>Sensitizing Lens for Field-Level Disagreement Coding</w:t>
      </w:r>
    </w:p>
    <w:tbl>
      <w:tblPr>
        <w:tblW w:type="dxa" w:w="9360"/>
        <w:jc w:val="center"/>
        <w:tblLayout w:type="fixed"/>
        <w:tblLook w:firstColumn="1" w:firstRow="1" w:lastColumn="0" w:lastRow="0" w:noHBand="0" w:noVBand="1" w:val="04A0"/>
        <w:tblInd w:type="dxa" w:w="0"/>
      </w:tblPr>
      <w:tblGrid>
        <w:gridCol w:w="2160"/>
        <w:gridCol w:w="3240"/>
        <w:gridCol w:w="3960"/>
      </w:tblGrid>
      <w:tr>
        <w:tc>
          <w:tcPr>
            <w:tcW w:type="dxa" w:w="216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Tentative Family</w:t>
            </w:r>
          </w:p>
        </w:tc>
        <w:tc>
          <w:tcPr>
            <w:tcW w:type="dxa" w:w="324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Typical Fields</w:t>
            </w:r>
          </w:p>
        </w:tc>
        <w:tc>
          <w:tcPr>
            <w:tcW w:type="dxa" w:w="3960"/>
            <w:vAlign w:val="center"/>
            <w:tcMar>
              <w:top w:w="80" w:type="dxa"/>
              <w:start w:w="120" w:type="dxa"/>
              <w:bottom w:w="80" w:type="dxa"/>
              <w:end w:w="120" w:type="dxa"/>
            </w:tcMar>
            <w:shd w:fill="F2F2F2"/>
          </w:tcPr>
          <w:p>
            <w:pPr>
              <w:spacing w:before="0" w:after="0" w:line="276" w:lineRule="auto"/>
            </w:pPr>
            <w:r/>
            <w:r>
              <w:rPr>
                <w:rFonts w:ascii="Times New Roman" w:hAnsi="Times New Roman" w:eastAsia="Times New Roman"/>
                <w:b/>
                <w:i w:val="0"/>
                <w:sz w:val="20"/>
              </w:rPr>
              <w:t>Likely Source of Disagreement</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Literal extraction</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year, sample size, reported r, table number</w:t>
            </w:r>
          </w:p>
        </w:tc>
        <w:tc>
          <w:tcPr>
            <w:tcW w:type="dxa" w:w="39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Location, transcription, or rounding error.</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Statistic-type interpretation</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r_source, original_beta, path coefficient, HTMT, Fornell-Larcker</w:t>
            </w:r>
          </w:p>
        </w:tc>
        <w:tc>
          <w:tcPr>
            <w:tcW w:type="dxa" w:w="39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Confusion about whether a reported value is usable for MASEM.</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Construct mapping</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study_label to target construct family</w:t>
            </w:r>
          </w:p>
        </w:tc>
        <w:tc>
          <w:tcPr>
            <w:tcW w:type="dxa" w:w="39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Semantic ambiguity, overlapping constructs, or codebook boundary issues.</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Sample boundary</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target N, subgroup selection, mixed samples</w:t>
            </w:r>
          </w:p>
        </w:tc>
        <w:tc>
          <w:tcPr>
            <w:tcW w:type="dxa" w:w="39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Different choices about which sample matches the synthesis question.</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Eligibility boundary</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include/exclude status, no usable matrix/path evidence</w:t>
            </w:r>
          </w:p>
        </w:tc>
        <w:tc>
          <w:tcPr>
            <w:tcW w:type="dxa" w:w="39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Protocol interpretation and evidence sufficiency.</w:t>
            </w:r>
          </w:p>
        </w:tc>
      </w:tr>
      <w:tr>
        <w:tc>
          <w:tcPr>
            <w:tcW w:type="dxa" w:w="21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Reporting-quality limitation</w:t>
            </w:r>
          </w:p>
        </w:tc>
        <w:tc>
          <w:tcPr>
            <w:tcW w:type="dxa" w:w="324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missing source, incomplete matrix, unclear table</w:t>
            </w:r>
          </w:p>
        </w:tc>
        <w:tc>
          <w:tcPr>
            <w:tcW w:type="dxa" w:w="3960"/>
            <w:tcMar>
              <w:top w:w="80" w:type="dxa"/>
              <w:start w:w="120" w:type="dxa"/>
              <w:bottom w:w="80" w:type="dxa"/>
              <w:end w:w="120" w:type="dxa"/>
            </w:tcMar>
          </w:tcPr>
          <w:p>
            <w:pPr>
              <w:spacing w:before="0" w:after="0" w:line="276" w:lineRule="auto"/>
            </w:pPr>
            <w:r/>
            <w:r>
              <w:rPr>
                <w:rFonts w:ascii="Times New Roman" w:hAnsi="Times New Roman" w:eastAsia="Times New Roman"/>
                <w:b w:val="0"/>
                <w:i w:val="0"/>
                <w:sz w:val="20"/>
              </w:rPr>
              <w:t>The source document does not support a stable extraction decision.</w:t>
            </w:r>
          </w:p>
        </w:tc>
      </w:tr>
    </w:tbl>
    <w:p>
      <w:pPr>
        <w:spacing w:line="480" w:lineRule="exact" w:before="0" w:after="0"/>
      </w:pPr>
    </w:p>
    <w:p>
      <w:pPr>
        <w:pStyle w:val="Heading1"/>
        <w:spacing w:line="480" w:lineRule="exact" w:before="0" w:after="0"/>
      </w:pPr>
      <w:r>
        <w:rPr>
          <w:rFonts w:ascii="Times New Roman" w:hAnsi="Times New Roman" w:eastAsia="Times New Roman"/>
          <w:sz w:val="24"/>
        </w:rPr>
        <w:t>Analysis Plan</w:t>
      </w:r>
    </w:p>
    <w:p>
      <w:pPr>
        <w:pStyle w:val="Heading2"/>
        <w:spacing w:line="480" w:lineRule="exact" w:before="0" w:after="0"/>
      </w:pPr>
      <w:r>
        <w:rPr>
          <w:rFonts w:ascii="Times New Roman" w:hAnsi="Times New Roman" w:eastAsia="Times New Roman"/>
          <w:sz w:val="24"/>
        </w:rPr>
        <w:t>Unit of Analysis</w:t>
      </w:r>
    </w:p>
    <w:p>
      <w:pPr>
        <w:spacing w:line="480" w:lineRule="exact" w:before="0" w:after="0"/>
      </w:pPr>
      <w:r>
        <w:rPr>
          <w:rFonts w:ascii="Times New Roman" w:hAnsi="Times New Roman" w:eastAsia="Times New Roman"/>
          <w:sz w:val="24"/>
        </w:rPr>
        <w:t>The primary unit is the individual coding field nested within study, phase, pair, and field family. Study-level summaries are secondary and should be used to describe clustering or case-level burden rather than replace field-level analysis.</w:t>
      </w:r>
    </w:p>
    <w:p>
      <w:pPr>
        <w:pStyle w:val="Heading2"/>
        <w:spacing w:line="480" w:lineRule="exact" w:before="0" w:after="0"/>
      </w:pPr>
      <w:r>
        <w:rPr>
          <w:rFonts w:ascii="Times New Roman" w:hAnsi="Times New Roman" w:eastAsia="Times New Roman"/>
          <w:sz w:val="24"/>
        </w:rPr>
        <w:t>Disagreement Patterns</w:t>
      </w:r>
    </w:p>
    <w:p>
      <w:pPr>
        <w:pStyle w:val="ListBullet"/>
        <w:spacing w:line="480" w:lineRule="exact" w:after="0"/>
      </w:pPr>
      <w:r>
        <w:rPr>
          <w:rFonts w:ascii="Times New Roman" w:hAnsi="Times New Roman" w:eastAsia="Times New Roman"/>
          <w:sz w:val="24"/>
        </w:rPr>
        <w:t>Human coders agree and AI agrees with the reference: low-friction field.</w:t>
      </w:r>
    </w:p>
    <w:p>
      <w:pPr>
        <w:pStyle w:val="ListBullet"/>
        <w:spacing w:line="480" w:lineRule="exact" w:after="0"/>
      </w:pPr>
      <w:r>
        <w:rPr>
          <w:rFonts w:ascii="Times New Roman" w:hAnsi="Times New Roman" w:eastAsia="Times New Roman"/>
          <w:sz w:val="24"/>
        </w:rPr>
        <w:t>Human coders disagree but AI matches the reference: possible AI advantage or human ambiguity.</w:t>
      </w:r>
    </w:p>
    <w:p>
      <w:pPr>
        <w:pStyle w:val="ListBullet"/>
        <w:spacing w:line="480" w:lineRule="exact" w:after="0"/>
      </w:pPr>
      <w:r>
        <w:rPr>
          <w:rFonts w:ascii="Times New Roman" w:hAnsi="Times New Roman" w:eastAsia="Times New Roman"/>
          <w:sz w:val="24"/>
        </w:rPr>
        <w:t>Human coders agree but AI disagrees with the reference: AI-specific failure.</w:t>
      </w:r>
    </w:p>
    <w:p>
      <w:pPr>
        <w:pStyle w:val="ListBullet"/>
        <w:spacing w:line="480" w:lineRule="exact" w:after="0"/>
      </w:pPr>
      <w:r>
        <w:rPr>
          <w:rFonts w:ascii="Times New Roman" w:hAnsi="Times New Roman" w:eastAsia="Times New Roman"/>
          <w:sz w:val="24"/>
        </w:rPr>
        <w:t>Human coders and AI all diverge: high-ambiguity field or reporting-quality problem.</w:t>
      </w:r>
    </w:p>
    <w:p>
      <w:pPr>
        <w:pStyle w:val="ListBullet"/>
        <w:spacing w:line="480" w:lineRule="exact" w:after="0"/>
      </w:pPr>
      <w:r>
        <w:rPr>
          <w:rFonts w:ascii="Times New Roman" w:hAnsi="Times New Roman" w:eastAsia="Times New Roman"/>
          <w:sz w:val="24"/>
        </w:rPr>
        <w:t>No stable source-backed value exists: evidence sufficiency issue rather than coder error.</w:t>
      </w:r>
    </w:p>
    <w:p>
      <w:pPr>
        <w:pStyle w:val="Heading2"/>
        <w:spacing w:line="480" w:lineRule="exact" w:before="0" w:after="0"/>
      </w:pPr>
      <w:r>
        <w:rPr>
          <w:rFonts w:ascii="Times New Roman" w:hAnsi="Times New Roman" w:eastAsia="Times New Roman"/>
          <w:sz w:val="24"/>
        </w:rPr>
        <w:t>Metrics</w:t>
      </w:r>
    </w:p>
    <w:p>
      <w:pPr>
        <w:pStyle w:val="ListBullet"/>
        <w:spacing w:line="480" w:lineRule="exact" w:after="0"/>
      </w:pPr>
      <w:r>
        <w:rPr>
          <w:rFonts w:ascii="Times New Roman" w:hAnsi="Times New Roman" w:eastAsia="Times New Roman"/>
          <w:sz w:val="24"/>
        </w:rPr>
        <w:t>Field-family disagreement rates before adjudication.</w:t>
      </w:r>
    </w:p>
    <w:p>
      <w:pPr>
        <w:pStyle w:val="ListBullet"/>
        <w:spacing w:line="480" w:lineRule="exact" w:after="0"/>
      </w:pPr>
      <w:r>
        <w:rPr>
          <w:rFonts w:ascii="Times New Roman" w:hAnsi="Times New Roman" w:eastAsia="Times New Roman"/>
          <w:sz w:val="24"/>
        </w:rPr>
        <w:t>Exact agreement for categorical fields and tolerance-band agreement for numeric fields.</w:t>
      </w:r>
    </w:p>
    <w:p>
      <w:pPr>
        <w:pStyle w:val="ListBullet"/>
        <w:spacing w:line="480" w:lineRule="exact" w:after="0"/>
      </w:pPr>
      <w:r>
        <w:rPr>
          <w:rFonts w:ascii="Times New Roman" w:hAnsi="Times New Roman" w:eastAsia="Times New Roman"/>
          <w:sz w:val="24"/>
        </w:rPr>
        <w:t>Error-type distribution by field family, phase, and pair.</w:t>
      </w:r>
    </w:p>
    <w:p>
      <w:pPr>
        <w:pStyle w:val="ListBullet"/>
        <w:spacing w:line="480" w:lineRule="exact" w:after="0"/>
      </w:pPr>
      <w:r>
        <w:rPr>
          <w:rFonts w:ascii="Times New Roman" w:hAnsi="Times New Roman" w:eastAsia="Times New Roman"/>
          <w:sz w:val="24"/>
        </w:rPr>
        <w:t>Source-span availability and source-span support for future AI-coded values.</w:t>
      </w:r>
    </w:p>
    <w:p>
      <w:pPr>
        <w:pStyle w:val="ListBullet"/>
        <w:spacing w:line="480" w:lineRule="exact" w:after="0"/>
      </w:pPr>
      <w:r>
        <w:rPr>
          <w:rFonts w:ascii="Times New Roman" w:hAnsi="Times New Roman" w:eastAsia="Times New Roman"/>
          <w:sz w:val="24"/>
        </w:rPr>
        <w:t>Sensitivity of downstream MASEM matrices to high-risk field errors.</w:t>
      </w:r>
    </w:p>
    <w:p>
      <w:pPr>
        <w:pStyle w:val="Heading1"/>
        <w:spacing w:line="480" w:lineRule="exact" w:before="0" w:after="0"/>
      </w:pPr>
      <w:r>
        <w:rPr>
          <w:rFonts w:ascii="Times New Roman" w:hAnsi="Times New Roman" w:eastAsia="Times New Roman"/>
          <w:sz w:val="24"/>
        </w:rPr>
        <w:t>Ethics and Disclosure</w:t>
      </w:r>
    </w:p>
    <w:p>
      <w:pPr>
        <w:spacing w:line="480" w:lineRule="exact" w:before="0" w:after="0"/>
      </w:pPr>
      <w:r>
        <w:rPr>
          <w:rFonts w:ascii="Times New Roman" w:hAnsi="Times New Roman" w:eastAsia="Times New Roman"/>
          <w:sz w:val="24"/>
        </w:rPr>
        <w:t>The manuscript should disclose AI use at the workflow level without reproducing copyrighted article content beyond what is necessary for auditability. For non-open-access full texts, the shareable dataset should avoid article text excerpts when possible and use source-location summaries, table identifiers, page numbers, and derived coding values. Any release of quoted source text should be minimal, legally reviewed where necessary, and separated from private local artifacts.</w:t>
      </w:r>
    </w:p>
    <w:p>
      <w:pPr>
        <w:pStyle w:val="Heading2"/>
        <w:spacing w:line="480" w:lineRule="exact" w:before="0" w:after="0"/>
      </w:pPr>
      <w:r>
        <w:rPr>
          <w:rFonts w:ascii="Times New Roman" w:hAnsi="Times New Roman" w:eastAsia="Times New Roman"/>
          <w:sz w:val="24"/>
        </w:rPr>
        <w:t>Suggested Disclosure Language</w:t>
      </w:r>
    </w:p>
    <w:p>
      <w:pPr>
        <w:spacing w:line="480" w:lineRule="exact" w:before="0" w:after="0"/>
      </w:pPr>
      <w:r>
        <w:rPr>
          <w:rFonts w:ascii="Times New Roman" w:hAnsi="Times New Roman" w:eastAsia="Times New Roman"/>
          <w:sz w:val="24"/>
        </w:rPr>
        <w:t>AI systems were used to generate structured extraction candidates and audit-support artifacts after independent human coding procedures were defined. Human coders remained blinded to AI outputs during independent coding and adjudication. The released research artifacts will prioritize derived coding fields, source locations, prompts, schemas, decision logs, and aggregate metrics rather than reproducing copyrighted full-text content.</w:t>
      </w:r>
    </w:p>
    <w:p>
      <w:pPr>
        <w:pStyle w:val="Heading1"/>
        <w:spacing w:line="480" w:lineRule="exact" w:before="0" w:after="0"/>
      </w:pPr>
      <w:r>
        <w:rPr>
          <w:rFonts w:ascii="Times New Roman" w:hAnsi="Times New Roman" w:eastAsia="Times New Roman"/>
          <w:sz w:val="24"/>
        </w:rPr>
        <w:t>Immediate Repository Tasks</w:t>
      </w:r>
    </w:p>
    <w:p>
      <w:pPr>
        <w:pStyle w:val="ListBullet"/>
        <w:spacing w:line="480" w:lineRule="exact" w:after="0"/>
      </w:pPr>
      <w:r>
        <w:rPr>
          <w:rFonts w:ascii="Times New Roman" w:hAnsi="Times New Roman" w:eastAsia="Times New Roman"/>
          <w:sz w:val="24"/>
        </w:rPr>
        <w:t>Freeze the completed Phase 2 human raw returns in the canonical raw-human folder or document their private local location with hashes.</w:t>
      </w:r>
    </w:p>
    <w:p>
      <w:pPr>
        <w:pStyle w:val="ListBullet"/>
        <w:spacing w:line="480" w:lineRule="exact" w:after="0"/>
      </w:pPr>
      <w:r>
        <w:rPr>
          <w:rFonts w:ascii="Times New Roman" w:hAnsi="Times New Roman" w:eastAsia="Times New Roman"/>
          <w:sz w:val="24"/>
        </w:rPr>
        <w:t>Generate raw_human_field_long.csv from Phase 1 and Phase 2 human workbooks without modifying the raw files.</w:t>
      </w:r>
    </w:p>
    <w:p>
      <w:pPr>
        <w:pStyle w:val="ListBullet"/>
        <w:spacing w:line="480" w:lineRule="exact" w:after="0"/>
      </w:pPr>
      <w:r>
        <w:rPr>
          <w:rFonts w:ascii="Times New Roman" w:hAnsi="Times New Roman" w:eastAsia="Times New Roman"/>
          <w:sz w:val="24"/>
        </w:rPr>
        <w:t>Generate pairwise_disagreement_long.csv for Phase 2 after raw returns are frozen.</w:t>
      </w:r>
    </w:p>
    <w:p>
      <w:pPr>
        <w:pStyle w:val="ListBullet"/>
        <w:spacing w:line="480" w:lineRule="exact" w:after="0"/>
      </w:pPr>
      <w:r>
        <w:rPr>
          <w:rFonts w:ascii="Times New Roman" w:hAnsi="Times New Roman" w:eastAsia="Times New Roman"/>
          <w:sz w:val="24"/>
        </w:rPr>
        <w:t>Create adjudication_field_template.csv with raw coder values prefilled and columns for adjudicated_reference, rationale, source location, and error_type.</w:t>
      </w:r>
    </w:p>
    <w:p>
      <w:pPr>
        <w:pStyle w:val="ListBullet"/>
        <w:spacing w:line="480" w:lineRule="exact" w:after="0"/>
      </w:pPr>
      <w:r>
        <w:rPr>
          <w:rFonts w:ascii="Times New Roman" w:hAnsi="Times New Roman" w:eastAsia="Times New Roman"/>
          <w:sz w:val="24"/>
        </w:rPr>
        <w:t>After Step 4 freeze, add AI-coded values as a comparison layer rather than changing the human reference table.</w:t>
      </w:r>
    </w:p>
    <w:p>
      <w:pPr>
        <w:pStyle w:val="ListBullet"/>
        <w:spacing w:line="480" w:lineRule="exact" w:after="0"/>
      </w:pPr>
      <w:r>
        <w:rPr>
          <w:rFonts w:ascii="Times New Roman" w:hAnsi="Times New Roman" w:eastAsia="Times New Roman"/>
          <w:sz w:val="24"/>
        </w:rPr>
        <w:t>Synchronize the local repository with origin/main before adding Paper C-specific artifacts, because the remote branch already contains a Paper C harness benchmark scaffold.</w:t>
      </w:r>
    </w:p>
    <w:p>
      <w:pPr>
        <w:pStyle w:val="Heading1"/>
        <w:spacing w:line="480" w:lineRule="exact" w:before="0" w:after="0"/>
      </w:pPr>
      <w:r>
        <w:rPr>
          <w:rFonts w:ascii="Times New Roman" w:hAnsi="Times New Roman" w:eastAsia="Times New Roman"/>
          <w:sz w:val="24"/>
        </w:rPr>
        <w:t>Open Design Questions</w:t>
      </w:r>
    </w:p>
    <w:p>
      <w:pPr>
        <w:pStyle w:val="ListBullet"/>
        <w:spacing w:line="480" w:lineRule="exact" w:after="0"/>
      </w:pPr>
      <w:r>
        <w:rPr>
          <w:rFonts w:ascii="Times New Roman" w:hAnsi="Times New Roman" w:eastAsia="Times New Roman"/>
          <w:sz w:val="24"/>
        </w:rPr>
        <w:t>Should the field-level taxonomy remain inside Paper B, or should it become the conceptual bridge between Paper B and the Paper C harness benchmark?</w:t>
      </w:r>
    </w:p>
    <w:p>
      <w:pPr>
        <w:pStyle w:val="ListBullet"/>
        <w:spacing w:line="480" w:lineRule="exact" w:after="0"/>
      </w:pPr>
      <w:r>
        <w:rPr>
          <w:rFonts w:ascii="Times New Roman" w:hAnsi="Times New Roman" w:eastAsia="Times New Roman"/>
          <w:sz w:val="24"/>
        </w:rPr>
        <w:t>Which error-type labels should be allowed during adjudication, and which should remain free-text until enough cases accumulate?</w:t>
      </w:r>
    </w:p>
    <w:p>
      <w:pPr>
        <w:pStyle w:val="ListBullet"/>
        <w:spacing w:line="480" w:lineRule="exact" w:after="0"/>
      </w:pPr>
      <w:r>
        <w:rPr>
          <w:rFonts w:ascii="Times New Roman" w:hAnsi="Times New Roman" w:eastAsia="Times New Roman"/>
          <w:sz w:val="24"/>
        </w:rPr>
        <w:t>Will the final public dataset include source excerpts, or only source locations and source-evidence summaries?</w:t>
      </w:r>
    </w:p>
    <w:p>
      <w:pPr>
        <w:pStyle w:val="ListBullet"/>
        <w:spacing w:line="480" w:lineRule="exact" w:after="0"/>
      </w:pPr>
      <w:r>
        <w:rPr>
          <w:rFonts w:ascii="Times New Roman" w:hAnsi="Times New Roman" w:eastAsia="Times New Roman"/>
          <w:sz w:val="24"/>
        </w:rPr>
        <w:t>What noninferiority margin, if any, should be prespecified for later AI comparison?</w:t>
      </w:r>
    </w:p>
    <w:p>
      <w:pPr>
        <w:pStyle w:val="ListBullet"/>
        <w:spacing w:line="480" w:lineRule="exact" w:after="0"/>
      </w:pPr>
      <w:r>
        <w:rPr>
          <w:rFonts w:ascii="Times New Roman" w:hAnsi="Times New Roman" w:eastAsia="Times New Roman"/>
          <w:sz w:val="24"/>
        </w:rPr>
        <w:t>Which completed Phase 2 raw workbooks are the freeze candidates, and are they share-safe enough to commit or only hash-document locally?</w:t>
      </w:r>
    </w:p>
    <w:p>
      <w:pPr>
        <w:sectPr>
          <w:pgSz w:w="12240" w:h="15840"/>
          <w:pgMar w:top="1440" w:right="1440" w:bottom="1440" w:left="1440" w:header="720" w:footer="720" w:gutter="0"/>
          <w:cols w:space="720"/>
          <w:docGrid w:linePitch="360"/>
        </w:sectPr>
      </w:pPr>
    </w:p>
    <w:p>
      <w:pPr>
        <w:pStyle w:val="Heading1"/>
        <w:spacing w:line="480" w:lineRule="exact" w:before="0" w:after="0"/>
      </w:pPr>
      <w:r>
        <w:rPr>
          <w:rFonts w:ascii="Times New Roman" w:hAnsi="Times New Roman" w:eastAsia="Times New Roman"/>
          <w:sz w:val="24"/>
        </w:rPr>
        <w:t>References</w:t>
      </w:r>
    </w:p>
    <w:p>
      <w:pPr>
        <w:spacing w:line="480" w:lineRule="exact" w:before="0" w:after="0"/>
        <w:ind w:hanging="720" w:left="720"/>
      </w:pPr>
      <w:r>
        <w:rPr>
          <w:rFonts w:ascii="Times New Roman" w:hAnsi="Times New Roman" w:eastAsia="Times New Roman"/>
          <w:sz w:val="24"/>
        </w:rPr>
        <w:t>American Psychological Association. (2020). Publication manual of the American Psychological Association (7th ed.). American Psychological Association.</w:t>
      </w:r>
    </w:p>
    <w:p>
      <w:pPr>
        <w:spacing w:line="480" w:lineRule="exact" w:before="0" w:after="0"/>
        <w:ind w:hanging="720" w:left="720"/>
      </w:pPr>
      <w:r>
        <w:rPr>
          <w:rFonts w:ascii="Times New Roman" w:hAnsi="Times New Roman" w:eastAsia="Times New Roman"/>
          <w:sz w:val="24"/>
        </w:rPr>
        <w:t>Cheung, M. W.-L. (2015). Meta-analytic structural equation modeling. Wiley.</w:t>
      </w:r>
    </w:p>
    <w:p>
      <w:pPr>
        <w:spacing w:line="480" w:lineRule="exact" w:before="0" w:after="0"/>
        <w:ind w:hanging="720" w:left="720"/>
      </w:pPr>
      <w:r>
        <w:rPr>
          <w:rFonts w:ascii="Times New Roman" w:hAnsi="Times New Roman" w:eastAsia="Times New Roman"/>
          <w:sz w:val="24"/>
        </w:rPr>
        <w:t>Page, M. J., McKenzie, J. E., Bossuyt, P. M., Boutron, I., Hoffmann, T. C., Mulrow, C. D., Shamseer, L., Tetzlaff, J. M., Akl, E. A., Brennan, S. E., Chou, R., Glanville, J., Grimshaw, J. M., Hrobjartsson, A., Lalu, M. M., Li, T., Loder, E. W., Mayo-Wilson, E., McDonald, S., ... Moher, D. (2021). The PRISMA 2020 statement: An updated guideline for reporting systematic reviews. BMJ, 372, Article n71. https://doi.org/10.1136/bmj.n71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 w:pos="9360" w:val="right"/>
        <w:tab w:pos="9360" w:val="right"/>
      </w:tabs>
    </w:pPr>
    <w:r/>
    <w:r>
      <w:rPr>
        <w:rFonts w:ascii="Times New Roman" w:hAnsi="Times New Roman" w:eastAsia="Times New Roman"/>
        <w:sz w:val="24"/>
      </w:rPr>
      <w:t>TASK-CONTINGENT DISAGREEMENT</w:t>
      <w:tab/>
    </w: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exact"/>
      <w:jc w:val="center"/>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exact"/>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exact"/>
      <w:outlineLvl w:val="2"/>
    </w:pPr>
    <w:rPr>
      <w:rFonts w:asciiTheme="majorHAnsi" w:eastAsiaTheme="majorEastAsia" w:hAnsiTheme="majorHAnsi" w:cstheme="majorBidi" w:ascii="Times New Roman" w:hAnsi="Times New Roman" w:eastAsia="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Task-Contingent Disagreement in AI-Assisted MASEM Evidence Coding</dc:title>
  <dc:subject>APA 7 research structure brief for a methodological paper</dc:subject>
  <dc:creator>Hosung You</dc:creator>
  <cp:keywords>AI-assisted coding; MASEM; data extraction; adjudication; disagreement taxonomy</cp:keywords>
  <dc:description>generated by python-docx</dc:description>
  <cp:lastModifiedBy/>
  <cp:revision>1</cp:revision>
  <dcterms:created xsi:type="dcterms:W3CDTF">2013-12-23T23:15:00Z</dcterms:created>
  <dcterms:modified xsi:type="dcterms:W3CDTF">2013-12-23T23:15:00Z</dcterms:modified>
  <cp:category/>
</cp:coreProperties>
</file>