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b/>
          <w:bCs/>
          <w:color w:val="264653"/>
          <w:sz w:val="40"/>
          <w:szCs w:val="40"/>
        </w:rPr>
        <w:t xml:space="preserve">PromptCal-PTQ 실험 보고서</w:t>
      </w:r>
    </w:p>
    <w:p>
      <w:pPr>
        <w:spacing w:after="40"/>
        <w:jc w:val="center"/>
      </w:pPr>
      <w:r>
        <w:rPr>
          <w:color w:val="2a9d8f"/>
          <w:sz w:val="24"/>
          <w:szCs w:val="24"/>
        </w:rPr>
        <w:t xml:space="preserve">YOLO-World v1 (small · medium) 양자화의 의미적 의사결정 손상 분석</w:t>
      </w:r>
    </w:p>
    <w:p>
      <w:pPr>
        <w:spacing w:after="300"/>
        <w:jc w:val="center"/>
      </w:pPr>
      <w:r>
        <w:rPr>
          <w:i/>
          <w:iCs/>
          <w:color w:val="8d99ae"/>
          <w:sz w:val="18"/>
          <w:szCs w:val="18"/>
        </w:rPr>
        <w:t xml:space="preserve">국면 A(발판) · B(고정 프롬프트 손상) · C(프롬프트 축 손상) · D(강한 baseline)</w:t>
      </w:r>
    </w:p>
    <w:p>
      <w:pPr>
        <w:pStyle w:val="Heading1"/>
        <w:spacing w:after="120" w:before="240"/>
      </w:pPr>
      <w:r>
        <w:rPr>
          <w:color w:val="264653"/>
        </w:rPr>
        <w:t xml:space="preserve">0. 한눈에 보는 요약</w:t>
      </w:r>
    </w:p>
    <w:p>
      <w:pPr>
        <w:spacing w:after="120" w:line="276"/>
      </w:pPr>
      <w:r>
        <w:rPr>
          <w:b/>
          <w:bCs/>
        </w:rPr>
        <w:t xml:space="preserve">연구 질문. </w:t>
      </w:r>
      <w:r>
        <w:t xml:space="preserve">open-vocabulary detector(YOLO-World)를 W8A8로 양자화하면 무엇이 손상되는가? </w:t>
      </w:r>
      <w:r>
        <w:t xml:space="preserve">우리는 손상이 detection 총량 지표(AP)가 아니라 </w:t>
      </w:r>
      <w:r>
        <w:rPr>
          <w:b/>
          <w:bCs/>
        </w:rPr>
        <w:t xml:space="preserve">region-prompt 의미적 의사결정</w:t>
      </w:r>
      <w:r>
        <w:t xml:space="preserve"> 축에서 일어나며, 기존 강한 PTQ 방법들이 이를 지키지 못함을 v1의 두 크기(s, m)에서 입증한다.</w:t>
      </w:r>
    </w:p>
    <w:p>
      <w:pPr>
        <w:spacing w:after="120" w:line="276"/>
      </w:pPr>
      <w:r>
        <w:rPr>
          <w:b/>
          <w:bCs/>
        </w:rPr>
        <w:t xml:space="preserve">핵심 결론. </w:t>
      </w:r>
      <w:r>
        <w:t xml:space="preserve">(1) 양자화 손상은 의사결정 경계(작은 margin)에 집중된다. </w:t>
      </w:r>
      <w:r>
        <w:t xml:space="preserve">(2) 손상은 무작위가 아니라 의미적으로 가까운 프롬프트로 향한다(substitution). </w:t>
      </w:r>
      <w:r>
        <w:t xml:space="preserve">(3) calibration에서 안 본 프롬프트(held-out)와 대량 vocabulary(LVIS)에서 손상이 급증한다. </w:t>
      </w:r>
      <w:r>
        <w:t xml:space="preserve">(4) 이 프롬프트 축 손상은 모델 크기와 무관하게 성립하며 오히려 클수록 커진다. </w:t>
      </w:r>
      <w:r>
        <w:t xml:space="preserve">(5) AdaRound·BRECQ·QDrop·PD-Quant 등 강한 baseline 모두 held-out 손상의 80% 이상을 남긴다.</w:t>
      </w:r>
    </w:p>
    <w:p>
      <w:pPr>
        <w:spacing w:after="80" w:before="120"/>
      </w:pPr>
      <w:r>
        <w:rPr>
          <w:b/>
          <w:bCs/>
        </w:rPr>
        <w:t xml:space="preserve">표 0. 세 모델 핵심 지표 요약</w:t>
      </w:r>
    </w:p>
    <w:tbl>
      <w:tblPr>
        <w:tblW w:type="dxa" w:w="8400"/>
        <w:tblBorders>
          <w:top w:val="single" w:color="CCCCCC" w:sz="4"/>
          <w:left w:val="none"/>
          <w:bottom w:val="single" w:color="CCCCCC" w:sz="4"/>
          <w:right w:val="none"/>
          <w:insideH w:val="single" w:color="E0E0E0" w:sz="2"/>
          <w:insideV w:val="none"/>
        </w:tblBorders>
      </w:tblPr>
      <w:tblGrid>
        <w:gridCol w:w="2400"/>
        <w:gridCol w:w="2000"/>
        <w:gridCol w:w="2000"/>
        <w:gridCol w:w="2000"/>
      </w:tblGrid>
      <w:tr>
        <w:trPr>
          <w:tblHeader/>
        </w:trPr>
        <w:tc>
          <w:tcPr>
            <w:tcW w:type="dxa" w:w="2400"/>
            <w:shd w:fill="26465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tcW w:type="dxa" w:w="2000"/>
            <w:shd w:fill="26465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v2 (참고)</w:t>
            </w:r>
          </w:p>
        </w:tc>
        <w:tc>
          <w:tcPr>
            <w:tcW w:type="dxa" w:w="2000"/>
            <w:shd w:fill="26465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v1-s</w:t>
            </w:r>
          </w:p>
        </w:tc>
        <w:tc>
          <w:tcPr>
            <w:tcW w:type="dxa" w:w="2000"/>
            <w:shd w:fill="26465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v1-m</w:t>
            </w:r>
          </w:p>
        </w:tc>
      </w:tr>
      <w:tr>
        <w:tc>
          <w:tcPr>
            <w:tcW w:type="dxa" w:w="2400"/>
            <w:shd w:fill="f0f3f5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FP32 mAP</w:t>
            </w:r>
          </w:p>
        </w:tc>
        <w:tc>
          <w:tcPr>
            <w:tcW w:type="dxa" w:w="2000"/>
            <w:shd w:fill="f0f3f5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37.8</w:t>
            </w:r>
          </w:p>
        </w:tc>
        <w:tc>
          <w:tcPr>
            <w:tcW w:type="dxa" w:w="2000"/>
            <w:shd w:fill="f0f3f5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37.4</w:t>
            </w:r>
          </w:p>
        </w:tc>
        <w:tc>
          <w:tcPr>
            <w:tcW w:type="dxa" w:w="2000"/>
            <w:shd w:fill="f0f3f5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41.5</w:t>
            </w:r>
          </w:p>
        </w:tc>
      </w:tr>
      <w:tr>
        <w:tc>
          <w:tcPr>
            <w:tcW w:type="dxa" w:w="24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W8A8 AP 하락</w:t>
            </w:r>
          </w:p>
        </w:tc>
        <w:tc>
          <w:tcPr>
            <w:tcW w:type="dxa" w:w="20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−0.5</w:t>
            </w:r>
          </w:p>
        </w:tc>
        <w:tc>
          <w:tcPr>
            <w:tcW w:type="dxa" w:w="20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−3.5</w:t>
            </w:r>
          </w:p>
        </w:tc>
        <w:tc>
          <w:tcPr>
            <w:tcW w:type="dxa" w:w="20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−13.7</w:t>
            </w:r>
          </w:p>
        </w:tc>
      </w:tr>
      <w:tr>
        <w:tc>
          <w:tcPr>
            <w:tcW w:type="dxa" w:w="2400"/>
            <w:shd w:fill="f0f3f5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substitution 편향</w:t>
            </w:r>
          </w:p>
        </w:tc>
        <w:tc>
          <w:tcPr>
            <w:tcW w:type="dxa" w:w="2000"/>
            <w:shd w:fill="f0f3f5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10.9×</w:t>
            </w:r>
          </w:p>
        </w:tc>
        <w:tc>
          <w:tcPr>
            <w:tcW w:type="dxa" w:w="2000"/>
            <w:shd w:fill="f0f3f5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9.6×</w:t>
            </w:r>
          </w:p>
        </w:tc>
        <w:tc>
          <w:tcPr>
            <w:tcW w:type="dxa" w:w="2000"/>
            <w:shd w:fill="f0f3f5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10.1×</w:t>
            </w:r>
          </w:p>
        </w:tc>
      </w:tr>
      <w:tr>
        <w:tc>
          <w:tcPr>
            <w:tcW w:type="dxa" w:w="24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held-out flip</w:t>
            </w:r>
          </w:p>
        </w:tc>
        <w:tc>
          <w:tcPr>
            <w:tcW w:type="dxa" w:w="20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7.2%</w:t>
            </w:r>
          </w:p>
        </w:tc>
        <w:tc>
          <w:tcPr>
            <w:tcW w:type="dxa" w:w="20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10.8%</w:t>
            </w:r>
          </w:p>
        </w:tc>
        <w:tc>
          <w:tcPr>
            <w:tcW w:type="dxa" w:w="20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e76f51"/>
                <w:sz w:val="18"/>
                <w:szCs w:val="18"/>
              </w:rPr>
              <w:t xml:space="preserve">15.8%</w:t>
            </w:r>
          </w:p>
        </w:tc>
      </w:tr>
      <w:tr>
        <w:tc>
          <w:tcPr>
            <w:tcW w:type="dxa" w:w="2400"/>
            <w:shd w:fill="f0f3f5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LVIS flip</w:t>
            </w:r>
          </w:p>
        </w:tc>
        <w:tc>
          <w:tcPr>
            <w:tcW w:type="dxa" w:w="2000"/>
            <w:shd w:fill="f0f3f5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4.28%</w:t>
            </w:r>
          </w:p>
        </w:tc>
        <w:tc>
          <w:tcPr>
            <w:tcW w:type="dxa" w:w="2000"/>
            <w:shd w:fill="f0f3f5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6.12%</w:t>
            </w:r>
          </w:p>
        </w:tc>
        <w:tc>
          <w:tcPr>
            <w:tcW w:type="dxa" w:w="2000"/>
            <w:shd w:fill="f0f3f5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e76f51"/>
                <w:sz w:val="18"/>
                <w:szCs w:val="18"/>
              </w:rPr>
              <w:t xml:space="preserve">16.22%</w:t>
            </w:r>
          </w:p>
        </w:tc>
      </w:tr>
      <w:tr>
        <w:tc>
          <w:tcPr>
            <w:tcW w:type="dxa" w:w="24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baseline held-out 잔존</w:t>
            </w:r>
          </w:p>
        </w:tc>
        <w:tc>
          <w:tcPr>
            <w:tcW w:type="dxa" w:w="20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80–85%</w:t>
            </w:r>
          </w:p>
        </w:tc>
        <w:tc>
          <w:tcPr>
            <w:tcW w:type="dxa" w:w="20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91%</w:t>
            </w:r>
          </w:p>
        </w:tc>
        <w:tc>
          <w:tcPr>
            <w:tcW w:type="dxa" w:w="20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80–83%</w:t>
            </w:r>
          </w:p>
        </w:tc>
      </w:tr>
    </w:tbl>
    <w:p>
      <w:pPr>
        <w:spacing w:after="200"/>
        <w:jc w:val="center"/>
      </w:pPr>
      <w:r>
        <w:rPr>
          <w:i/>
          <w:iCs/>
          <w:color w:val="8d99ae"/>
          <w:sz w:val="18"/>
          <w:szCs w:val="18"/>
        </w:rPr>
        <w:t xml:space="preserve">v2는 이전 세션의 참고값(보류). 본 보고서는 v1-s와 v1-m에 집중한다.</w:t>
      </w:r>
    </w:p>
    <w:p>
      <w:r>
        <w:br w:type="page"/>
      </w:r>
    </w:p>
    <w:p>
      <w:pPr>
        <w:pStyle w:val="Heading1"/>
        <w:spacing w:after="120" w:before="240"/>
      </w:pPr>
      <w:r>
        <w:rPr>
          <w:color w:val="264653"/>
        </w:rPr>
        <w:t xml:space="preserve">1. 실험 설정과 측정 도구</w:t>
      </w:r>
    </w:p>
    <w:p>
      <w:pPr>
        <w:pStyle w:val="Heading2"/>
        <w:spacing w:after="120" w:before="240"/>
      </w:pPr>
      <w:r>
        <w:rPr>
          <w:color w:val="264653"/>
        </w:rPr>
        <w:t xml:space="preserve">1.1 모델과 데이터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모델: </w:t>
      </w:r>
      <w:r>
        <w:t xml:space="preserve">yolov8s-world (v1-s, 249 layers, 165M params), yolov8m-world (v1-m, 269 layers, 180M params). 둘 다 WorldDetect head에 ContrastiveHead(cv4) 3개.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데이터: </w:t>
      </w:r>
      <w:r>
        <w:t xml:space="preserve">COCO val2017 (5000장). calibration은 vision-only(프롬프트 무관). LVIS 1203 프롬프트는 vocabulary 확장 실험용.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양자화: </w:t>
      </w:r>
      <w:r>
        <w:t xml:space="preserve">커스텀 fake-quant. weight per-channel symmetric int8, activation per-tensor asymmetric int8. fuse→wrap→calibrate 순. DFL·cv4 제외.</w:t>
      </w:r>
    </w:p>
    <w:p>
      <w:pPr>
        <w:pStyle w:val="Heading2"/>
        <w:spacing w:after="120" w:before="240"/>
      </w:pPr>
      <w:r>
        <w:rPr>
          <w:color w:val="264653"/>
        </w:rPr>
        <w:t xml:space="preserve">1.2 핵심 측정 도구: SimilarityHarness</w:t>
      </w:r>
    </w:p>
    <w:p>
      <w:pPr>
        <w:spacing w:after="120" w:line="276"/>
      </w:pPr>
      <w:r>
        <w:t xml:space="preserve">모든 의미적 측정의 기반은 </w:t>
      </w:r>
      <w:r>
        <w:rPr>
          <w:b/>
          <w:bCs/>
        </w:rPr>
        <w:t xml:space="preserve">SimilarityHarness</w:t>
      </w:r>
      <w:r>
        <w:t xml:space="preserve">다. WorldDetect head의 cv4(ContrastiveHead)에 forward hook을 걸어, 각 앵커×프롬프트의 pre-sigmoid 유사도 행렬 </w:t>
      </w:r>
      <w:r>
        <w:t xml:space="preserve">[8400, P]를 캡처한다. cv4는 양자화하지 않아 측정 대상이 순수하게 유지된다. </w:t>
      </w:r>
      <w:r>
        <w:rPr>
          <w:b/>
          <w:bCs/>
        </w:rPr>
        <w:t xml:space="preserve">v1-s와 v1-m 모두 이 harness가 코드 수정 없이 작동함을 확인했다</w:t>
      </w:r>
      <w:r>
        <w:t xml:space="preserve"> (cv4 3개, 유사도 [8400,80], 최고 앵커가 상식적 클래스로 잡힘).</w:t>
      </w:r>
    </w:p>
    <w:p>
      <w:pPr>
        <w:pStyle w:val="Heading2"/>
        <w:spacing w:after="120" w:before="240"/>
      </w:pPr>
      <w:r>
        <w:rPr>
          <w:color w:val="264653"/>
        </w:rPr>
        <w:t xml:space="preserve">1.3 flip 지표의 정의</w:t>
      </w:r>
    </w:p>
    <w:p>
      <w:pPr>
        <w:spacing w:after="120" w:line="276"/>
      </w:pPr>
      <w:r>
        <w:t xml:space="preserve">본 보고서의 모든 손상 지표는 </w:t>
      </w:r>
      <w:r>
        <w:rPr>
          <w:b/>
          <w:bCs/>
        </w:rPr>
        <w:t xml:space="preserve">FP32 예측을 기준(pseudo-GT)으로 한 양자화 모델의 의사결정 변화율(flip)</w:t>
      </w:r>
      <w:r>
        <w:t xml:space="preserve">이다. confident region(FP maxprob&gt;0.25)에서 양자화 모델의 top-1 프롬프트가 FP와 달라지면 flip으로 센다. </w:t>
      </w:r>
      <w:r>
        <w:t xml:space="preserve">이는 AP와 독립적이며, 양자화가 '어떤 영역을 무엇으로 잘못 판정하는가'를 직접 본다.</w:t>
      </w:r>
    </w:p>
    <w:p>
      <w:r>
        <w:br w:type="page"/>
      </w:r>
    </w:p>
    <w:p>
      <w:pPr>
        <w:pStyle w:val="Heading1"/>
        <w:spacing w:after="120" w:before="240"/>
      </w:pPr>
      <w:r>
        <w:rPr>
          <w:color w:val="264653"/>
        </w:rPr>
        <w:t xml:space="preserve">2. 국면 A — 발판: baseline 재현과 harness 검증</w:t>
      </w:r>
    </w:p>
    <w:p>
      <w:pPr>
        <w:spacing w:after="120" w:line="276"/>
      </w:pPr>
      <w:r>
        <w:rPr>
          <w:b/>
          <w:bCs/>
        </w:rPr>
        <w:t xml:space="preserve">무엇을 했나. </w:t>
      </w:r>
      <w:r>
        <w:t xml:space="preserve">v1-s와 v1-m을 로드해 (1) harness가 작동하는지(cv4 캡처·유사도 조립·전역 argmax가 모델 예측과 일치), (2) 공식 mAP를 pycocotools로 재현하는지 확인했다.</w:t>
      </w:r>
    </w:p>
    <w:p>
      <w:pPr>
        <w:spacing w:after="60" w:before="80"/>
      </w:pPr>
      <w:r>
        <w:rPr>
          <w:b/>
          <w:bCs/>
        </w:rPr>
        <w:t xml:space="preserve">결과.</w:t>
      </w:r>
    </w:p>
    <w:tbl>
      <w:tblPr>
        <w:tblW w:type="dxa" w:w="8400"/>
        <w:tblBorders>
          <w:top w:val="single" w:color="CCCCCC" w:sz="4"/>
          <w:left w:val="none"/>
          <w:bottom w:val="single" w:color="CCCCCC" w:sz="4"/>
          <w:right w:val="none"/>
          <w:insideH w:val="single" w:color="E0E0E0" w:sz="2"/>
          <w:insideV w:val="none"/>
        </w:tblBorders>
      </w:tblPr>
      <w:tblGrid>
        <w:gridCol w:w="2600"/>
        <w:gridCol w:w="2900"/>
        <w:gridCol w:w="2900"/>
      </w:tblGrid>
      <w:tr>
        <w:trPr>
          <w:tblHeader/>
        </w:trPr>
        <w:tc>
          <w:tcPr>
            <w:tcW w:type="dxa" w:w="2600"/>
            <w:shd w:fill="26465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900"/>
            <w:shd w:fill="26465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v1-s</w:t>
            </w:r>
          </w:p>
        </w:tc>
        <w:tc>
          <w:tcPr>
            <w:tcW w:type="dxa" w:w="2900"/>
            <w:shd w:fill="26465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v1-m</w:t>
            </w:r>
          </w:p>
        </w:tc>
      </w:tr>
      <w:tr>
        <w:tc>
          <w:tcPr>
            <w:tcW w:type="dxa" w:w="2600"/>
            <w:shd w:fill="f0f3f5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head 타입</w:t>
            </w:r>
          </w:p>
        </w:tc>
        <w:tc>
          <w:tcPr>
            <w:tcW w:type="dxa" w:w="2900"/>
            <w:shd w:fill="f0f3f5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WorldDetect (cv4 3개)</w:t>
            </w:r>
          </w:p>
        </w:tc>
        <w:tc>
          <w:tcPr>
            <w:tcW w:type="dxa" w:w="2900"/>
            <w:shd w:fill="f0f3f5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WorldDetect (cv4 3개)</w:t>
            </w:r>
          </w:p>
        </w:tc>
      </w:tr>
      <w:tr>
        <w:tc>
          <w:tcPr>
            <w:tcW w:type="dxa" w:w="26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유사도 행렬</w:t>
            </w:r>
          </w:p>
        </w:tc>
        <w:tc>
          <w:tcPr>
            <w:tcW w:type="dxa" w:w="29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[8400, 80]</w:t>
            </w:r>
          </w:p>
        </w:tc>
        <w:tc>
          <w:tcPr>
            <w:tcW w:type="dxa" w:w="29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[8400, 80]</w:t>
            </w:r>
          </w:p>
        </w:tc>
      </w:tr>
      <w:tr>
        <w:tc>
          <w:tcPr>
            <w:tcW w:type="dxa" w:w="2600"/>
            <w:shd w:fill="f0f3f5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최고 앵커 클래스</w:t>
            </w:r>
          </w:p>
        </w:tc>
        <w:tc>
          <w:tcPr>
            <w:tcW w:type="dxa" w:w="2900"/>
            <w:shd w:fill="f0f3f5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tv (p=0.93)</w:t>
            </w:r>
          </w:p>
        </w:tc>
        <w:tc>
          <w:tcPr>
            <w:tcW w:type="dxa" w:w="2900"/>
            <w:shd w:fill="f0f3f5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tv (p=0.95)</w:t>
            </w:r>
          </w:p>
        </w:tc>
      </w:tr>
      <w:tr>
        <w:tc>
          <w:tcPr>
            <w:tcW w:type="dxa" w:w="26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mAP@[.5:.95]</w:t>
            </w:r>
          </w:p>
        </w:tc>
        <w:tc>
          <w:tcPr>
            <w:tcW w:type="dxa" w:w="29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37.4 (공식 37.4)</w:t>
            </w:r>
          </w:p>
        </w:tc>
        <w:tc>
          <w:tcPr>
            <w:tcW w:type="dxa" w:w="29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41.5</w:t>
            </w:r>
          </w:p>
        </w:tc>
      </w:tr>
      <w:tr>
        <w:tc>
          <w:tcPr>
            <w:tcW w:type="dxa" w:w="2600"/>
            <w:shd w:fill="f0f3f5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mAP50 / mAP75</w:t>
            </w:r>
          </w:p>
        </w:tc>
        <w:tc>
          <w:tcPr>
            <w:tcW w:type="dxa" w:w="2900"/>
            <w:shd w:fill="f0f3f5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52.0 / 40.6</w:t>
            </w:r>
          </w:p>
        </w:tc>
        <w:tc>
          <w:tcPr>
            <w:tcW w:type="dxa" w:w="2900"/>
            <w:shd w:fill="f0f3f5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56.3 / 45.1</w:t>
            </w:r>
          </w:p>
        </w:tc>
      </w:tr>
    </w:tbl>
    <w:p>
      <w:pPr>
        <w:spacing w:after="200"/>
        <w:jc w:val="center"/>
      </w:pPr>
      <w:r>
        <w:rPr>
          <w:i/>
          <w:iCs/>
          <w:color w:val="8d99ae"/>
          <w:sz w:val="18"/>
          <w:szCs w:val="18"/>
        </w:rPr>
        <w:t xml:space="preserve">A: harness 호환·baseline 재현 모두 통과. v1 파이프라인 건강 확인.</w:t>
      </w:r>
    </w:p>
    <w:p>
      <w:pPr>
        <w:spacing w:after="120" w:line="276"/>
      </w:pPr>
      <w:r>
        <w:rPr>
          <w:b/>
          <w:bCs/>
        </w:rPr>
        <w:t xml:space="preserve">어떻게 대응했나. </w:t>
      </w:r>
      <w:r>
        <w:t xml:space="preserve">v1은 원래 v2에서 검증한 파이프라인을 옮긴 것이므로, harness 검증(구 02단계)은 전용 진단(00b)으로 압축하고, </w:t>
      </w:r>
      <w:r>
        <w:t xml:space="preserve">naive flip 요약(구 03단계)은 더 상세한 margin 곡선(03c)으로 대체했다. mAP가 공식값과 정확히 일치해 </w:t>
      </w:r>
      <w:r>
        <w:rPr>
          <w:b/>
          <w:bCs/>
        </w:rPr>
        <w:t xml:space="preserve">두 모델 모두 A를 통과</w:t>
      </w:r>
      <w:r>
        <w:t xml:space="preserve">하고 B로 진행했다.</w:t>
      </w:r>
    </w:p>
    <w:p>
      <w:r>
        <w:br w:type="page"/>
      </w:r>
    </w:p>
    <w:p>
      <w:pPr>
        <w:pStyle w:val="Heading1"/>
        <w:spacing w:after="120" w:before="240"/>
      </w:pPr>
      <w:r>
        <w:rPr>
          <w:color w:val="264653"/>
        </w:rPr>
        <w:t xml:space="preserve">3. 국면 B — 고정 프롬프트(COCO-80)에서의 양자화 손상</w:t>
      </w:r>
    </w:p>
    <w:p>
      <w:pPr>
        <w:spacing w:after="120" w:line="276"/>
      </w:pPr>
      <w:r>
        <w:rPr>
          <w:b/>
          <w:bCs/>
        </w:rPr>
        <w:t xml:space="preserve">무엇을 했나. </w:t>
      </w:r>
      <w:r>
        <w:t xml:space="preserve">고정된 COCO-80 프롬프트로 naive W8A8 양자화를 적용하고, (1) AP가 얼마나 떨어지는지(03b), </w:t>
      </w:r>
      <w:r>
        <w:t xml:space="preserve">(2) 손상이 의사결정 경계에 집중되는지를 margin 구간별 flip으로(03c) 측정했다.</w:t>
      </w:r>
    </w:p>
    <w:p>
      <w:pPr>
        <w:pStyle w:val="Heading2"/>
        <w:spacing w:after="120" w:before="240"/>
      </w:pPr>
      <w:r>
        <w:rPr>
          <w:color w:val="264653"/>
        </w:rPr>
        <w:t xml:space="preserve">3.1 양자화 AP — 예상과 다른 큰 하락</w:t>
      </w:r>
    </w:p>
    <w:p>
      <w:pPr>
        <w:spacing w:after="120" w:line="276"/>
      </w:pPr>
      <w:r>
        <w:t xml:space="preserve">v1-s는 AP가 37.4→33.9 (−3.5), v1-m은 41.5→27.5 (</w:t>
      </w:r>
      <w:r>
        <w:rPr>
          <w:b/>
          <w:bCs/>
        </w:rPr>
        <w:t xml:space="preserve">−13.7</w:t>
      </w:r>
      <w:r>
        <w:t xml:space="preserve">)로 떨어졌다. 이는 v2(−0.5)보다 훨씬 크다. </w:t>
      </w:r>
      <w:r>
        <w:rPr>
          <w:b/>
          <w:bCs/>
        </w:rPr>
        <w:t xml:space="preserve">이 지점에서 우리 논지('AP는 거의 안 떨어지는데 의사결정은 무너진다')가 위협받는 것처럼 보였다.</w:t>
      </w:r>
      <w:r>
        <w:t xml:space="preserve"> </w:t>
      </w:r>
    </w:p>
    <w:p>
      <w:pPr>
        <w:spacing w:after="120" w:line="276"/>
      </w:pPr>
      <w:r>
        <w:rPr>
          <w:b/>
          <w:bCs/>
        </w:rPr>
        <w:t xml:space="preserve">원인 규명 과정(중요). </w:t>
      </w:r>
      <w:r>
        <w:t xml:space="preserve">우리는 이 하락의 원인을 단계적으로 추적했다: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가설 1 — projection 레이어. </w:t>
      </w:r>
      <w:r>
        <w:t xml:space="preserve">v1의 vision-text projection(model.16.projections)을 양자화에서 제외 → AP 변화 없음(33.9 그대로). 기각.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가설 2 — cv4 양자화. </w:t>
      </w:r>
      <w:r>
        <w:t xml:space="preserve">cv4는 원래 양자화 대상이 아님을 재확인. 기각.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가설 3 — 특정 outlier 레이어(v1-m). </w:t>
      </w:r>
      <w:r>
        <w:t xml:space="preserve">레이어별 단독 양자화 민감도 측정(00d) → 최악 레이어도 confident flip 0.32%, outlier 없음. 기각.</w:t>
      </w:r>
    </w:p>
    <w:p>
      <w:pPr>
        <w:spacing w:after="120" w:line="276"/>
      </w:pPr>
      <w:r>
        <w:rPr>
          <w:b/>
          <w:bCs/>
        </w:rPr>
        <w:t xml:space="preserve">결론. </w:t>
      </w:r>
      <w:r>
        <w:t xml:space="preserve">v1-s의 AP 하락은 아키텍처 전반의 양자화 취약성이고, v1-m의 −13.7은 </w:t>
      </w:r>
      <w:r>
        <w:rPr>
          <w:b/>
          <w:bCs/>
        </w:rPr>
        <w:t xml:space="preserve">box localization 축의 손상</w:t>
      </w:r>
      <w:r>
        <w:t xml:space="preserve">이다. 결정적 증거: v1-m 전체 양자화 시 confident flip(=의미적 의사결정)은 0.95%로 멀쩡했다. </w:t>
      </w:r>
      <w:r>
        <w:t xml:space="preserve">즉 AP는 크게 떨어져도 우리가 보는 semantic 축은 건강하다.</w:t>
      </w:r>
    </w:p>
    <w:p>
      <w:pPr>
        <w:pStyle w:val="Heading2"/>
        <w:spacing w:after="120" w:before="240"/>
      </w:pPr>
      <w:r>
        <w:rPr>
          <w:color w:val="264653"/>
        </w:rPr>
        <w:t xml:space="preserve">3.2 margin별 flip — 경계 집중 손상</w:t>
      </w:r>
    </w:p>
    <w:p>
      <w:pPr>
        <w:spacing w:after="120" w:line="276"/>
      </w:pPr>
      <w:r>
        <w:t xml:space="preserve">v1-s에서 손상은 의사결정 경계에 깨끗하게 집중된다: margin&lt;0.1에서 flip </w:t>
      </w:r>
      <w:r>
        <w:rPr>
          <w:b/>
          <w:bCs/>
        </w:rPr>
        <w:t xml:space="preserve">69.9%</w:t>
      </w:r>
      <w:r>
        <w:t xml:space="preserve">, margin이 커질수록 단조 감소하여 margin&gt;8에서 0%. </w:t>
      </w:r>
      <w:r>
        <w:t xml:space="preserve">즉 top-1과 top-2가 팽팽히 경쟁하는(작은 margin) 앵커일수록 양자화로 뒤집힌다.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8d99ae"/>
          <w:sz w:val="18"/>
          <w:szCs w:val="18"/>
        </w:rPr>
        <w:t xml:space="preserve">그림 B. margin별 top-1 flip. v1-s(왼쪽)는 깨끗한 단조 감소. v1-m(오른쪽)은 배경 앵커(maxprob&lt;0.05가 56%)가 첫 bin을 오염시켜 비단조로 보이나, margin 0.1–0.5 구간 flip 68%로 경계 집중 손상 자체는 존재.</w:t>
      </w:r>
    </w:p>
    <w:p>
      <w:pPr>
        <w:spacing w:after="120" w:line="276"/>
      </w:pPr>
      <w:r>
        <w:rPr>
          <w:b/>
          <w:bCs/>
        </w:rPr>
        <w:t xml:space="preserve">어떻게 대응했나. </w:t>
      </w:r>
      <w:r>
        <w:t xml:space="preserve">v1-m의 margin 곡선이 뒤죽박죽으로 나온 것은 배경 앵커 오염 때문임을 진단으로 확인했다. </w:t>
      </w:r>
      <w:r>
        <w:t xml:space="preserve">핵심 교훈은 다음 절(C)에서 드러난다 — </w:t>
      </w:r>
      <w:r>
        <w:rPr>
          <w:b/>
          <w:bCs/>
        </w:rPr>
        <w:t xml:space="preserve">B(AP·margin)에 머물지 않고 C(프롬프트 축)로 넘어가 판단해야 한다</w:t>
      </w:r>
      <w:r>
        <w:t xml:space="preserve">는 것이다. AP만 보면 v1을 잘못 포기할 뻔했다.</w:t>
      </w:r>
    </w:p>
    <w:p>
      <w:r>
        <w:br w:type="page"/>
      </w:r>
    </w:p>
    <w:p>
      <w:pPr>
        <w:pStyle w:val="Heading1"/>
        <w:spacing w:after="120" w:before="240"/>
      </w:pPr>
      <w:r>
        <w:rPr>
          <w:color w:val="264653"/>
        </w:rPr>
        <w:t xml:space="preserve">4. 국면 C — 프롬프트 축의 의미적 손상 (핵심 기여)</w:t>
      </w:r>
    </w:p>
    <w:p>
      <w:pPr>
        <w:spacing w:after="120" w:line="276"/>
      </w:pPr>
      <w:r>
        <w:rPr>
          <w:b/>
          <w:bCs/>
        </w:rPr>
        <w:t xml:space="preserve">무엇을 했나. </w:t>
      </w:r>
      <w:r>
        <w:t xml:space="preserve">양자화 flip이 무작위가 아니라 의미적 구조를 따름을 세 각도로 측정했다. </w:t>
      </w:r>
      <w:r>
        <w:t xml:space="preserve">모두 AP와 독립적인 프롬프트 축 지표이며, </w:t>
      </w:r>
      <w:r>
        <w:rPr>
          <w:b/>
          <w:bCs/>
        </w:rPr>
        <w:t xml:space="preserve">여기서 v1-s와 v1-m을 함께 측정</w:t>
      </w:r>
      <w:r>
        <w:t xml:space="preserve">해 크기 일반성을 확인했다.</w:t>
      </w:r>
    </w:p>
    <w:p>
      <w:pPr>
        <w:pStyle w:val="Heading2"/>
        <w:spacing w:after="120" w:before="240"/>
      </w:pPr>
      <w:r>
        <w:rPr>
          <w:color w:val="264653"/>
        </w:rPr>
        <w:t xml:space="preserve">4.1 C-1: semantic substitution</w:t>
      </w:r>
    </w:p>
    <w:p>
      <w:pPr>
        <w:spacing w:after="120" w:line="276"/>
      </w:pPr>
      <w:r>
        <w:t xml:space="preserve">confident region에서 flip이 일어날 때, 그 flip이 '의미적으로 가까운 프롬프트(top-5 이웃)'로 향하는 비율을 우연 기대치와 비교한다.</w:t>
      </w:r>
    </w:p>
    <w:tbl>
      <w:tblPr>
        <w:tblW w:type="dxa" w:w="8400"/>
        <w:tblBorders>
          <w:top w:val="single" w:color="CCCCCC" w:sz="4"/>
          <w:left w:val="none"/>
          <w:bottom w:val="single" w:color="CCCCCC" w:sz="4"/>
          <w:right w:val="none"/>
          <w:insideH w:val="single" w:color="E0E0E0" w:sz="2"/>
          <w:insideV w:val="none"/>
        </w:tblBorders>
      </w:tblPr>
      <w:tblGrid>
        <w:gridCol w:w="2600"/>
        <w:gridCol w:w="2900"/>
        <w:gridCol w:w="2900"/>
      </w:tblGrid>
      <w:tr>
        <w:trPr>
          <w:tblHeader/>
        </w:trPr>
        <w:tc>
          <w:tcPr>
            <w:tcW w:type="dxa" w:w="2600"/>
            <w:shd w:fill="26465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tcW w:type="dxa" w:w="2900"/>
            <w:shd w:fill="26465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v1-s</w:t>
            </w:r>
          </w:p>
        </w:tc>
        <w:tc>
          <w:tcPr>
            <w:tcW w:type="dxa" w:w="2900"/>
            <w:shd w:fill="26465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v1-m</w:t>
            </w:r>
          </w:p>
        </w:tc>
      </w:tr>
      <w:tr>
        <w:tc>
          <w:tcPr>
            <w:tcW w:type="dxa" w:w="2600"/>
            <w:shd w:fill="f0f3f5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confident regions</w:t>
            </w:r>
          </w:p>
        </w:tc>
        <w:tc>
          <w:tcPr>
            <w:tcW w:type="dxa" w:w="2900"/>
            <w:shd w:fill="f0f3f5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98,238</w:t>
            </w:r>
          </w:p>
        </w:tc>
        <w:tc>
          <w:tcPr>
            <w:tcW w:type="dxa" w:w="2900"/>
            <w:shd w:fill="f0f3f5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110,163</w:t>
            </w:r>
          </w:p>
        </w:tc>
      </w:tr>
      <w:tr>
        <w:tc>
          <w:tcPr>
            <w:tcW w:type="dxa" w:w="26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top-1 flip</w:t>
            </w:r>
          </w:p>
        </w:tc>
        <w:tc>
          <w:tcPr>
            <w:tcW w:type="dxa" w:w="29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786 (0.8%)</w:t>
            </w:r>
          </w:p>
        </w:tc>
        <w:tc>
          <w:tcPr>
            <w:tcW w:type="dxa" w:w="29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1,130 (1.0%)</w:t>
            </w:r>
          </w:p>
        </w:tc>
      </w:tr>
      <w:tr>
        <w:tc>
          <w:tcPr>
            <w:tcW w:type="dxa" w:w="2600"/>
            <w:shd w:fill="f0f3f5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flip → 의미적 이웃</w:t>
            </w:r>
          </w:p>
        </w:tc>
        <w:tc>
          <w:tcPr>
            <w:tcW w:type="dxa" w:w="2900"/>
            <w:shd w:fill="f0f3f5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60.8%</w:t>
            </w:r>
          </w:p>
        </w:tc>
        <w:tc>
          <w:tcPr>
            <w:tcW w:type="dxa" w:w="2900"/>
            <w:shd w:fill="f0f3f5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63.7%</w:t>
            </w:r>
          </w:p>
        </w:tc>
      </w:tr>
      <w:tr>
        <w:tc>
          <w:tcPr>
            <w:tcW w:type="dxa" w:w="26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우연 기대치</w:t>
            </w:r>
          </w:p>
        </w:tc>
        <w:tc>
          <w:tcPr>
            <w:tcW w:type="dxa" w:w="29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6.3%</w:t>
            </w:r>
          </w:p>
        </w:tc>
        <w:tc>
          <w:tcPr>
            <w:tcW w:type="dxa" w:w="29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6.3%</w:t>
            </w:r>
          </w:p>
        </w:tc>
      </w:tr>
      <w:tr>
        <w:tc>
          <w:tcPr>
            <w:tcW w:type="dxa" w:w="2600"/>
            <w:shd w:fill="f0f3f5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편향 배수</w:t>
            </w:r>
          </w:p>
        </w:tc>
        <w:tc>
          <w:tcPr>
            <w:tcW w:type="dxa" w:w="2900"/>
            <w:shd w:fill="f0f3f5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e76f51"/>
                <w:sz w:val="18"/>
                <w:szCs w:val="18"/>
              </w:rPr>
              <w:t xml:space="preserve">9.6×</w:t>
            </w:r>
          </w:p>
        </w:tc>
        <w:tc>
          <w:tcPr>
            <w:tcW w:type="dxa" w:w="2900"/>
            <w:shd w:fill="f0f3f5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e76f51"/>
                <w:sz w:val="18"/>
                <w:szCs w:val="18"/>
              </w:rPr>
              <w:t xml:space="preserve">10.1×</w:t>
            </w:r>
          </w:p>
        </w:tc>
      </w:tr>
    </w:tbl>
    <w:p>
      <w:pPr>
        <w:spacing w:after="200"/>
        <w:jc w:val="center"/>
      </w:pPr>
      <w:r>
        <w:rPr>
          <w:i/>
          <w:iCs/>
          <w:color w:val="8d99ae"/>
          <w:sz w:val="18"/>
          <w:szCs w:val="18"/>
        </w:rPr>
        <w:t xml:space="preserve">C-1: 두 모델 모두 flip이 우연의 ~10배로 의미적 이웃에 쏠림. 양자화가 semantic class substitution을 유발.</w:t>
      </w:r>
    </w:p>
    <w:p>
      <w:pPr>
        <w:pStyle w:val="Heading2"/>
        <w:spacing w:after="120" w:before="240"/>
      </w:pPr>
      <w:r>
        <w:rPr>
          <w:color w:val="264653"/>
        </w:rPr>
        <w:t xml:space="preserve">4.2 C-2: held-out vocabulary</w:t>
      </w:r>
    </w:p>
    <w:p>
      <w:pPr>
        <w:spacing w:after="120" w:line="276"/>
      </w:pPr>
      <w:r>
        <w:t xml:space="preserve">COCO-80을 K(seen)/H(held-out)로 분할하고, H열을 마스킹한 뒤 held-out 프롬프트에서의 flip을 seen과 비교한다(5 seeds). </w:t>
      </w:r>
      <w:r>
        <w:t xml:space="preserve">calibration에서 '안 본' 프롬프트에서 손상이 급증하는지를 본다.</w:t>
      </w:r>
    </w:p>
    <w:tbl>
      <w:tblPr>
        <w:tblW w:type="dxa" w:w="9300"/>
        <w:tblBorders>
          <w:top w:val="single" w:color="CCCCCC" w:sz="4"/>
          <w:left w:val="none"/>
          <w:bottom w:val="single" w:color="CCCCCC" w:sz="4"/>
          <w:right w:val="none"/>
          <w:insideH w:val="single" w:color="E0E0E0" w:sz="2"/>
          <w:insideV w:val="none"/>
        </w:tblBorders>
      </w:tblPr>
      <w:tblGrid>
        <w:gridCol w:w="1800"/>
        <w:gridCol w:w="1900"/>
        <w:gridCol w:w="2100"/>
        <w:gridCol w:w="1600"/>
        <w:gridCol w:w="1900"/>
      </w:tblGrid>
      <w:tr>
        <w:trPr>
          <w:tblHeader/>
        </w:trPr>
        <w:tc>
          <w:tcPr>
            <w:tcW w:type="dxa" w:w="1800"/>
            <w:shd w:fill="26465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모델</w:t>
            </w:r>
          </w:p>
        </w:tc>
        <w:tc>
          <w:tcPr>
            <w:tcW w:type="dxa" w:w="1900"/>
            <w:shd w:fill="26465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seen flip</w:t>
            </w:r>
          </w:p>
        </w:tc>
        <w:tc>
          <w:tcPr>
            <w:tcW w:type="dxa" w:w="2100"/>
            <w:shd w:fill="26465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held-out flip</w:t>
            </w:r>
          </w:p>
        </w:tc>
        <w:tc>
          <w:tcPr>
            <w:tcW w:type="dxa" w:w="1600"/>
            <w:shd w:fill="26465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악화배수</w:t>
            </w:r>
          </w:p>
        </w:tc>
        <w:tc>
          <w:tcPr>
            <w:tcW w:type="dxa" w:w="1900"/>
            <w:shd w:fill="26465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margin(seen→ho)</w:t>
            </w:r>
          </w:p>
        </w:tc>
      </w:tr>
      <w:tr>
        <w:tc>
          <w:tcPr>
            <w:tcW w:type="dxa" w:w="1800"/>
            <w:shd w:fill="f0f3f5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v1-s</w:t>
            </w:r>
          </w:p>
        </w:tc>
        <w:tc>
          <w:tcPr>
            <w:tcW w:type="dxa" w:w="1900"/>
            <w:shd w:fill="f0f3f5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1.01%</w:t>
            </w:r>
          </w:p>
        </w:tc>
        <w:tc>
          <w:tcPr>
            <w:tcW w:type="dxa" w:w="2100"/>
            <w:shd w:fill="f0f3f5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e76f51"/>
                <w:sz w:val="18"/>
                <w:szCs w:val="18"/>
              </w:rPr>
              <w:t xml:space="preserve">10.79%</w:t>
            </w:r>
          </w:p>
        </w:tc>
        <w:tc>
          <w:tcPr>
            <w:tcW w:type="dxa" w:w="1600"/>
            <w:shd w:fill="f0f3f5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12.3×</w:t>
            </w:r>
          </w:p>
        </w:tc>
        <w:tc>
          <w:tcPr>
            <w:tcW w:type="dxa" w:w="1900"/>
            <w:shd w:fill="f0f3f5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4.5 → 1.4</w:t>
            </w:r>
          </w:p>
        </w:tc>
      </w:tr>
      <w:tr>
        <w:tc>
          <w:tcPr>
            <w:tcW w:type="dxa" w:w="18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v1-m</w:t>
            </w:r>
          </w:p>
        </w:tc>
        <w:tc>
          <w:tcPr>
            <w:tcW w:type="dxa" w:w="19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1.17%</w:t>
            </w:r>
          </w:p>
        </w:tc>
        <w:tc>
          <w:tcPr>
            <w:tcW w:type="dxa" w:w="21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e76f51"/>
                <w:sz w:val="18"/>
                <w:szCs w:val="18"/>
              </w:rPr>
              <w:t xml:space="preserve">15.76%</w:t>
            </w:r>
          </w:p>
        </w:tc>
        <w:tc>
          <w:tcPr>
            <w:tcW w:type="dxa" w:w="16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15.0×</w:t>
            </w:r>
          </w:p>
        </w:tc>
        <w:tc>
          <w:tcPr>
            <w:tcW w:type="dxa" w:w="19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5.0 → 1.4</w:t>
            </w:r>
          </w:p>
        </w:tc>
      </w:tr>
    </w:tbl>
    <w:p>
      <w:pPr>
        <w:spacing w:after="200"/>
        <w:jc w:val="center"/>
      </w:pPr>
      <w:r>
        <w:rPr>
          <w:i/>
          <w:iCs/>
          <w:color w:val="8d99ae"/>
          <w:sz w:val="18"/>
          <w:szCs w:val="18"/>
        </w:rPr>
        <w:t xml:space="preserve">C-2: held-out에서 flip이 seen 대비 10~15배 악화. margin 축소가 동반됨. v1-m이 v1-s보다 큼(5 seed 전부 동일 방향).</w:t>
      </w:r>
    </w:p>
    <w:p>
      <w:pPr>
        <w:pStyle w:val="Heading2"/>
        <w:spacing w:after="120" w:before="240"/>
      </w:pPr>
      <w:r>
        <w:rPr>
          <w:color w:val="264653"/>
        </w:rPr>
        <w:t xml:space="preserve">4.3 C-3: vocabulary scale (COCO-80 → LVIS-1203)</w:t>
      </w:r>
    </w:p>
    <w:p>
      <w:pPr>
        <w:spacing w:after="120" w:line="276"/>
      </w:pPr>
      <w:r>
        <w:t xml:space="preserve">같은 이미지·앵커에서 프롬프트 집합만 COCO-80에서 LVIS-1203으로 바꿔, 촘촘한 vocabulary가 손상을 증폭하는지 본다.</w:t>
      </w:r>
    </w:p>
    <w:tbl>
      <w:tblPr>
        <w:tblW w:type="dxa" w:w="9200"/>
        <w:tblBorders>
          <w:top w:val="single" w:color="CCCCCC" w:sz="4"/>
          <w:left w:val="none"/>
          <w:bottom w:val="single" w:color="CCCCCC" w:sz="4"/>
          <w:right w:val="none"/>
          <w:insideH w:val="single" w:color="E0E0E0" w:sz="2"/>
          <w:insideV w:val="none"/>
        </w:tblBorders>
      </w:tblPr>
      <w:tblGrid>
        <w:gridCol w:w="2400"/>
        <w:gridCol w:w="1600"/>
        <w:gridCol w:w="1800"/>
        <w:gridCol w:w="1700"/>
        <w:gridCol w:w="1700"/>
      </w:tblGrid>
      <w:tr>
        <w:trPr>
          <w:tblHeader/>
        </w:trPr>
        <w:tc>
          <w:tcPr>
            <w:tcW w:type="dxa" w:w="2400"/>
            <w:shd w:fill="26465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모델 / vocab</w:t>
            </w:r>
          </w:p>
        </w:tc>
        <w:tc>
          <w:tcPr>
            <w:tcW w:type="dxa" w:w="1600"/>
            <w:shd w:fill="26465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flip</w:t>
            </w:r>
          </w:p>
        </w:tc>
        <w:tc>
          <w:tcPr>
            <w:tcW w:type="dxa" w:w="1800"/>
            <w:shd w:fill="26465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mean margin</w:t>
            </w:r>
          </w:p>
        </w:tc>
        <w:tc>
          <w:tcPr>
            <w:tcW w:type="dxa" w:w="1700"/>
            <w:shd w:fill="26465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small-margin</w:t>
            </w:r>
          </w:p>
        </w:tc>
        <w:tc>
          <w:tcPr>
            <w:tcW w:type="dxa" w:w="1700"/>
            <w:shd w:fill="26465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이웃 편향</w:t>
            </w:r>
          </w:p>
        </w:tc>
      </w:tr>
      <w:tr>
        <w:tc>
          <w:tcPr>
            <w:tcW w:type="dxa" w:w="2400"/>
            <w:shd w:fill="f0f3f5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v1-s / COCO-80</w:t>
            </w:r>
          </w:p>
        </w:tc>
        <w:tc>
          <w:tcPr>
            <w:tcW w:type="dxa" w:w="1600"/>
            <w:shd w:fill="f0f3f5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0.81%</w:t>
            </w:r>
          </w:p>
        </w:tc>
        <w:tc>
          <w:tcPr>
            <w:tcW w:type="dxa" w:w="1800"/>
            <w:shd w:fill="f0f3f5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5.98</w:t>
            </w:r>
          </w:p>
        </w:tc>
        <w:tc>
          <w:tcPr>
            <w:tcW w:type="dxa" w:w="1700"/>
            <w:shd w:fill="f0f3f5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2.1%</w:t>
            </w:r>
          </w:p>
        </w:tc>
        <w:tc>
          <w:tcPr>
            <w:tcW w:type="dxa" w:w="1700"/>
            <w:shd w:fill="f0f3f5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3.4×</w:t>
            </w:r>
          </w:p>
        </w:tc>
      </w:tr>
      <w:tr>
        <w:tc>
          <w:tcPr>
            <w:tcW w:type="dxa" w:w="24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v1-s / LVIS-1203</w:t>
            </w:r>
          </w:p>
        </w:tc>
        <w:tc>
          <w:tcPr>
            <w:tcW w:type="dxa" w:w="16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e76f51"/>
                <w:sz w:val="18"/>
                <w:szCs w:val="18"/>
              </w:rPr>
              <w:t xml:space="preserve">6.12%</w:t>
            </w:r>
          </w:p>
        </w:tc>
        <w:tc>
          <w:tcPr>
            <w:tcW w:type="dxa" w:w="18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1.72</w:t>
            </w:r>
          </w:p>
        </w:tc>
        <w:tc>
          <w:tcPr>
            <w:tcW w:type="dxa" w:w="17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20.2%</w:t>
            </w:r>
          </w:p>
        </w:tc>
        <w:tc>
          <w:tcPr>
            <w:tcW w:type="dxa" w:w="17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35.0×</w:t>
            </w:r>
          </w:p>
        </w:tc>
      </w:tr>
      <w:tr>
        <w:tc>
          <w:tcPr>
            <w:tcW w:type="dxa" w:w="2400"/>
            <w:shd w:fill="f0f3f5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v1-m / COCO-80</w:t>
            </w:r>
          </w:p>
        </w:tc>
        <w:tc>
          <w:tcPr>
            <w:tcW w:type="dxa" w:w="1600"/>
            <w:shd w:fill="f0f3f5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0.97%</w:t>
            </w:r>
          </w:p>
        </w:tc>
        <w:tc>
          <w:tcPr>
            <w:tcW w:type="dxa" w:w="1800"/>
            <w:shd w:fill="f0f3f5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6.52</w:t>
            </w:r>
          </w:p>
        </w:tc>
        <w:tc>
          <w:tcPr>
            <w:tcW w:type="dxa" w:w="1700"/>
            <w:shd w:fill="f0f3f5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1.4%</w:t>
            </w:r>
          </w:p>
        </w:tc>
        <w:tc>
          <w:tcPr>
            <w:tcW w:type="dxa" w:w="1700"/>
            <w:shd w:fill="f0f3f5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3.0×</w:t>
            </w:r>
          </w:p>
        </w:tc>
      </w:tr>
      <w:tr>
        <w:tc>
          <w:tcPr>
            <w:tcW w:type="dxa" w:w="24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v1-m / LVIS-1203</w:t>
            </w:r>
          </w:p>
        </w:tc>
        <w:tc>
          <w:tcPr>
            <w:tcW w:type="dxa" w:w="16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e76f51"/>
                <w:sz w:val="18"/>
                <w:szCs w:val="18"/>
              </w:rPr>
              <w:t xml:space="preserve">16.22%</w:t>
            </w:r>
          </w:p>
        </w:tc>
        <w:tc>
          <w:tcPr>
            <w:tcW w:type="dxa" w:w="18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1.38</w:t>
            </w:r>
          </w:p>
        </w:tc>
        <w:tc>
          <w:tcPr>
            <w:tcW w:type="dxa" w:w="17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28.2%</w:t>
            </w:r>
          </w:p>
        </w:tc>
        <w:tc>
          <w:tcPr>
            <w:tcW w:type="dxa" w:w="17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31.3×</w:t>
            </w:r>
          </w:p>
        </w:tc>
      </w:tr>
    </w:tbl>
    <w:p>
      <w:pPr>
        <w:spacing w:after="200"/>
        <w:jc w:val="center"/>
      </w:pPr>
      <w:r>
        <w:rPr>
          <w:i/>
          <w:iCs/>
          <w:color w:val="8d99ae"/>
          <w:sz w:val="18"/>
          <w:szCs w:val="18"/>
        </w:rPr>
        <w:t xml:space="preserve">C-3: vocabulary가 촘촘해지면 margin 축소·경쟁 심화로 flip 급증. v1-m의 LVIS flip 16.22%는 세 모델 최대.</w:t>
      </w:r>
    </w:p>
    <w:p>
      <w:pPr>
        <w:pStyle w:val="Heading2"/>
        <w:spacing w:after="120" w:before="240"/>
      </w:pPr>
      <w:r>
        <w:rPr>
          <w:color w:val="264653"/>
        </w:rPr>
        <w:t xml:space="preserve">4.4 C 종합: 크기 일반성</w:t>
      </w:r>
    </w:p>
    <w:p>
      <w:pPr>
        <w:spacing w:after="120" w:line="276"/>
      </w:pPr>
      <w:r>
        <w:t xml:space="preserve">세 축을 종합하면, 프롬프트 축 semantic 손상은 </w:t>
      </w:r>
      <w:r>
        <w:rPr>
          <w:b/>
          <w:bCs/>
        </w:rPr>
        <w:t xml:space="preserve">모델 크기와 무관하게 성립하며 오히려 클수록 커진다</w:t>
      </w:r>
      <w:r>
        <w:t xml:space="preserve">. substitution 편향은 두 크기 모두 ~10×로 견고하고, held-out과 LVIS는 v1-m이 v1-s를 크게 웃돈다.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1971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8d99ae"/>
          <w:sz w:val="18"/>
          <w:szCs w:val="18"/>
        </w:rPr>
        <w:t xml:space="preserve">그림 C. 세 모델 프롬프트 축 손상 비교. substitution은 크기 무관 견고, held-out·LVIS는 크기와 함께 증가.</w:t>
      </w:r>
    </w:p>
    <w:p>
      <w:pPr>
        <w:spacing w:after="120" w:line="276"/>
      </w:pPr>
      <w:r>
        <w:rPr>
          <w:b/>
          <w:bCs/>
        </w:rPr>
        <w:t xml:space="preserve">어떻게 대응했나 (핵심 서사). </w:t>
      </w:r>
      <w:r>
        <w:t xml:space="preserve">v1-m은 B에서 AP가 −13.7로 크게 떨어져 '망가진 모델'처럼 보였다. 그러나 C로 넘어가자 substitution 10.1×, </w:t>
      </w:r>
      <w:r>
        <w:t xml:space="preserve">held-out 15.8%, LVIS 16.2%로 </w:t>
      </w:r>
      <w:r>
        <w:rPr>
          <w:b/>
          <w:bCs/>
        </w:rPr>
        <w:t xml:space="preserve">v1-s보다 오히려 강한 손상</w:t>
      </w:r>
      <w:r>
        <w:t xml:space="preserve">을 보였다. 이는 v1-s에서 이미 겪은 교훈의 반복이다 — </w:t>
      </w:r>
      <w:r>
        <w:rPr>
          <w:b/>
          <w:bCs/>
        </w:rPr>
        <w:t xml:space="preserve">AP(총량 지표)는 semantic 손상을 반영하지 못하므로, 프롬프트 축을 직접 봐야 한다</w:t>
      </w:r>
      <w:r>
        <w:t xml:space="preserve">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8d99ae"/>
          <w:sz w:val="18"/>
          <w:szCs w:val="18"/>
        </w:rPr>
        <w:t xml:space="preserve">그림 C-보조. AP 하락(box 축)과 held-out flip(semantic 축)은 다른 축이다. AP 하락은 −0.5~−13.7로 제각각이지만 semantic 손상은 일관되게 증가한다.</w:t>
      </w:r>
    </w:p>
    <w:p>
      <w:r>
        <w:br w:type="page"/>
      </w:r>
    </w:p>
    <w:p>
      <w:pPr>
        <w:pStyle w:val="Heading1"/>
        <w:spacing w:after="120" w:before="240"/>
      </w:pPr>
      <w:r>
        <w:rPr>
          <w:color w:val="264653"/>
        </w:rPr>
        <w:t xml:space="preserve">5. 국면 D — 강한 baseline은 held-out을 지키는가</w:t>
      </w:r>
    </w:p>
    <w:p>
      <w:pPr>
        <w:spacing w:after="120" w:line="276"/>
      </w:pPr>
      <w:r>
        <w:rPr>
          <w:b/>
          <w:bCs/>
        </w:rPr>
        <w:t xml:space="preserve">무엇을 했나. </w:t>
      </w:r>
      <w:r>
        <w:t xml:space="preserve">Reg-PTQ 기준 필수 3종(BRECQ, QDrop, PD-Quant)과 보조(AdaRound)를 커스텀 fake-quant 위에 재구현하고, </w:t>
      </w:r>
      <w:r>
        <w:t xml:space="preserve">held-out 조건에서 naive 대비 손상을 얼마나 줄이는지 v1-s·v1-m에서 측정했다. </w:t>
      </w:r>
      <w:r>
        <w:t xml:space="preserve">핵심 질문: 강한 reconstruction/prediction이 held-out decision을 지키는가?</w:t>
      </w:r>
    </w:p>
    <w:p>
      <w:pPr>
        <w:pStyle w:val="Heading2"/>
        <w:spacing w:after="120" w:before="240"/>
      </w:pPr>
      <w:r>
        <w:rPr>
          <w:color w:val="264653"/>
        </w:rPr>
        <w:t xml:space="preserve">5.1 D 벤치마크: held-out flip (%)</w:t>
      </w:r>
    </w:p>
    <w:tbl>
      <w:tblPr>
        <w:tblW w:type="dxa" w:w="8400"/>
        <w:tblBorders>
          <w:top w:val="single" w:color="CCCCCC" w:sz="4"/>
          <w:left w:val="none"/>
          <w:bottom w:val="single" w:color="CCCCCC" w:sz="4"/>
          <w:right w:val="none"/>
          <w:insideH w:val="single" w:color="E0E0E0" w:sz="2"/>
          <w:insideV w:val="none"/>
        </w:tblBorders>
      </w:tblPr>
      <w:tblGrid>
        <w:gridCol w:w="2200"/>
        <w:gridCol w:w="2400"/>
        <w:gridCol w:w="1900"/>
        <w:gridCol w:w="1900"/>
      </w:tblGrid>
      <w:tr>
        <w:trPr>
          <w:tblHeader/>
        </w:trPr>
        <w:tc>
          <w:tcPr>
            <w:tcW w:type="dxa" w:w="2200"/>
            <w:shd w:fill="26465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방법</w:t>
            </w:r>
          </w:p>
        </w:tc>
        <w:tc>
          <w:tcPr>
            <w:tcW w:type="dxa" w:w="2400"/>
            <w:shd w:fill="26465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최적화 축</w:t>
            </w:r>
          </w:p>
        </w:tc>
        <w:tc>
          <w:tcPr>
            <w:tcW w:type="dxa" w:w="1900"/>
            <w:shd w:fill="26465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v1-s</w:t>
            </w:r>
          </w:p>
        </w:tc>
        <w:tc>
          <w:tcPr>
            <w:tcW w:type="dxa" w:w="1900"/>
            <w:shd w:fill="26465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v1-m</w:t>
            </w:r>
          </w:p>
        </w:tc>
      </w:tr>
      <w:tr>
        <w:tc>
          <w:tcPr>
            <w:tcW w:type="dxa" w:w="2200"/>
            <w:shd w:fill="f0f3f5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naive W8A8</w:t>
            </w:r>
          </w:p>
        </w:tc>
        <w:tc>
          <w:tcPr>
            <w:tcW w:type="dxa" w:w="2400"/>
            <w:shd w:fill="f0f3f5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shd w:fill="f0f3f5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9.33</w:t>
            </w:r>
          </w:p>
        </w:tc>
        <w:tc>
          <w:tcPr>
            <w:tcW w:type="dxa" w:w="1900"/>
            <w:shd w:fill="f0f3f5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14.33</w:t>
            </w:r>
          </w:p>
        </w:tc>
      </w:tr>
      <w:tr>
        <w:tc>
          <w:tcPr>
            <w:tcW w:type="dxa" w:w="22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AdaRound</w:t>
            </w:r>
          </w:p>
        </w:tc>
        <w:tc>
          <w:tcPr>
            <w:tcW w:type="dxa" w:w="24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weight (layer)</w:t>
            </w:r>
          </w:p>
        </w:tc>
        <w:tc>
          <w:tcPr>
            <w:tcW w:type="dxa" w:w="19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8.48</w:t>
            </w:r>
          </w:p>
        </w:tc>
        <w:tc>
          <w:tcPr>
            <w:tcW w:type="dxa" w:w="19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11.89</w:t>
            </w:r>
          </w:p>
        </w:tc>
      </w:tr>
      <w:tr>
        <w:tc>
          <w:tcPr>
            <w:tcW w:type="dxa" w:w="2200"/>
            <w:shd w:fill="f0f3f5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BRECQ</w:t>
            </w:r>
          </w:p>
        </w:tc>
        <w:tc>
          <w:tcPr>
            <w:tcW w:type="dxa" w:w="2400"/>
            <w:shd w:fill="f0f3f5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weight (block)</w:t>
            </w:r>
          </w:p>
        </w:tc>
        <w:tc>
          <w:tcPr>
            <w:tcW w:type="dxa" w:w="1900"/>
            <w:shd w:fill="f0f3f5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8.49</w:t>
            </w:r>
          </w:p>
        </w:tc>
        <w:tc>
          <w:tcPr>
            <w:tcW w:type="dxa" w:w="1900"/>
            <w:shd w:fill="f0f3f5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11.55</w:t>
            </w:r>
          </w:p>
        </w:tc>
      </w:tr>
      <w:tr>
        <w:tc>
          <w:tcPr>
            <w:tcW w:type="dxa" w:w="22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QDrop</w:t>
            </w:r>
          </w:p>
        </w:tc>
        <w:tc>
          <w:tcPr>
            <w:tcW w:type="dxa" w:w="24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activation</w:t>
            </w:r>
          </w:p>
        </w:tc>
        <w:tc>
          <w:tcPr>
            <w:tcW w:type="dxa" w:w="19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8.53</w:t>
            </w:r>
          </w:p>
        </w:tc>
        <w:tc>
          <w:tcPr>
            <w:tcW w:type="dxa" w:w="19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14.42</w:t>
            </w:r>
          </w:p>
        </w:tc>
      </w:tr>
      <w:tr>
        <w:tc>
          <w:tcPr>
            <w:tcW w:type="dxa" w:w="2200"/>
            <w:shd w:fill="f0f3f5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PD-Quant</w:t>
            </w:r>
          </w:p>
        </w:tc>
        <w:tc>
          <w:tcPr>
            <w:tcW w:type="dxa" w:w="2400"/>
            <w:shd w:fill="f0f3f5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prediction</w:t>
            </w:r>
          </w:p>
        </w:tc>
        <w:tc>
          <w:tcPr>
            <w:tcW w:type="dxa" w:w="1900"/>
            <w:shd w:fill="f0f3f5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8.48</w:t>
            </w:r>
          </w:p>
        </w:tc>
        <w:tc>
          <w:tcPr>
            <w:tcW w:type="dxa" w:w="1900"/>
            <w:shd w:fill="f0f3f5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11.89</w:t>
            </w:r>
          </w:p>
        </w:tc>
      </w:tr>
    </w:tbl>
    <w:p>
      <w:pPr>
        <w:spacing w:after="200"/>
        <w:jc w:val="center"/>
      </w:pPr>
      <w:r>
        <w:rPr>
          <w:i/>
          <w:iCs/>
          <w:color w:val="8d99ae"/>
          <w:sz w:val="18"/>
          <w:szCs w:val="18"/>
        </w:rPr>
        <w:t xml:space="preserve">D: held-out flip. 어떤 방법도 held-out을 근본적으로 못 지킴(naive 대비 최대 ~20% 감소).</w:t>
      </w:r>
    </w:p>
    <w:p>
      <w:pPr>
        <w:spacing w:after="40" w:before="80"/>
      </w:pPr>
      <w:r>
        <w:rPr>
          <w:b/>
          <w:bCs/>
        </w:rPr>
        <w:t xml:space="preserve">해석.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v1-s: 네 방법이 8.5%로 거의 완전 수렴. </w:t>
      </w:r>
      <w:r>
        <w:t xml:space="preserve">최적화 축(layer/block/activation/prediction)과 무관하게 held-out 손상의 91%가 동일하게 잔존.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v1-m: weight 계열과 activation 계열이 갈림. </w:t>
      </w:r>
      <w:r>
        <w:t xml:space="preserve">AdaRound·BRECQ·PD-Quant(weight/prediction)는 held-out을 ~17–19% 줄이나, QDrop(activation)은 0% 줄임. 어느 쪽이든 80% 이상 잔존.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PD-Quant = AdaRound (두 모델 공통). </w:t>
      </w:r>
      <w:r>
        <w:t xml:space="preserve">warm-start(AdaRound 초기화 + PD refine) 결과, 예측 정합을 추가해도 held-out이 AdaRound와 동일 → '예측을 맞춰도 held-out 무의미'.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886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8d99ae"/>
          <w:sz w:val="18"/>
          <w:szCs w:val="18"/>
        </w:rPr>
        <w:t xml:space="preserve">그림 D. 세 모델 × 다섯 방법 held-out flip. 각 방법이 자기 모델의 naive 수준 근처에 머문다. v1-m의 QDrop은 activation 축이라 유독 안 줄어듦.</w:t>
      </w:r>
    </w:p>
    <w:p>
      <w:pPr>
        <w:pStyle w:val="Heading2"/>
        <w:spacing w:after="120" w:before="240"/>
      </w:pPr>
      <w:r>
        <w:rPr>
          <w:color w:val="264653"/>
        </w:rPr>
        <w:t xml:space="preserve">5.2 구현·하이퍼파라미터 정직성 노트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QDrop drop 확률 (v1-m). </w:t>
      </w:r>
      <w:r>
        <w:t xml:space="preserve">drop 0.5에서 최적화 불안정(seen조차 악화, held-out −8.8%). 0.25로 낮춰야 수렴. v1-m의 양자화 예민성 때문. seen 개선 여부로 '최적화 깨짐'을 잡아냄. 모델별 drop 확률 명기 필요.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PD-Quant warm-start 필수. </w:t>
      </w:r>
      <w:r>
        <w:t xml:space="preserve">from-scratch end-to-end는 pd 폭발로 실패. AdaRound 초기화 + PD refine(정규화 loss, mean reg, grad clip)으로 안정화. pd는 진동하나 h→0/1 99% 유지 → 결과 신뢰 가능.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BRECQ 구현. </w:t>
      </w:r>
      <w:r>
        <w:t xml:space="preserve">재구성 단위 = top-level 블록(비head, joint) + head conv 단위. C2fAttn 다중입력(vision+text guide) 처리. v1-s 블록 17개, v1-m은 conv 91개.</w:t>
      </w:r>
    </w:p>
    <w:p>
      <w:r>
        <w:br w:type="page"/>
      </w:r>
    </w:p>
    <w:p>
      <w:pPr>
        <w:pStyle w:val="Heading1"/>
        <w:spacing w:after="120" w:before="240"/>
      </w:pPr>
      <w:r>
        <w:rPr>
          <w:color w:val="264653"/>
        </w:rPr>
        <w:t xml:space="preserve">6. 종합 논점과 다음 단계</w:t>
      </w:r>
    </w:p>
    <w:p>
      <w:pPr>
        <w:pStyle w:val="Heading2"/>
        <w:spacing w:after="120" w:before="240"/>
      </w:pPr>
      <w:r>
        <w:rPr>
          <w:color w:val="264653"/>
        </w:rPr>
        <w:t xml:space="preserve">6.1 논문 핵심 주장 (v1 기준)</w:t>
      </w:r>
    </w:p>
    <w:p>
      <w:pPr>
        <w:spacing w:after="120" w:line="276"/>
      </w:pPr>
      <w:r>
        <w:t xml:space="preserve">open-vocabulary detector의 W8A8 양자화는 detection 총량(AP)이 아니라 </w:t>
      </w:r>
      <w:r>
        <w:rPr>
          <w:b/>
          <w:bCs/>
        </w:rPr>
        <w:t xml:space="preserve">region-prompt 의미적 의사결정</w:t>
      </w:r>
      <w:r>
        <w:t xml:space="preserve"> 축을 손상시킨다. 이 손상은 (1) 의사결정 경계에 집중되고, (2) 의미적 이웃으로 향하며, </w:t>
      </w:r>
      <w:r>
        <w:t xml:space="preserve">(3) 안 본 프롬프트(held-out)와 대량 vocabulary(LVIS)에서 급증하고, (4) 모델 크기와 무관하게(오히려 클수록) 성립한다. </w:t>
      </w:r>
      <w:r>
        <w:t xml:space="preserve">(5) 기존 강한 PTQ(reconstruction·prediction 계열)는 이 손상의 80% 이상을 남긴다.</w:t>
      </w:r>
    </w:p>
    <w:p>
      <w:pPr>
        <w:pStyle w:val="Heading2"/>
        <w:spacing w:after="120" w:before="240"/>
      </w:pPr>
      <w:r>
        <w:rPr>
          <w:color w:val="264653"/>
        </w:rPr>
        <w:t xml:space="preserve">6.2 프레이밍 조정 (v1 채택의 근거)</w:t>
      </w:r>
    </w:p>
    <w:p>
      <w:pPr>
        <w:spacing w:after="120" w:line="276"/>
      </w:pPr>
      <w:r>
        <w:t xml:space="preserve">v1은 v2와 달리 AP도 크게 떨어진다(s −3.5, m −13.7). 따라서 'AP는 무해한데'라는 프레이밍은 v1에서 성립하지 않는다. </w:t>
      </w:r>
      <w:r>
        <w:t xml:space="preserve">대신 정확한 프레이밍은: </w:t>
      </w:r>
      <w:r>
        <w:rPr>
          <w:b/>
          <w:bCs/>
        </w:rPr>
        <w:t xml:space="preserve">'AP도 떨어지지만(box 축), 그 아래 semantic 의사결정 손상이 훨씬 크고 구조적이며, AP로는 이를 신뢰성 있게 볼 수 없다'</w:t>
      </w:r>
      <w:r>
        <w:t xml:space="preserve">이다. 세 모델의 AP 하락이 −0.5~−13.7로 제각각인데 semantic 손상은 일관된다는 사실이 이 주장을 뒷받침한다.</w:t>
      </w:r>
    </w:p>
    <w:p>
      <w:pPr>
        <w:pStyle w:val="Heading2"/>
        <w:spacing w:after="120" w:before="240"/>
      </w:pPr>
      <w:r>
        <w:rPr>
          <w:color w:val="264653"/>
        </w:rPr>
        <w:t xml:space="preserve">6.3 방법(E)의 필요성</w:t>
      </w:r>
    </w:p>
    <w:p>
      <w:pPr>
        <w:spacing w:after="120" w:line="276"/>
      </w:pPr>
      <w:r>
        <w:t xml:space="preserve">D에서 네 방법이 held-out 손상의 80% 이상을 공통으로 남긴다는 것은, </w:t>
      </w:r>
      <w:r>
        <w:rPr>
          <w:b/>
          <w:bCs/>
        </w:rPr>
        <w:t xml:space="preserve">이 손상이 기존 reconstruction/prediction PTQ 패러다임으로 접근 불가능</w:t>
      </w:r>
      <w:r>
        <w:t xml:space="preserve">함을 뜻한다. 제안 방법(국면 E)은 layer/block 출력이나 예측을 맞추는 대신 </w:t>
      </w:r>
      <w:r>
        <w:rPr>
          <w:b/>
          <w:bCs/>
        </w:rPr>
        <w:t xml:space="preserve">held-out region-prompt decision을 직접 보존</w:t>
      </w:r>
      <w:r>
        <w:t xml:space="preserve">해야 하며, 이 80%가 공략 지점이다.</w:t>
      </w:r>
    </w:p>
    <w:p>
      <w:pPr>
        <w:pStyle w:val="Heading2"/>
        <w:spacing w:after="120" w:before="240"/>
      </w:pPr>
      <w:r>
        <w:rPr>
          <w:color w:val="264653"/>
        </w:rPr>
        <w:t xml:space="preserve">6.4 미완 항목 (최종 벤치마크로 이월)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baseline별 AP. </w:t>
      </w:r>
      <w:r>
        <w:t xml:space="preserve">D에서는 semantic 축(held-out flip)에 집중했다. 각 baseline의 AP는 E 방법 완성 후 최종 표에서 '우리 방법 + baseline'을 한 번에 측정한다. naive AP 기준점은 확보됨(s 33.9, m 27.5).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LVIS 조건 baseline 비교. </w:t>
      </w:r>
      <w:r>
        <w:t xml:space="preserve">D는 held-out(baseline 시험의 논리적 핵심)에 집중. LVIS 조건 baseline 비교는 최종 벤치마크에서 추가.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v2 확장. </w:t>
      </w:r>
      <w:r>
        <w:t xml:space="preserve">v2 결과는 보류 상태. 논문 방향 확정 후 확장 자료로 활용 가능.</w:t>
      </w:r>
    </w:p>
    <w:p>
      <w:pPr>
        <w:pStyle w:val="Heading2"/>
        <w:spacing w:after="120" w:before="240"/>
      </w:pPr>
      <w:r>
        <w:rPr>
          <w:color w:val="264653"/>
        </w:rPr>
        <w:t xml:space="preserve">6.5 남은 작업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국면 E: 제안 방법 설계 — semantic calibration(hard-negative/held-out을 calibration에) + held-out decision 직접 보존.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최종 벤치마크: 우리 방법 vs 전체 baseline을 AP·held-out·LVIS에서 통합 측정.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팀 정렬: v1 채택 + 프레이밍 조정을 OVOD 파트와 확정.</w:t>
      </w:r>
    </w:p>
    <w:p>
      <w:r>
        <w:br w:type="page"/>
      </w:r>
    </w:p>
    <w:p>
      <w:pPr>
        <w:pStyle w:val="Heading1"/>
        <w:spacing w:after="120" w:before="240"/>
      </w:pPr>
      <w:r>
        <w:rPr>
          <w:color w:val="264653"/>
        </w:rPr>
        <w:t xml:space="preserve">부록 A. 실험 스크립트 대응표</w:t>
      </w:r>
    </w:p>
    <w:tbl>
      <w:tblPr>
        <w:tblW w:type="dxa" w:w="8000"/>
        <w:tblBorders>
          <w:top w:val="single" w:color="CCCCCC" w:sz="4"/>
          <w:left w:val="none"/>
          <w:bottom w:val="single" w:color="CCCCCC" w:sz="4"/>
          <w:right w:val="none"/>
          <w:insideH w:val="single" w:color="E0E0E0" w:sz="2"/>
          <w:insideV w:val="none"/>
        </w:tblBorders>
      </w:tblPr>
      <w:tblGrid>
        <w:gridCol w:w="2600"/>
        <w:gridCol w:w="1200"/>
        <w:gridCol w:w="4200"/>
      </w:tblGrid>
      <w:tr>
        <w:trPr>
          <w:tblHeader/>
        </w:trPr>
        <w:tc>
          <w:tcPr>
            <w:tcW w:type="dxa" w:w="2600"/>
            <w:shd w:fill="26465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스크립트</w:t>
            </w:r>
          </w:p>
        </w:tc>
        <w:tc>
          <w:tcPr>
            <w:tcW w:type="dxa" w:w="1200"/>
            <w:shd w:fill="26465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국면</w:t>
            </w:r>
          </w:p>
        </w:tc>
        <w:tc>
          <w:tcPr>
            <w:tcW w:type="dxa" w:w="4200"/>
            <w:shd w:fill="26465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2600"/>
            <w:shd w:fill="f0f3f5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00b_v1_head_diagnose</w:t>
            </w:r>
          </w:p>
        </w:tc>
        <w:tc>
          <w:tcPr>
            <w:tcW w:type="dxa" w:w="1200"/>
            <w:shd w:fill="f0f3f5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4200"/>
            <w:shd w:fill="f0f3f5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harness 호환 진단(cv4 캡처·조립·argmax)</w:t>
            </w:r>
          </w:p>
        </w:tc>
      </w:tr>
      <w:tr>
        <w:tc>
          <w:tcPr>
            <w:tcW w:type="dxa" w:w="26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01_reproduce_baseline</w:t>
            </w:r>
          </w:p>
        </w:tc>
        <w:tc>
          <w:tcPr>
            <w:tcW w:type="dxa" w:w="12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42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pycocotools mAP 재현</w:t>
            </w:r>
          </w:p>
        </w:tc>
      </w:tr>
      <w:tr>
        <w:tc>
          <w:tcPr>
            <w:tcW w:type="dxa" w:w="2600"/>
            <w:shd w:fill="f0f3f5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03b_quant_ap</w:t>
            </w:r>
          </w:p>
        </w:tc>
        <w:tc>
          <w:tcPr>
            <w:tcW w:type="dxa" w:w="1200"/>
            <w:shd w:fill="f0f3f5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4200"/>
            <w:shd w:fill="f0f3f5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양자화 AP(--skip-projections 옵션)</w:t>
            </w:r>
          </w:p>
        </w:tc>
      </w:tr>
      <w:tr>
        <w:tc>
          <w:tcPr>
            <w:tcW w:type="dxa" w:w="26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03c_confidence_curve</w:t>
            </w:r>
          </w:p>
        </w:tc>
        <w:tc>
          <w:tcPr>
            <w:tcW w:type="dxa" w:w="12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42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margin별 flip 곡선</w:t>
            </w:r>
          </w:p>
        </w:tc>
      </w:tr>
      <w:tr>
        <w:tc>
          <w:tcPr>
            <w:tcW w:type="dxa" w:w="2600"/>
            <w:shd w:fill="f0f3f5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00c / 00d</w:t>
            </w:r>
          </w:p>
        </w:tc>
        <w:tc>
          <w:tcPr>
            <w:tcW w:type="dxa" w:w="1200"/>
            <w:shd w:fill="f0f3f5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4200"/>
            <w:shd w:fill="f0f3f5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래핑 conv 비교 / 레이어별 양자화 민감도</w:t>
            </w:r>
          </w:p>
        </w:tc>
      </w:tr>
      <w:tr>
        <w:tc>
          <w:tcPr>
            <w:tcW w:type="dxa" w:w="26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04_semantic_substitution</w:t>
            </w:r>
          </w:p>
        </w:tc>
        <w:tc>
          <w:tcPr>
            <w:tcW w:type="dxa" w:w="12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C-1</w:t>
            </w:r>
          </w:p>
        </w:tc>
        <w:tc>
          <w:tcPr>
            <w:tcW w:type="dxa" w:w="42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substitution 편향</w:t>
            </w:r>
          </w:p>
        </w:tc>
      </w:tr>
      <w:tr>
        <w:tc>
          <w:tcPr>
            <w:tcW w:type="dxa" w:w="2600"/>
            <w:shd w:fill="f0f3f5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05_heldout</w:t>
            </w:r>
          </w:p>
        </w:tc>
        <w:tc>
          <w:tcPr>
            <w:tcW w:type="dxa" w:w="1200"/>
            <w:shd w:fill="f0f3f5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C-2</w:t>
            </w:r>
          </w:p>
        </w:tc>
        <w:tc>
          <w:tcPr>
            <w:tcW w:type="dxa" w:w="4200"/>
            <w:shd w:fill="f0f3f5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held-out multi-seed</w:t>
            </w:r>
          </w:p>
        </w:tc>
      </w:tr>
      <w:tr>
        <w:tc>
          <w:tcPr>
            <w:tcW w:type="dxa" w:w="26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07_lvis_compare</w:t>
            </w:r>
          </w:p>
        </w:tc>
        <w:tc>
          <w:tcPr>
            <w:tcW w:type="dxa" w:w="12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C-3</w:t>
            </w:r>
          </w:p>
        </w:tc>
        <w:tc>
          <w:tcPr>
            <w:tcW w:type="dxa" w:w="4200"/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COCO→LVIS vocabulary scale</w:t>
            </w:r>
          </w:p>
        </w:tc>
      </w:tr>
      <w:tr>
        <w:tc>
          <w:tcPr>
            <w:tcW w:type="dxa" w:w="2600"/>
            <w:shd w:fill="f0f3f5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08~12</w:t>
            </w:r>
          </w:p>
        </w:tc>
        <w:tc>
          <w:tcPr>
            <w:tcW w:type="dxa" w:w="1200"/>
            <w:shd w:fill="f0f3f5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4200"/>
            <w:shd w:fill="f0f3f5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AdaRound/held-out/QDrop/PD-Quant/BRECQ</w:t>
            </w:r>
          </w:p>
        </w:tc>
      </w:tr>
    </w:tbl>
    <w:sectPr>
      <w:footerReference w:type="default" r:id="rId7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d99ae"/>
        <w:sz w:val="16"/>
        <w:szCs w:val="16"/>
      </w:rPr>
      <w:t xml:space="preserve">PromptCal-PTQ · v1 실험 보고서 ·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a9d8f" w:sz="6" w:space="6"/>
      </w:pBdr>
      <w:spacing w:after="140" w:before="320"/>
    </w:pPr>
    <w:rPr>
      <w:b/>
      <w:bCs/>
      <w:color w:val="264653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</w:pPr>
    <w:rPr>
      <w:b/>
      <w:bCs/>
      <w:color w:val="2a9d8f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15e1e8429b02f793d5b09f393c08094aac70a94.png"/><Relationship Id="rId9" Type="http://schemas.openxmlformats.org/officeDocument/2006/relationships/image" Target="media/8191ed6ab0a70994f543d59055e2eb15c3b5f201.png"/><Relationship Id="rId10" Type="http://schemas.openxmlformats.org/officeDocument/2006/relationships/image" Target="media/6d0a4b24909f807ef696ed85ecd192e9e2aae743.png"/><Relationship Id="rId11" Type="http://schemas.openxmlformats.org/officeDocument/2006/relationships/image" Target="media/5fa39236ba2f715e28a0d86af422465b03462ff9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2026-08-20T04:51:41.668Z</dcterms:created>
  <dcterms:modified xsi:type="dcterms:W3CDTF">2026-08-20T04:51:41.684Z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