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Calibri" w:hAnsi="Calibri"/>
          <w:b/>
          <w:color w:val="2E7D32"/>
          <w:sz w:val="52"/>
        </w:rPr>
        <w:t>AgroTech: Impacto Social y Resolución de Necesidades</w:t>
      </w:r>
    </w:p>
    <w:p>
      <w:pPr>
        <w:jc w:val="center"/>
      </w:pPr>
      <w:r>
        <w:rPr>
          <w:i/>
          <w:color w:val="505050"/>
          <w:sz w:val="28"/>
        </w:rPr>
        <w:t>Documento Descriptivo del MVP — Metodología de Sistemas II</w:t>
      </w:r>
    </w:p>
    <w:p>
      <w:pPr>
        <w:jc w:val="center"/>
      </w:pPr>
      <w:r>
        <w:rPr>
          <w:color w:val="646464"/>
          <w:sz w:val="22"/>
        </w:rPr>
        <w:t>Universidad Tecnológica Nacional — Facultad Regional San Rafael</w:t>
      </w:r>
    </w:p>
    <w:p/>
    <w:p>
      <w:pPr>
        <w:jc w:val="center"/>
      </w:pPr>
      <w:r>
        <w:rPr>
          <w:color w:val="2E7D32"/>
        </w:rP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1"/>
      </w:pPr>
      <w:r>
        <w:rPr>
          <w:color w:val="2E7D32"/>
        </w:rPr>
        <w:t>1. El Problema: Dos Brechas Críticas en el Agro Mendocino</w:t>
      </w:r>
    </w:p>
    <w:p>
      <w:r>
        <w:rPr>
          <w:sz w:val="22"/>
        </w:rPr>
        <w:t xml:space="preserve">El desarrollo de </w:t>
      </w:r>
      <w:r>
        <w:rPr>
          <w:b/>
          <w:sz w:val="22"/>
        </w:rPr>
        <w:t>AgroTech</w:t>
      </w:r>
      <w:r>
        <w:rPr>
          <w:sz w:val="22"/>
        </w:rPr>
        <w:t xml:space="preserve"> responde a una realidad profunda y sistemáticamente ignorada en las zonas agrícolas de Mendoza: los </w:t>
      </w:r>
      <w:r>
        <w:rPr>
          <w:b/>
          <w:sz w:val="22"/>
        </w:rPr>
        <w:t>pequeños y medianos productores de cultivos intensivos</w:t>
      </w:r>
      <w:r>
        <w:rPr>
          <w:sz w:val="22"/>
        </w:rPr>
        <w:t xml:space="preserve"> (vid, durazno y ajo) operan en condiciones de alta vulnerabilidad estructural, producto de dos carencias fundamentales:</w:t>
      </w:r>
    </w:p>
    <w:p>
      <w:pPr>
        <w:pStyle w:val="Heading2"/>
      </w:pPr>
      <w:r>
        <w:rPr>
          <w:color w:val="388E3C"/>
        </w:rPr>
        <w:t>1.1 Ceguera Financiera</w:t>
      </w:r>
    </w:p>
    <w:p>
      <w:r>
        <w:rPr>
          <w:sz w:val="22"/>
        </w:rPr>
        <w:t xml:space="preserve">Los productores carecen de un </w:t>
      </w:r>
      <w:r>
        <w:rPr>
          <w:b/>
          <w:sz w:val="22"/>
        </w:rPr>
        <w:t>sistema de registro sistemático de costos de producción por lote</w:t>
      </w:r>
      <w:r>
        <w:rPr>
          <w:sz w:val="22"/>
        </w:rPr>
        <w:t>. Su gestión económica depende de la intuición, anotaciones informales en papel o memoria individual. Esta práctica genera:</w:t>
      </w:r>
    </w:p>
    <w:p>
      <w:pPr>
        <w:pStyle w:val="ListBullet"/>
      </w:pPr>
      <w:r>
        <w:rPr>
          <w:sz w:val="22"/>
        </w:rPr>
        <w:t>Pérdida recurrente de datos históricos.</w:t>
      </w:r>
    </w:p>
    <w:p>
      <w:pPr>
        <w:pStyle w:val="ListBullet"/>
      </w:pPr>
      <w:r>
        <w:rPr>
          <w:sz w:val="22"/>
        </w:rPr>
        <w:t>Errores de cálculo que distorsionan la rentabilidad real.</w:t>
      </w:r>
    </w:p>
    <w:p>
      <w:pPr>
        <w:pStyle w:val="ListBullet"/>
      </w:pPr>
      <w:r>
        <w:rPr>
          <w:sz w:val="22"/>
        </w:rPr>
        <w:t>Sorpresas de déficit de caja que comprometen la viabilidad de la campaña.</w:t>
      </w:r>
    </w:p>
    <w:p>
      <w:pPr>
        <w:pStyle w:val="Heading2"/>
      </w:pPr>
      <w:r>
        <w:rPr>
          <w:color w:val="388E3C"/>
        </w:rPr>
        <w:t>1.2 Aislamiento Comunitario</w:t>
      </w:r>
    </w:p>
    <w:p>
      <w:r>
        <w:rPr>
          <w:sz w:val="22"/>
        </w:rPr>
        <w:t xml:space="preserve">Frente a amenazas externas (plagas, eventos climáticos extremos) o ante la necesidad de acceder a recursos productivos, </w:t>
      </w:r>
      <w:r>
        <w:rPr>
          <w:b/>
          <w:sz w:val="22"/>
        </w:rPr>
        <w:t>cada finca actúa de manera aislada</w:t>
      </w:r>
      <w:r>
        <w:rPr>
          <w:sz w:val="22"/>
        </w:rPr>
        <w:t>. No existen mecanismos formales para:</w:t>
      </w:r>
    </w:p>
    <w:p>
      <w:pPr>
        <w:pStyle w:val="ListBullet"/>
      </w:pPr>
      <w:r>
        <w:rPr>
          <w:sz w:val="22"/>
        </w:rPr>
        <w:t>Compartir alertas de plagas o contingencias climáticas.</w:t>
      </w:r>
    </w:p>
    <w:p>
      <w:pPr>
        <w:pStyle w:val="ListBullet"/>
      </w:pPr>
      <w:r>
        <w:rPr>
          <w:sz w:val="22"/>
        </w:rPr>
        <w:t>Transparentar precios de insumos y maquinaria.</w:t>
      </w:r>
    </w:p>
    <w:p>
      <w:pPr>
        <w:pStyle w:val="ListBullet"/>
      </w:pPr>
      <w:r>
        <w:rPr>
          <w:sz w:val="22"/>
        </w:rPr>
        <w:t>Acceder a economías de escala mediante compra o uso compartido.</w:t>
      </w:r>
    </w:p>
    <w:p>
      <w:pPr>
        <w:jc w:val="left"/>
      </w:pPr>
      <w:r>
        <w:rPr>
          <w:b/>
          <w:color w:val="2E7D32"/>
          <w:sz w:val="22"/>
        </w:rPr>
        <w:t xml:space="preserve">Resultado: </w:t>
      </w:r>
      <w:r>
        <w:rPr>
          <w:i/>
          <w:color w:val="505050"/>
          <w:sz w:val="22"/>
        </w:rPr>
        <w:t>una comunidad productiva fragmentada, con capacidad de reacción individual limitada y sin herramientas para construir resiliencia colectiva.</w:t>
      </w:r>
    </w:p>
    <w:p>
      <w:r>
        <w:br w:type="page"/>
      </w:r>
    </w:p>
    <w:p>
      <w:pPr>
        <w:pStyle w:val="Heading1"/>
      </w:pPr>
      <w:r>
        <w:rPr>
          <w:color w:val="2E7D32"/>
        </w:rPr>
        <w:t>2. La Solución: Un Director Financiero Digital para la Finca</w:t>
      </w:r>
    </w:p>
    <w:p>
      <w:r>
        <w:rPr>
          <w:sz w:val="22"/>
        </w:rPr>
        <w:t xml:space="preserve">Para eliminar la ceguera financiera, desarrollamos un </w:t>
      </w:r>
      <w:r>
        <w:rPr>
          <w:b/>
          <w:sz w:val="22"/>
        </w:rPr>
        <w:t>Producto Mínimo Viable (MVP)</w:t>
      </w:r>
      <w:r>
        <w:rPr>
          <w:sz w:val="22"/>
        </w:rPr>
        <w:t xml:space="preserve"> en formato </w:t>
      </w:r>
      <w:r>
        <w:rPr>
          <w:b/>
          <w:sz w:val="22"/>
        </w:rPr>
        <w:t>Progressive Web App (PWA)</w:t>
      </w:r>
      <w:r>
        <w:rPr>
          <w:sz w:val="22"/>
        </w:rPr>
        <w:t xml:space="preserve"> con capacidad de funcionamiento </w:t>
      </w:r>
      <w:r>
        <w:rPr>
          <w:b/>
          <w:sz w:val="22"/>
        </w:rPr>
        <w:t>offline</w:t>
      </w:r>
      <w:r>
        <w:rPr>
          <w:sz w:val="22"/>
        </w:rPr>
        <w:t xml:space="preserve">. El sistema actúa como el </w:t>
      </w:r>
      <w:r>
        <w:rPr>
          <w:b/>
          <w:sz w:val="22"/>
        </w:rPr>
        <w:t>director financiero personal de cada finca</w:t>
      </w:r>
      <w:r>
        <w:rPr>
          <w:sz w:val="22"/>
        </w:rPr>
        <w:t>, permitiendo: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Funcionalidad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Descripción</w:t>
            </w:r>
          </w:p>
        </w:tc>
        <w:tc>
          <w:tcPr>
            <w:tcW w:type="dxa" w:w="3135"/>
            <w:shd w:fill="2E7D32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2"/>
              </w:rPr>
              <w:t>Impacto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Control por Cuartel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Registro detallado de ingresos y gastos asociados a cada lote productivo.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Visibilidad real de la rentabilidad por superficie.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Proyección de Liquidez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Estimación de flujo de caja futuro basado en datos históricos y programación de campañas.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Toma de decisiones informada y anticipación de déficits.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b/>
                <w:sz w:val="20"/>
              </w:rPr>
              <w:t>Simulador de Inversiones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Modelado de escenarios para rentabilizar capital de ocio (ej. Obligaciones Negociables).</w:t>
            </w:r>
          </w:p>
        </w:tc>
        <w:tc>
          <w:tcPr>
            <w:tcW w:type="dxa" w:w="3135"/>
          </w:tcPr>
          <w:p>
            <w:pPr>
              <w:jc w:val="left"/>
            </w:pPr>
            <w:r>
              <w:rPr>
                <w:sz w:val="20"/>
              </w:rPr>
              <w:t>Optimización financiera del excedente productivo.</w:t>
            </w:r>
          </w:p>
        </w:tc>
      </w:tr>
    </w:tbl>
    <w:p>
      <w:pPr>
        <w:jc w:val="left"/>
      </w:pPr>
      <w:r>
        <w:rPr>
          <w:b/>
          <w:color w:val="2E7D32"/>
          <w:sz w:val="22"/>
        </w:rPr>
        <w:t xml:space="preserve">Diferencial técnico: </w:t>
      </w:r>
      <w:r>
        <w:rPr>
          <w:i/>
          <w:color w:val="505050"/>
          <w:sz w:val="22"/>
        </w:rPr>
        <w:t>Al ser una PWA offline, el productor puede operar en zonas sin conectividad, sincronizando datos cuando recupera señal.</w:t>
      </w:r>
    </w:p>
    <w:p>
      <w:r>
        <w:br w:type="page"/>
      </w:r>
    </w:p>
    <w:p>
      <w:pPr>
        <w:pStyle w:val="Heading1"/>
      </w:pPr>
      <w:r>
        <w:rPr>
          <w:color w:val="2E7D32"/>
        </w:rPr>
        <w:t>3. El Motor Social: Red Colaborativa de Productores</w:t>
      </w:r>
    </w:p>
    <w:p>
      <w:r>
        <w:rPr>
          <w:sz w:val="22"/>
        </w:rPr>
        <w:t xml:space="preserve">El verdadero diferencial de AgroTech no es solo la gestión individual, sino la </w:t>
      </w:r>
      <w:r>
        <w:rPr>
          <w:b/>
          <w:sz w:val="22"/>
        </w:rPr>
        <w:t>transformación de la app en una plataforma comunitaria</w:t>
      </w:r>
      <w:r>
        <w:rPr>
          <w:sz w:val="22"/>
        </w:rPr>
        <w:t>. La tecnología empodera al productor fomentando tres pilares de apoyo mutuo:</w:t>
      </w:r>
    </w:p>
    <w:p>
      <w:pPr>
        <w:pStyle w:val="Heading2"/>
      </w:pPr>
      <w:r>
        <w:rPr>
          <w:color w:val="388E3C"/>
        </w:rPr>
        <w:t>3.1 Economía Colaborativa (Trueque Productivo)</w:t>
      </w:r>
    </w:p>
    <w:p>
      <w:r>
        <w:rPr>
          <w:sz w:val="22"/>
        </w:rPr>
        <w:t xml:space="preserve">La plataforma habilita el </w:t>
      </w:r>
      <w:r>
        <w:rPr>
          <w:b/>
          <w:sz w:val="22"/>
        </w:rPr>
        <w:t>intercambio de recursos sin circulación monetaria</w:t>
      </w:r>
      <w:r>
        <w:rPr>
          <w:sz w:val="22"/>
        </w:rPr>
        <w:t>. Ejemplos concretos:</w:t>
      </w:r>
    </w:p>
    <w:p>
      <w:pPr>
        <w:pStyle w:val="ListBullet"/>
      </w:pPr>
      <w:r>
        <w:rPr>
          <w:sz w:val="22"/>
        </w:rPr>
        <w:t>Un productor presta su tractor a cambio de jornales de poda.</w:t>
      </w:r>
    </w:p>
    <w:p>
      <w:pPr>
        <w:pStyle w:val="ListBullet"/>
      </w:pPr>
      <w:r>
        <w:rPr>
          <w:sz w:val="22"/>
        </w:rPr>
        <w:t>Intercambio de herramientas especializadas entre fincas de la misma zona.</w:t>
      </w:r>
    </w:p>
    <w:p>
      <w:r>
        <w:rPr>
          <w:b/>
          <w:color w:val="2E7D32"/>
          <w:sz w:val="22"/>
        </w:rPr>
        <w:t xml:space="preserve">Impacto: </w:t>
      </w:r>
      <w:r>
        <w:rPr>
          <w:i/>
          <w:color w:val="505050"/>
          <w:sz w:val="22"/>
        </w:rPr>
        <w:t>Reactivación de la economía rural circular, reducción de costos fijos y fortalecimiento de lazos comunitarios.</w:t>
      </w:r>
    </w:p>
    <w:p>
      <w:pPr>
        <w:pStyle w:val="Heading2"/>
      </w:pPr>
      <w:r>
        <w:rPr>
          <w:color w:val="388E3C"/>
        </w:rPr>
        <w:t>3.2 Protección Comunitaria (Alertas Tempranas)</w:t>
      </w:r>
    </w:p>
    <w:p>
      <w:r>
        <w:rPr>
          <w:sz w:val="22"/>
        </w:rPr>
        <w:t xml:space="preserve">Gracias a la integración con flujos de trabajo automatizados en </w:t>
      </w:r>
      <w:r>
        <w:rPr>
          <w:b/>
          <w:sz w:val="22"/>
        </w:rPr>
        <w:t>N8N</w:t>
      </w:r>
      <w:r>
        <w:rPr>
          <w:sz w:val="22"/>
        </w:rPr>
        <w:t xml:space="preserve">, el sistema funciona como una </w:t>
      </w:r>
      <w:r>
        <w:rPr>
          <w:b/>
          <w:sz w:val="22"/>
        </w:rPr>
        <w:t>red de vigilancia cooperativa</w:t>
      </w:r>
      <w:r>
        <w:rPr>
          <w:sz w:val="22"/>
        </w:rPr>
        <w:t>:</w:t>
      </w:r>
    </w:p>
    <w:p>
      <w:pPr>
        <w:pStyle w:val="ListBullet"/>
      </w:pPr>
      <w:r>
        <w:rPr>
          <w:sz w:val="22"/>
        </w:rPr>
        <w:t>Un usuario detecta una plaga o evento climático (helada, granizo, sequía).</w:t>
      </w:r>
    </w:p>
    <w:p>
      <w:pPr>
        <w:pStyle w:val="ListBullet"/>
      </w:pPr>
      <w:r>
        <w:rPr>
          <w:sz w:val="22"/>
        </w:rPr>
        <w:t>El sistema dispara notificaciones automáticas por WhatsApp a fincas vecinas registradas.</w:t>
      </w:r>
    </w:p>
    <w:p>
      <w:pPr>
        <w:pStyle w:val="ListBullet"/>
      </w:pPr>
      <w:r>
        <w:rPr>
          <w:sz w:val="22"/>
        </w:rPr>
        <w:t>Los productores pueden activar medidas preventivas coordinadas en tiempo real.</w:t>
      </w:r>
    </w:p>
    <w:p>
      <w:r>
        <w:rPr>
          <w:b/>
          <w:color w:val="2E7D32"/>
          <w:sz w:val="22"/>
        </w:rPr>
        <w:t xml:space="preserve">Impacto: </w:t>
      </w:r>
      <w:r>
        <w:rPr>
          <w:i/>
          <w:color w:val="505050"/>
          <w:sz w:val="22"/>
        </w:rPr>
        <w:t>Reducción de pérdidas productivas mediante respuesta comunitaria ágil y descentralizada.</w:t>
      </w:r>
    </w:p>
    <w:p>
      <w:pPr>
        <w:pStyle w:val="Heading2"/>
      </w:pPr>
      <w:r>
        <w:rPr>
          <w:color w:val="388E3C"/>
        </w:rPr>
        <w:t>3.3 Democratización de Precios</w:t>
      </w:r>
    </w:p>
    <w:p>
      <w:r>
        <w:rPr>
          <w:sz w:val="22"/>
        </w:rPr>
        <w:t>Los usuarios comparten de forma anónima y agregada los precios que consiguen por:</w:t>
      </w:r>
    </w:p>
    <w:p>
      <w:pPr>
        <w:pStyle w:val="ListBullet"/>
      </w:pPr>
      <w:r>
        <w:rPr>
          <w:sz w:val="22"/>
        </w:rPr>
        <w:t>Fertilizantes y fungicidas.</w:t>
      </w:r>
    </w:p>
    <w:p>
      <w:pPr>
        <w:pStyle w:val="ListBullet"/>
      </w:pPr>
      <w:r>
        <w:rPr>
          <w:sz w:val="22"/>
        </w:rPr>
        <w:t>Alquiler o compra de maquinaria.</w:t>
      </w:r>
    </w:p>
    <w:p>
      <w:pPr>
        <w:pStyle w:val="ListBullet"/>
      </w:pPr>
      <w:r>
        <w:rPr>
          <w:sz w:val="22"/>
        </w:rPr>
        <w:t>Servicios de tercerización (podas, cosechas mecanizadas).</w:t>
      </w:r>
    </w:p>
    <w:p>
      <w:r>
        <w:rPr>
          <w:b/>
          <w:color w:val="2E7D32"/>
          <w:sz w:val="22"/>
        </w:rPr>
        <w:t xml:space="preserve">Impacto: </w:t>
      </w:r>
      <w:r>
        <w:rPr>
          <w:i/>
          <w:color w:val="505050"/>
          <w:sz w:val="22"/>
        </w:rPr>
        <w:t>Mayor poder de negociación grupal, transparencia en un mercado tradicionalmente opaco y eliminación de asimetrías informativas.</w:t>
      </w:r>
    </w:p>
    <w:p>
      <w:r>
        <w:br w:type="page"/>
      </w:r>
    </w:p>
    <w:p>
      <w:pPr>
        <w:pStyle w:val="Heading1"/>
      </w:pPr>
      <w:r>
        <w:rPr>
          <w:color w:val="2E7D32"/>
        </w:rPr>
        <w:t>4. Conclusión: Más que Software, una Infraestructura de Resiliencia</w:t>
      </w:r>
    </w:p>
    <w:p>
      <w:r>
        <w:rPr>
          <w:sz w:val="22"/>
        </w:rPr>
        <w:t xml:space="preserve">AgroTech trasciende la categoría de software de gestión. Al </w:t>
      </w:r>
      <w:r>
        <w:rPr>
          <w:b/>
          <w:sz w:val="22"/>
        </w:rPr>
        <w:t>centralizar la información financiera</w:t>
      </w:r>
      <w:r>
        <w:rPr>
          <w:sz w:val="22"/>
        </w:rPr>
        <w:t xml:space="preserve"> y </w:t>
      </w:r>
      <w:r>
        <w:rPr>
          <w:b/>
          <w:sz w:val="22"/>
        </w:rPr>
        <w:t>conectar en red a los productores de Mendoza</w:t>
      </w:r>
      <w:r>
        <w:rPr>
          <w:sz w:val="22"/>
        </w:rPr>
        <w:t>, el MVP resuelve simultáneamente dos necesidades aparentemente dispares:</w:t>
      </w:r>
    </w:p>
    <w:p>
      <w:pPr>
        <w:pStyle w:val="ListNumber"/>
      </w:pPr>
      <w:r>
        <w:rPr>
          <w:b/>
          <w:sz w:val="22"/>
        </w:rPr>
        <w:t>Rentabilidad económica individual</w:t>
      </w:r>
      <w:r>
        <w:rPr>
          <w:sz w:val="22"/>
        </w:rPr>
        <w:t>, mediante el control financiero preciso y la proyección de liquidez.</w:t>
      </w:r>
    </w:p>
    <w:p>
      <w:pPr>
        <w:pStyle w:val="ListNumber"/>
      </w:pPr>
      <w:r>
        <w:rPr>
          <w:b/>
          <w:sz w:val="22"/>
        </w:rPr>
        <w:t>Resiliencia comunitaria</w:t>
      </w:r>
      <w:r>
        <w:rPr>
          <w:sz w:val="22"/>
        </w:rPr>
        <w:t>, mediante la construcción de una red de colaboración que transforma la competencia aislada en cooperación estratégica.</w:t>
      </w:r>
    </w:p>
    <w:p>
      <w:pPr>
        <w:jc w:val="center"/>
      </w:pPr>
      <w:r>
        <w:rPr>
          <w:b/>
          <w:color w:val="2E7D32"/>
          <w:sz w:val="26"/>
        </w:rPr>
        <w:t xml:space="preserve">Visión: </w:t>
      </w:r>
      <w:r>
        <w:rPr>
          <w:i/>
          <w:color w:val="3C3C3C"/>
          <w:sz w:val="26"/>
        </w:rPr>
        <w:t>Un ecosistema productivo mendocino donde la tecnología no reemplace la sabiduría del campo, sino que la potencie con datos, conectividad y solidaridad digital.</w:t>
      </w:r>
    </w:p>
    <w:p/>
    <w:p/>
    <w:p>
      <w:pPr>
        <w:jc w:val="center"/>
      </w:pPr>
      <w:r>
        <w:rPr>
          <w:i/>
          <w:color w:val="787878"/>
          <w:sz w:val="18"/>
        </w:rPr>
        <w:t>Documento generado para el proyecto AgroTech — Cátedra de Metodología de Sistemas II (UTN FRSR)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