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98"/>
      </w:tblGrid>
      <w:tr>
        <w:tc>
          <w:tcPr>
            <w:tcW w:type="dxa" w:w="153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3D5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MODELO DE NEGOCIO CANVAS  ·  OceanOS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0"/>
        <w:gridCol w:w="3080"/>
        <w:gridCol w:w="3078"/>
        <w:gridCol w:w="3080"/>
        <w:gridCol w:w="3080"/>
      </w:tblGrid>
      <w:tr>
        <w:tc>
          <w:tcPr>
            <w:tcW w:type="dxa" w:w="3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F1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Socios clave</w:t>
            </w:r>
          </w:p>
        </w:tc>
        <w:tc>
          <w:tcPr>
            <w:tcW w:type="dxa" w:w="3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F1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Actividades clave</w:t>
            </w:r>
          </w:p>
        </w:tc>
        <w:tc>
          <w:tcPr>
            <w:tcW w:type="dxa" w:w="30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9FE1C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Propuesta de valor</w:t>
            </w:r>
          </w:p>
        </w:tc>
        <w:tc>
          <w:tcPr>
            <w:tcW w:type="dxa" w:w="3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EE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Relación con clientes</w:t>
            </w:r>
          </w:p>
        </w:tc>
        <w:tc>
          <w:tcPr>
            <w:tcW w:type="dxa" w:w="3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EE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Segmentos de clientes</w:t>
            </w:r>
          </w:p>
        </w:tc>
      </w:tr>
    </w:tbl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0"/>
        <w:gridCol w:w="3080"/>
        <w:gridCol w:w="3078"/>
        <w:gridCol w:w="3080"/>
        <w:gridCol w:w="3080"/>
      </w:tblGrid>
      <w:tr>
        <w:tc>
          <w:tcPr>
            <w:tcW w:type="dxa" w:w="3080"/>
            <w:vMerge w:val="restart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4"/>
                <w:szCs w:val="14"/>
              </w:rPr>
              <w:t xml:space="preserve">SOCIOS CLAVE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A3D5C"/>
                <w:sz w:val="20"/>
                <w:szCs w:val="20"/>
              </w:rPr>
              <w:t xml:space="preserve">Alianzas estratégicas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CONICET / CENPAT — validación científica y datos de referencia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Secretaría de Pesca de la Nación — marco regulatorio y datos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Fundación Rewilding Argentina — metodología de restauración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Operadores turísticos de Puerto Madryn y Península Valdés — socios de tokens OKN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Proveedores de sensores IoT — temperatura, salinidad y biomasa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Verra y Gold Standard — certificación de créditos de carbono azul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Fondos ESG internacionales — compradores del marketplace de activos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4"/>
                <w:szCs w:val="14"/>
              </w:rPr>
              <w:t xml:space="preserve">ACTIVIDADES CLAVE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A3D5C"/>
                <w:sz w:val="20"/>
                <w:szCs w:val="20"/>
              </w:rPr>
              <w:t xml:space="preserve">¿Qué hace OceanOS?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Desarrollo de software de reporte y clasificación por IA on-device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Operación del backend en tiempo real (Supabase + Mapbox)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Gestión y validación de datos ciudadanos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Certificación automática de créditos de carbono azul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Operación del marketplace de activos de océano</w:t>
            </w:r>
          </w:p>
        </w:tc>
        <w:tc>
          <w:tcPr>
            <w:tcW w:type="dxa" w:w="3078"/>
            <w:vMerge w:val="restart"/>
            <w:tcBorders>
              <w:top w:val="single" w:color="5DCAA5" w:sz="4"/>
              <w:left w:val="single" w:color="5DCAA5" w:sz="4"/>
              <w:bottom w:val="single" w:color="5DCAA5" w:sz="4"/>
              <w:right w:val="single" w:color="5DCAA5" w:sz="4"/>
            </w:tcBorders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4"/>
                <w:szCs w:val="14"/>
              </w:rPr>
              <w:t xml:space="preserve">PROPUESTA DE VALOR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El sistema operativo del océano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App gratuita: convierte avistamientos en datos científicos verificados y tokens OKN canjeables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SaaS marino: reemplaza el monitoreo manual costoso con datos en tiempo real e IoT integrado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Marketplace global: conecta restauradores de ecosistemas certificados con compradores ESG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Accesible desde cualquier dispositivo, con modo offline para zonas sin señal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Único servicio con foco en el Atlántico Sur y ecosistemas de kelp patagónicos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Certificación reconocida internacionalmente por Verra y Gold Standard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4"/>
                <w:szCs w:val="14"/>
              </w:rPr>
              <w:t xml:space="preserve">RELACIÓN CON CLIENTES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A3D5C"/>
                <w:sz w:val="20"/>
                <w:szCs w:val="20"/>
              </w:rPr>
              <w:t xml:space="preserve">¿Cómo interactúa?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App self-service con gamificación (tokens, ranking, insignias)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Dashboard B2B automatizado con alertas en tiempo real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Comunidad de ciencia ciudadana: usuarios verifican reportes entre sí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Soporte dedicado para clientes Enterprise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Reportes automáticos para BID, GEF y fondos internacionales</w:t>
            </w:r>
          </w:p>
        </w:tc>
        <w:tc>
          <w:tcPr>
            <w:tcW w:type="dxa" w:w="3080"/>
            <w:vMerge w:val="restart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4"/>
                <w:szCs w:val="14"/>
              </w:rPr>
              <w:t xml:space="preserve">SEGMENTOS DE CLIENTES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A3D5C"/>
                <w:sz w:val="20"/>
                <w:szCs w:val="20"/>
              </w:rPr>
              <w:t xml:space="preserve">¿A quién sirve?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B2C: Buceadores, pescadores artesanales, turistas de naturaleza, investigadores CONICET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B2B Starter: ONGs ambientales y áreas protegidas con presupuesto limitado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B2B Professional: Pesqueras patagónicas (Coomarpes, Pesc. Santa Cruz)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B2B Enterprise: Gobierno provincial (Sec. Pesca Chubut y Santa Cruz)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Marketplace: Corporaciones net-zero, fondos ESG, gobiernos Kunming-Montreal</w:t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4"/>
                <w:szCs w:val="14"/>
              </w:rPr>
              <w:t xml:space="preserve">RECURSOS CLAVE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A3D5C"/>
                <w:sz w:val="20"/>
                <w:szCs w:val="20"/>
              </w:rPr>
              <w:t xml:space="preserve">¿Con qué opera?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Modelo de IA on-device para clasificación de especies (TensorFlow Lite)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Base de datos de avistamientos verificados (activo propietario)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Infraestructura cloud escalable (Supabase + Vercel)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Metodología de certificación de carbono azul validada por CONICET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Equipo tech: fundador + 4 desarrolladores (React Native, backend, IA, web)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Ecosistema de kelp patagónico — 180.000 km² de costa accesible</w:t>
            </w:r>
          </w:p>
        </w:tc>
        <w:tc>
          <w:tcPr>
            <w:vMerge w:val="continue"/>
            <w:tcBorders>
              <w:top w:val="single" w:color="5DCAA5" w:sz="4"/>
              <w:left w:val="single" w:color="5DCAA5" w:sz="4"/>
              <w:bottom w:val="single" w:color="5DCAA5" w:sz="4"/>
              <w:right w:val="single" w:color="5DCAA5" w:sz="4"/>
            </w:tcBorders>
          </w:tcPr>
          <w:p/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4"/>
                <w:szCs w:val="14"/>
              </w:rPr>
              <w:t xml:space="preserve">CANALES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A3D5C"/>
                <w:sz w:val="20"/>
                <w:szCs w:val="20"/>
              </w:rPr>
              <w:t xml:space="preserve">¿Cómo llega al cliente?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App móvil iOS y Android (React Native)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Dashboard web para clientes SaaS B2B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Marketplace online de activos de océano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WhatsApp y clubes de buceo para captación B2C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Outreach directo a pesqueras y ONGs patagónicas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Alianzas con operadores turísticos de Península Valdés</w:t>
            </w:r>
          </w:p>
        </w:tc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</w:tr>
    </w:tbl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99"/>
        <w:gridCol w:w="7699"/>
      </w:tblGrid>
      <w:tr>
        <w:tc>
          <w:tcPr>
            <w:tcW w:type="dxa" w:w="769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B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Estructura de costos</w:t>
            </w:r>
          </w:p>
        </w:tc>
        <w:tc>
          <w:tcPr>
            <w:tcW w:type="dxa" w:w="769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D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Fuentes de ingresos</w:t>
            </w:r>
          </w:p>
        </w:tc>
      </w:tr>
    </w:tbl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99"/>
        <w:gridCol w:w="7699"/>
      </w:tblGrid>
      <w:tr>
        <w:tc>
          <w:tcPr>
            <w:tcW w:type="dxa" w:w="769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14"/>
                <w:szCs w:val="14"/>
              </w:rPr>
              <w:t xml:space="preserve">ESTRUCTURA DE COSTOS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A3D5C"/>
                <w:sz w:val="20"/>
                <w:szCs w:val="20"/>
              </w:rPr>
              <w:t xml:space="preserve">Principales egresos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Desarrollo de producto: app móvil, backend e IA (60% del seed)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Infraestructura cloud y servidores (Supabase, Vercel, Mapbox)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Certificaciones de carbono: proceso Verra / Gold Standard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Equipo: sueldos de desarrolladores y contrataciones post-seed (25% del seed)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Operaciones y piloto en Puerto Madryn (15% del seed)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Adquisición de sensores IoT: temperatura, salinidad y biomasa</w:t>
            </w:r>
          </w:p>
        </w:tc>
        <w:tc>
          <w:tcPr>
            <w:tcW w:type="dxa" w:w="769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14"/>
                <w:szCs w:val="14"/>
              </w:rPr>
              <w:t xml:space="preserve">FUENTES DE INGRESOS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A3D5C"/>
                <w:sz w:val="20"/>
                <w:szCs w:val="20"/>
              </w:rPr>
              <w:t xml:space="preserve">Principales ingresos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Suscripción SaaS Starter: u$s 500/mes (desde mes 6)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Suscripción SaaS Professional: u$s 2.000/mes (desde mes 8)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Suscripción SaaS Enterprise: u$s 8.000/mes (desde mes 12)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Comisión marketplace de activos: 8–12% por transacción (desde mes 15)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Venta de datos oceanográficos anonimizados: u$s 5.000/dataset (desde mes 9)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Revenue share con operadores de ecoturismo: 15% (desde mes 4)</w:t>
            </w:r>
          </w:p>
        </w:tc>
      </w:tr>
    </w:tbl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94A3B8"/>
          <w:sz w:val="16"/>
          <w:szCs w:val="16"/>
        </w:rPr>
        <w:t xml:space="preserve">Restauramos ecosistemas y los convertimos en activos financieros  ·  Puerto Deseado, Santa Cruz  ·  Argentina  ·  2026</w:t>
      </w:r>
    </w:p>
    <w:sectPr>
      <w:headerReference w:type="default" r:id="rId7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64748B"/>
        <w:sz w:val="16"/>
        <w:szCs w:val="16"/>
      </w:rPr>
      <w:t xml:space="preserve">🌊 OceanOS — Modelo Canvas  ·  App Ciudadana · SaaS Marino · Plataforma de Activos de Océano  ·  Argentina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2026-06-11T23:57:28.811Z</dcterms:created>
  <dcterms:modified xsi:type="dcterms:W3CDTF">2026-06-11T23:57:28.811Z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