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实验室流程管理系统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研发分析员（系统角色：分析检测员）使用说明书</w:t>
      </w:r>
    </w:p>
    <w:p>
      <w:pPr>
        <w:jc w:val="center"/>
      </w:pPr>
      <w:r>
        <w:rPr>
          <w:color w:val="595959"/>
          <w:sz w:val="24"/>
        </w:rPr>
        <w:t>V2.0.0  |  岗位操作与权限边界</w:t>
      </w:r>
    </w:p>
    <w:p>
      <w:pPr>
        <w:spacing w:before="520"/>
        <w:jc w:val="center"/>
      </w:pPr>
      <w:r>
        <w:rPr>
          <w:sz w:val="20"/>
        </w:rPr>
        <w:t>文档说明：本文档按照 v2.0.0 实际页面和角色权限编写。页面截图、账号、项目和实验室名称以现场部署数据为准。</w:t>
        <w:br/>
      </w:r>
      <w:r>
        <w:rPr>
          <w:b/>
        </w:rPr>
        <w:t>人员变动通知仅用于通知和审批，不替代管理员或分析检测组长对实际人员、项目和方法的手工维护。</w:t>
      </w:r>
    </w:p>
    <w:p>
      <w:r>
        <w:br w:type="page"/>
      </w:r>
    </w:p>
    <w:p>
      <w:pPr>
        <w:pStyle w:val="Heading1"/>
      </w:pPr>
      <w:r>
        <w:t>一、权限范围与工作边界</w:t>
      </w:r>
    </w:p>
    <w:p>
      <w:r>
        <w:t>当前登录角色：研发分析员（系统角色：分析检测员）。本角色只能在系统分配的数据范围内操作；看不到的菜单或按钮属于权限控制，并非系统故障。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本角色权限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数据范围/边界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登录与个人信息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登录、确认账号和角色、退出登录</w:t>
            </w:r>
          </w:p>
        </w:tc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仅操作本人账号；发现角色不符应联系系统管理员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研发送样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按角色执行新建、查看或处理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本人授权范围内的分析检测任务；研发送样记录通常只读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样品信息登记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按角色执行登记、查询或处理</w:t>
            </w:r>
          </w:p>
        </w:tc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只处理已授权的样品和项目；必填项未完成不能提交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人员变动通知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不参与人员变动通知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独立通知数据，不写入程序 PostgreSQL；审批通过后才更新项目及人员汇总表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项目及人员汇总表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无本模块维护权限；需要时联系组长或管理员</w:t>
            </w:r>
          </w:p>
        </w:tc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研发送样组长仅限本人关联实验室；系统管理员、分析检测组长可查看全部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系统管理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按角色显示菜单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不能操作的配置不应通过其他入口绕过</w:t>
            </w:r>
          </w:p>
        </w:tc>
      </w:tr>
    </w:tbl>
    <w:p/>
    <w:p>
      <w:pPr>
        <w:pStyle w:val="Heading1"/>
      </w:pPr>
      <w:r>
        <w:t>二、登录与首次使用</w:t>
      </w:r>
    </w:p>
    <w:p>
      <w:pPr>
        <w:pStyle w:val="Heading3"/>
      </w:pPr>
      <w:r>
        <w:t>步骤 1：打开登录页</w:t>
      </w:r>
    </w:p>
    <w:p>
      <w:pPr>
        <w:spacing w:after="100"/>
        <w:ind w:left="317"/>
      </w:pPr>
      <w:r>
        <w:t>使用部署地址打开系统登录页。v2.0.0 登录页不显示注册入口；新账号由系统管理员创建。</w:t>
      </w:r>
    </w:p>
    <w:p>
      <w:pPr>
        <w:pStyle w:val="Heading3"/>
      </w:pPr>
      <w:r>
        <w:t>步骤 2：输入账号和密码</w:t>
      </w:r>
    </w:p>
    <w:p>
      <w:pPr>
        <w:spacing w:after="100"/>
        <w:ind w:left="317"/>
      </w:pPr>
      <w:r>
        <w:t>输入管理员分配的用户名和密码，点击登录。密码不要通过截图或聊天工具传播。</w:t>
      </w:r>
    </w:p>
    <w:p>
      <w:pPr>
        <w:pStyle w:val="Heading3"/>
      </w:pPr>
      <w:r>
        <w:t>步骤 3：确认身份</w:t>
      </w:r>
    </w:p>
    <w:p>
      <w:pPr>
        <w:spacing w:after="100"/>
        <w:ind w:left="317"/>
      </w:pPr>
      <w:r>
        <w:t>登录后查看右上角账号、角色和组织信息，确认与岗位一致。角色、实验室或项目不正确时先退出并联系管理员。</w:t>
      </w:r>
    </w:p>
    <w:p>
      <w:pPr>
        <w:pStyle w:val="Heading3"/>
      </w:pPr>
      <w:r>
        <w:t>步骤 4：检查首页菜单</w:t>
      </w:r>
    </w:p>
    <w:p>
      <w:pPr>
        <w:spacing w:after="100"/>
        <w:ind w:left="317"/>
      </w:pPr>
      <w:r>
        <w:t>首页只显示当前角色可用入口。首次使用先确认页面可打开，再开始业务操作。</w:t>
      </w:r>
    </w:p>
    <w:p>
      <w:pPr>
        <w:pStyle w:val="Heading1"/>
      </w:pPr>
      <w:r>
        <w:t>三、通用操作约定</w:t>
      </w:r>
    </w:p>
    <w:p>
      <w:pPr>
        <w:pStyle w:val="ListBullet"/>
        <w:spacing w:after="40"/>
      </w:pPr>
      <w:r>
        <w:t>带红色星号（*）的字段为必填项；保存前检查项目、实验室、方法和人员是否选对。</w:t>
      </w:r>
    </w:p>
    <w:p>
      <w:pPr>
        <w:pStyle w:val="ListBullet"/>
        <w:spacing w:after="40"/>
      </w:pPr>
      <w:r>
        <w:t>列表页可使用查询条件、日期范围、分页和刷新；提交后以系统提示和列表状态为准。</w:t>
      </w:r>
    </w:p>
    <w:p>
      <w:pPr>
        <w:pStyle w:val="ListBullet"/>
        <w:spacing w:after="40"/>
      </w:pPr>
      <w:r>
        <w:t>浏览器刷新或关闭页面前，先保存草稿或提交；未保存内容通常不会保留。</w:t>
      </w:r>
    </w:p>
    <w:p>
      <w:pPr>
        <w:pStyle w:val="ListBullet"/>
        <w:spacing w:after="40"/>
      </w:pPr>
      <w:r>
        <w:t>涉及文件导入时只使用系统导出的模板，保持列名和格式不变；导入后核对预览和错误行。</w:t>
      </w:r>
    </w:p>
    <w:p>
      <w:pPr>
        <w:pStyle w:val="ListBullet"/>
        <w:spacing w:after="40"/>
      </w:pPr>
      <w:r>
        <w:t>人员变动通知与汇总表是独立功能。通知提交不会直接修改用户、项目、方法等主数据。</w:t>
      </w:r>
    </w:p>
    <w:p>
      <w:pPr>
        <w:pStyle w:val="Heading1"/>
      </w:pPr>
      <w:r>
        <w:t>四、分析检测业务流程</w:t>
      </w:r>
    </w:p>
    <w:p>
      <w:pPr>
        <w:pStyle w:val="Heading3"/>
      </w:pPr>
      <w:r>
        <w:t>步骤 1：进入分析检测</w:t>
      </w:r>
    </w:p>
    <w:p>
      <w:pPr>
        <w:spacing w:after="100"/>
        <w:ind w:left="317"/>
      </w:pPr>
      <w:r>
        <w:t>从首页进入“分析检测”，查看分配到本人范围内的待取样、检测中和待完成任务。</w:t>
      </w:r>
    </w:p>
    <w:p>
      <w:pPr>
        <w:pStyle w:val="Heading3"/>
      </w:pPr>
      <w:r>
        <w:t>步骤 2：取样</w:t>
      </w:r>
    </w:p>
    <w:p>
      <w:pPr>
        <w:spacing w:after="100"/>
        <w:ind w:left="317"/>
      </w:pPr>
      <w:r>
        <w:t>打开任务核对样品编号、项目、方法和数量，确认实际样品后执行取样，系统记录取样人和时间。</w:t>
      </w:r>
    </w:p>
    <w:p>
      <w:pPr>
        <w:pStyle w:val="Heading3"/>
      </w:pPr>
      <w:r>
        <w:t>步骤 3：完成检测</w:t>
      </w:r>
    </w:p>
    <w:p>
      <w:pPr>
        <w:spacing w:after="100"/>
        <w:ind w:left="317"/>
      </w:pPr>
      <w:r>
        <w:t>按任务要求完成检测，录入结果、单位、异常说明和附件，核对后点击完成检测。</w:t>
      </w:r>
    </w:p>
    <w:p>
      <w:pPr>
        <w:pStyle w:val="Heading3"/>
      </w:pPr>
      <w:r>
        <w:t>步骤 4：查看工作量</w:t>
      </w:r>
    </w:p>
    <w:p>
      <w:pPr>
        <w:spacing w:after="100"/>
        <w:ind w:left="317"/>
      </w:pPr>
      <w:r>
        <w:t>从工作量入口按系统开放的范围查看个人或授权范围统计；统计结果用于工作安排，不替代原始检测记录。</w:t>
      </w:r>
    </w:p>
    <w:p>
      <w:pPr>
        <w:pStyle w:val="Heading3"/>
      </w:pPr>
      <w:r>
        <w:t>步骤 5：查询历史</w:t>
      </w:r>
    </w:p>
    <w:p>
      <w:pPr>
        <w:spacing w:after="100"/>
        <w:ind w:left="317"/>
      </w:pPr>
      <w:r>
        <w:t>在分析检测记录中按编号、项目、日期和状态查询；异常结果按组织流程反馈，不要擅自修改原始数据。</w:t>
      </w:r>
    </w:p>
    <w:p>
      <w:pPr>
        <w:pStyle w:val="Heading1"/>
      </w:pPr>
      <w:r>
        <w:t>五、样品信息登记</w:t>
      </w:r>
    </w:p>
    <w:p>
      <w:r>
        <w:t>样品信息登记是正式业务数据流程，与人员变动通知相互独立。提交后的登记信息按系统权限保存并供后续查询、检测和统计使用。</w:t>
      </w:r>
    </w:p>
    <w:p>
      <w:pPr>
        <w:pStyle w:val="Heading3"/>
      </w:pPr>
      <w:r>
        <w:t>步骤 1：进入登记入口</w:t>
      </w:r>
    </w:p>
    <w:p>
      <w:pPr>
        <w:spacing w:after="100"/>
        <w:ind w:left="317"/>
      </w:pPr>
      <w:r>
        <w:t>从首页打开“样品信息登记”，选择新增登记或进入已有记录。</w:t>
      </w:r>
    </w:p>
    <w:p>
      <w:pPr>
        <w:pStyle w:val="Heading3"/>
      </w:pPr>
      <w:r>
        <w:t>步骤 2：选择项目和样品</w:t>
      </w:r>
    </w:p>
    <w:p>
      <w:pPr>
        <w:spacing w:after="100"/>
        <w:ind w:left="317"/>
      </w:pPr>
      <w:r>
        <w:t>按页面顺序填写项目、样品编号/名称、来源、数量、单位、接收信息等字段；先选项目再选择该项目可用的检测方法。</w:t>
      </w:r>
    </w:p>
    <w:p>
      <w:pPr>
        <w:pStyle w:val="Heading3"/>
      </w:pPr>
      <w:r>
        <w:t>步骤 3：填写检测信息</w:t>
      </w:r>
    </w:p>
    <w:p>
      <w:pPr>
        <w:spacing w:after="100"/>
        <w:ind w:left="317"/>
      </w:pPr>
      <w:r>
        <w:t>按实际任务填写方法、仪器、优先级、备注和附件。附件上传完成后确认文件名和预览可用。</w:t>
      </w:r>
    </w:p>
    <w:p>
      <w:pPr>
        <w:pStyle w:val="Heading3"/>
      </w:pPr>
      <w:r>
        <w:t>步骤 4：保存或提交</w:t>
      </w:r>
    </w:p>
    <w:p>
      <w:pPr>
        <w:spacing w:after="100"/>
        <w:ind w:left="317"/>
      </w:pPr>
      <w:r>
        <w:t>信息未齐全时保存草稿；确认无误后提交。提交后查看列表状态，避免重复提交。</w:t>
      </w:r>
    </w:p>
    <w:p>
      <w:pPr>
        <w:pStyle w:val="Heading3"/>
      </w:pPr>
      <w:r>
        <w:t>步骤 5：查询和修订</w:t>
      </w:r>
    </w:p>
    <w:p>
      <w:pPr>
        <w:spacing w:after="100"/>
        <w:ind w:left="317"/>
      </w:pPr>
      <w:r>
        <w:t>在登记列表使用编号、项目、日期和状态查询。只有当前角色授权的记录可编辑；已进入后续环节的记录按页面提示处理。</w:t>
      </w:r>
    </w:p>
    <w:p>
      <w:pPr>
        <w:pStyle w:val="Heading2"/>
      </w:pPr>
      <w:r>
        <w:t>样品信息登记检查清单</w:t>
      </w:r>
    </w:p>
    <w:p>
      <w:pPr>
        <w:pStyle w:val="ListBullet"/>
        <w:spacing w:after="40"/>
      </w:pPr>
      <w:r>
        <w:t>项目、实验室和检测方法三者匹配，样品编号无重复。</w:t>
      </w:r>
    </w:p>
    <w:p>
      <w:pPr>
        <w:pStyle w:val="ListBullet"/>
        <w:spacing w:after="40"/>
      </w:pPr>
      <w:r>
        <w:t>必填字段已完成，数量和单位与实物/送样单一致。</w:t>
      </w:r>
    </w:p>
    <w:p>
      <w:pPr>
        <w:pStyle w:val="ListBullet"/>
        <w:spacing w:after="40"/>
      </w:pPr>
      <w:r>
        <w:t>附件能正常打开，备注没有把多个样品信息混写。</w:t>
      </w:r>
    </w:p>
    <w:p>
      <w:pPr>
        <w:pStyle w:val="ListBullet"/>
        <w:spacing w:after="40"/>
      </w:pPr>
      <w:r>
        <w:t>提交后状态已更新；需要后续处理时及时通知对应分析检测人员。</w:t>
      </w:r>
    </w:p>
    <w:p>
      <w:pPr>
        <w:pStyle w:val="Heading1"/>
      </w:pPr>
      <w:r>
        <w:t>六、人员变动通知与项目人员汇总表</w:t>
      </w:r>
    </w:p>
    <w:p>
      <w:r>
        <w:t>本角色不参与人员变动通知的发起、查看审批或汇总表维护。人员、项目和方法关联如需调整，请联系系统管理员或分析检测组长。</w:t>
      </w:r>
    </w:p>
    <w:p>
      <w:pPr>
        <w:pStyle w:val="Heading2"/>
      </w:pPr>
      <w:r>
        <w:t>人员变动字段规则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变动类型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填写要点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审批/汇总表影响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员工加入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填写新员工和所属实验室，可多选项目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通过后新增人员与项目、方法关联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员工离职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选择已有人员并核对其项目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通过后按审批内容取消关联；实际账号和主数据由管理员处理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实验室内人员调动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项目下拉显示课题组长关联实验室的全部项目；默认勾选已关联项目，取消勾选即取消关联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通过后按项目勾选结果调整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跨实验室人员调动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不填写目标实验室、目标项目；项目留空表示取消当前实验室全部项目关联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通过后更新当前实验室关联，目标实验室由管理员另行维护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实验室新增项目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填写项目代号、方法，说明是否为高新项目；高新项目填写名称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通过后新增项目行及人员/方法信息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实验室新增方法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选择项目，方法逐条填写；禁止逗号、顿号、分号和换行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通过后在对应项目方法列表中增加方法</w:t>
            </w:r>
          </w:p>
        </w:tc>
      </w:tr>
    </w:tbl>
    <w:p/>
    <w:p>
      <w:r>
        <w:t>注意：人员变动通知本身不写入后端数据库。审批通过只更新独立的项目及人员汇总表；真实人员、实验室、项目和方法主数据仍由管理员或分析检测组长按系统流程手工调整。</w:t>
      </w:r>
    </w:p>
    <w:p>
      <w:pPr>
        <w:pStyle w:val="Heading1"/>
      </w:pPr>
      <w:r>
        <w:t>七、日常检查与常见问题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排查与处理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登录后菜单少于预期</w:t>
            </w:r>
          </w:p>
        </w:tc>
        <w:tc>
          <w:tcPr>
            <w:tcW w:type="dxa" w:w="67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核对右上角角色、组织和实验室范围；权限由管理员配置，不要重复注册账号。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列表没有数据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检查日期范围、状态和实验室筛选条件，点击刷新；仍无数据时联系管理员核对数据权限。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提交按钮不可用</w:t>
            </w:r>
          </w:p>
        </w:tc>
        <w:tc>
          <w:tcPr>
            <w:tcW w:type="dxa" w:w="67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检查必填项、格式校验、附件上传和网络状态；按页面提示逐项修正。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通知审批后汇总表未变化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确认审批状态为“通过”，刷新汇总表；实际主数据调整仍需管理员或分析检测组长手工完成。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方法名称无法提交</w:t>
            </w:r>
          </w:p>
        </w:tc>
        <w:tc>
          <w:tcPr>
            <w:tcW w:type="dxa" w:w="67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逐条输入方法名称，不得包含逗号、顿号、分号或换行；不要把多个方法合并到一个输入框。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导入汇总表报错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使用系统导出模板，保持列名、编码和必填列；清理重复项目/人员行后重新导入并查看错误明细。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页面卡顿或提示网络错误</w:t>
            </w:r>
          </w:p>
        </w:tc>
        <w:tc>
          <w:tcPr>
            <w:tcW w:type="dxa" w:w="67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先保存当前内容，刷新后重新登录；持续出现时记录时间、页面和操作步骤并提交管理员。</w:t>
            </w:r>
          </w:p>
        </w:tc>
      </w:tr>
    </w:tbl>
    <w:p/>
    <w:p>
      <w:pPr>
        <w:pStyle w:val="Heading1"/>
      </w:pPr>
      <w:r>
        <w:t>七、岗位交接与安全要求</w:t>
      </w:r>
    </w:p>
    <w:p>
      <w:pPr>
        <w:pStyle w:val="ListBullet"/>
        <w:spacing w:after="40"/>
      </w:pPr>
      <w:r>
        <w:t>每日结束前确认本人提交的记录状态，未完成事项通过系统通知或组织规定渠道交接。</w:t>
      </w:r>
    </w:p>
    <w:p>
      <w:pPr>
        <w:pStyle w:val="ListBullet"/>
        <w:spacing w:after="40"/>
      </w:pPr>
      <w:r>
        <w:t>不得共用账号、代替他人审批或使用他人角色操作；所有审批和业务记录均保留操作人信息。</w:t>
      </w:r>
    </w:p>
    <w:p>
      <w:pPr>
        <w:pStyle w:val="ListBullet"/>
        <w:spacing w:after="40"/>
      </w:pPr>
      <w:r>
        <w:t>导出文件属于业务数据，按组织规定保存和传递，使用完毕及时清理本地临时副本。</w:t>
      </w:r>
    </w:p>
    <w:p>
      <w:pPr>
        <w:pStyle w:val="ListBullet"/>
        <w:spacing w:after="40"/>
      </w:pPr>
      <w:r>
        <w:t>版本升级后先确认页面显示 v2.0.0，再按本手册操作；发现与手册不一致时以系统实际提示为准并反馈管理员。</w:t>
      </w:r>
    </w:p>
    <w:p>
      <w:pPr>
        <w:spacing w:before="400"/>
        <w:jc w:val="center"/>
      </w:pPr>
      <w:r>
        <w:rPr>
          <w:color w:val="595959"/>
        </w:rPr>
        <w:t>—— 本手册完 ——</w:t>
      </w:r>
    </w:p>
    <w:sectPr w:rsidR="00FC693F" w:rsidRPr="0006063C" w:rsidSect="00034616"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研发分析员（系统角色：分析检测员）使用说明书 V2.0.0</dc:title>
  <dc:subject>实验室流程管理系统岗位操作手册</dc:subject>
  <dc:creator>LabFlow</dc:creator>
  <cp:keywords/>
  <dc:description>基于 v2.0.0 实际角色权限编写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