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Microsoft YaHei" w:hAnsi="Microsoft YaHei" w:eastAsia="Microsoft YaHei"/>
          <w:b/>
          <w:color w:val="1F4E79"/>
          <w:sz w:val="48"/>
        </w:rPr>
        <w:t>实验室流程管理系统</w:t>
      </w:r>
    </w:p>
    <w:p>
      <w:pPr>
        <w:jc w:val="center"/>
      </w:pPr>
      <w:r>
        <w:rPr>
          <w:rFonts w:ascii="Microsoft YaHei" w:hAnsi="Microsoft YaHei" w:eastAsia="Microsoft YaHei"/>
          <w:b/>
          <w:sz w:val="40"/>
        </w:rPr>
        <w:t>研发送样组长人员变动通知使用说明书</w:t>
      </w:r>
    </w:p>
    <w:p>
      <w:pPr>
        <w:jc w:val="center"/>
      </w:pPr>
      <w:r>
        <w:rPr>
          <w:color w:val="595959"/>
          <w:sz w:val="24"/>
        </w:rPr>
        <w:t>V2.0.0  |  岗位操作与权限边界</w:t>
      </w:r>
    </w:p>
    <w:p>
      <w:pPr>
        <w:spacing w:before="520"/>
        <w:jc w:val="center"/>
      </w:pPr>
      <w:r>
        <w:rPr>
          <w:sz w:val="20"/>
        </w:rPr>
        <w:t>文档说明：本文档按照 v2.0.0 实际页面和角色权限编写。页面截图、账号、项目和实验室名称以现场部署数据为准。</w:t>
        <w:br/>
      </w:r>
      <w:r>
        <w:rPr>
          <w:b/>
        </w:rPr>
        <w:t>人员变动通知仅用于通知和审批，不替代管理员或分析检测组长对实际人员、项目和方法的手工维护。</w:t>
      </w:r>
    </w:p>
    <w:p>
      <w:r>
        <w:br w:type="page"/>
      </w:r>
    </w:p>
    <w:p>
      <w:pPr>
        <w:pStyle w:val="Heading1"/>
      </w:pPr>
      <w:r>
        <w:t>一、功能定位与数据边界</w:t>
      </w:r>
    </w:p>
    <w:p>
      <w:r>
        <w:t>人员变动通知用于把人员、项目和检测方法的变化反馈给审批人，供通知、核对和审批留痕使用。它是独立功能，不替代用户、实验室、项目、方法等主数据的实际维护。</w:t>
      </w:r>
    </w:p>
    <w:p>
      <w:pPr>
        <w:pStyle w:val="ListBullet"/>
        <w:spacing w:after="40"/>
      </w:pPr>
      <w:r>
        <w:t>发起通知、查看记录、审批和汇总表操作不写入程序 PostgreSQL 用户及业务数据库。</w:t>
      </w:r>
    </w:p>
    <w:p>
      <w:pPr>
        <w:pStyle w:val="ListBullet"/>
        <w:spacing w:after="40"/>
      </w:pPr>
      <w:r>
        <w:t>通知提交后不会立即改变实际用户权限、实验室关联或样品业务数据。</w:t>
      </w:r>
    </w:p>
    <w:p>
      <w:pPr>
        <w:pStyle w:val="ListBullet"/>
        <w:spacing w:after="40"/>
      </w:pPr>
      <w:r>
        <w:t>审批通过后，系统按通知内容更新独立的《项目及人员汇总表.xlsx》；用户、角色、实验室、项目和方法主数据仍由系统管理员或分析检测组长按管理流程手工调整。</w:t>
      </w:r>
    </w:p>
    <w:p>
      <w:pPr>
        <w:pStyle w:val="ListBullet"/>
        <w:spacing w:after="40"/>
      </w:pPr>
      <w:r>
        <w:t>审批驳回不会调整独立汇总表；通知记录保留审批意见，便于重新发起。</w:t>
      </w:r>
    </w:p>
    <w:p>
      <w:pPr>
        <w:pStyle w:val="ListBullet"/>
        <w:spacing w:after="40"/>
      </w:pPr>
      <w:r>
        <w:t>不要通过直接编辑程序数据库绕过通知审批或汇总表维护流程。</w:t>
      </w:r>
    </w:p>
    <w:p>
      <w:pPr>
        <w:pStyle w:val="Heading1"/>
      </w:pPr>
      <w:r>
        <w:t>二、研发送样组长权限</w:t>
      </w:r>
    </w:p>
    <w:tbl>
      <w:tblPr>
        <w:tblStyle w:val="TableGrid"/>
        <w:tblW w:type="auto" w:w="0"/>
        <w:jc w:val="center"/>
        <w:tblLook w:firstColumn="1" w:firstRow="1" w:lastColumn="0" w:lastRow="0" w:noHBand="0" w:noVBand="1" w:val="04A0"/>
      </w:tblPr>
      <w:tblGrid>
        <w:gridCol w:w="3264"/>
        <w:gridCol w:w="3264"/>
        <w:gridCol w:w="3264"/>
      </w:tblGrid>
      <w:tr>
        <w:tc>
          <w:tcPr>
            <w:tcW w:type="dxa" w:w="3312"/>
            <w:vAlign w:val="center"/>
            <w:shd w:fill="1F4E79"/>
          </w:tcPr>
          <w:p>
            <w:pPr>
              <w:spacing w:after="0"/>
            </w:pPr>
            <w:r/>
            <w:r>
              <w:rPr>
                <w:b/>
                <w:color w:val="FFFFFF"/>
                <w:sz w:val="19"/>
              </w:rPr>
              <w:t>操作</w:t>
            </w:r>
          </w:p>
        </w:tc>
        <w:tc>
          <w:tcPr>
            <w:tcW w:type="dxa" w:w="1440"/>
            <w:vAlign w:val="center"/>
            <w:shd w:fill="1F4E79"/>
          </w:tcPr>
          <w:p>
            <w:pPr>
              <w:spacing w:after="0"/>
            </w:pPr>
            <w:r/>
            <w:r>
              <w:rPr>
                <w:b/>
                <w:color w:val="FFFFFF"/>
                <w:sz w:val="19"/>
              </w:rPr>
              <w:t>权限</w:t>
            </w:r>
          </w:p>
        </w:tc>
        <w:tc>
          <w:tcPr>
            <w:tcW w:type="dxa" w:w="5904"/>
            <w:vAlign w:val="center"/>
            <w:shd w:fill="1F4E79"/>
          </w:tcPr>
          <w:p>
            <w:pPr>
              <w:spacing w:after="0"/>
            </w:pPr>
            <w:r/>
            <w:r>
              <w:rPr>
                <w:b/>
                <w:color w:val="FFFFFF"/>
                <w:sz w:val="19"/>
              </w:rPr>
              <w:t>范围/说明</w:t>
            </w:r>
          </w:p>
        </w:tc>
      </w:tr>
      <w:tr>
        <w:tc>
          <w:tcPr>
            <w:tcW w:type="dxa" w:w="3312"/>
            <w:vAlign w:val="center"/>
            <w:shd w:fill="EAF2F8"/>
          </w:tcPr>
          <w:p>
            <w:pPr>
              <w:spacing w:after="0"/>
            </w:pPr>
            <w:r/>
            <w:r>
              <w:rPr>
                <w:b w:val="0"/>
                <w:sz w:val="19"/>
              </w:rPr>
              <w:t>发起人员变动通知</w:t>
            </w:r>
          </w:p>
        </w:tc>
        <w:tc>
          <w:tcPr>
            <w:tcW w:type="dxa" w:w="1440"/>
            <w:vAlign w:val="center"/>
            <w:shd w:fill="EAF2F8"/>
          </w:tcPr>
          <w:p>
            <w:pPr>
              <w:spacing w:after="0"/>
            </w:pPr>
            <w:r/>
            <w:r>
              <w:rPr>
                <w:b w:val="0"/>
                <w:sz w:val="19"/>
              </w:rPr>
              <w:t>可以</w:t>
            </w:r>
          </w:p>
        </w:tc>
        <w:tc>
          <w:tcPr>
            <w:tcW w:type="dxa" w:w="5904"/>
            <w:vAlign w:val="center"/>
            <w:shd w:fill="EAF2F8"/>
          </w:tcPr>
          <w:p>
            <w:pPr>
              <w:spacing w:after="0"/>
            </w:pPr>
            <w:r/>
            <w:r>
              <w:rPr>
                <w:b w:val="0"/>
                <w:sz w:val="19"/>
              </w:rPr>
              <w:t>只可选择本人关联的有效实验室</w:t>
            </w:r>
          </w:p>
        </w:tc>
      </w:tr>
      <w:tr>
        <w:tc>
          <w:tcPr>
            <w:tcW w:type="dxa" w:w="3312"/>
            <w:vAlign w:val="center"/>
          </w:tcPr>
          <w:p>
            <w:pPr>
              <w:spacing w:after="0"/>
            </w:pPr>
            <w:r/>
            <w:r>
              <w:rPr>
                <w:b w:val="0"/>
                <w:sz w:val="19"/>
              </w:rPr>
              <w:t>查看近 7 天通知记录</w:t>
            </w:r>
          </w:p>
        </w:tc>
        <w:tc>
          <w:tcPr>
            <w:tcW w:type="dxa" w:w="1440"/>
            <w:vAlign w:val="center"/>
          </w:tcPr>
          <w:p>
            <w:pPr>
              <w:spacing w:after="0"/>
            </w:pPr>
            <w:r/>
            <w:r>
              <w:rPr>
                <w:b w:val="0"/>
                <w:sz w:val="19"/>
              </w:rPr>
              <w:t>可以</w:t>
            </w:r>
          </w:p>
        </w:tc>
        <w:tc>
          <w:tcPr>
            <w:tcW w:type="dxa" w:w="5904"/>
            <w:vAlign w:val="center"/>
          </w:tcPr>
          <w:p>
            <w:pPr>
              <w:spacing w:after="0"/>
            </w:pPr>
            <w:r/>
            <w:r>
              <w:rPr>
                <w:b w:val="0"/>
                <w:sz w:val="19"/>
              </w:rPr>
              <w:t>仅查看本人实验室范围内记录，默认近 7 天</w:t>
            </w:r>
          </w:p>
        </w:tc>
      </w:tr>
      <w:tr>
        <w:tc>
          <w:tcPr>
            <w:tcW w:type="dxa" w:w="3312"/>
            <w:vAlign w:val="center"/>
            <w:shd w:fill="EAF2F8"/>
          </w:tcPr>
          <w:p>
            <w:pPr>
              <w:spacing w:after="0"/>
            </w:pPr>
            <w:r/>
            <w:r>
              <w:rPr>
                <w:b w:val="0"/>
                <w:sz w:val="19"/>
              </w:rPr>
              <w:t>查看项目及人员汇总表</w:t>
            </w:r>
          </w:p>
        </w:tc>
        <w:tc>
          <w:tcPr>
            <w:tcW w:type="dxa" w:w="1440"/>
            <w:vAlign w:val="center"/>
            <w:shd w:fill="EAF2F8"/>
          </w:tcPr>
          <w:p>
            <w:pPr>
              <w:spacing w:after="0"/>
            </w:pPr>
            <w:r/>
            <w:r>
              <w:rPr>
                <w:b w:val="0"/>
                <w:sz w:val="19"/>
              </w:rPr>
              <w:t>可以</w:t>
            </w:r>
          </w:p>
        </w:tc>
        <w:tc>
          <w:tcPr>
            <w:tcW w:type="dxa" w:w="5904"/>
            <w:vAlign w:val="center"/>
            <w:shd w:fill="EAF2F8"/>
          </w:tcPr>
          <w:p>
            <w:pPr>
              <w:spacing w:after="0"/>
            </w:pPr>
            <w:r/>
            <w:r>
              <w:rPr>
                <w:b w:val="0"/>
                <w:sz w:val="19"/>
              </w:rPr>
              <w:t>仅显示本人关联实验室</w:t>
            </w:r>
          </w:p>
        </w:tc>
      </w:tr>
      <w:tr>
        <w:tc>
          <w:tcPr>
            <w:tcW w:type="dxa" w:w="3312"/>
            <w:vAlign w:val="center"/>
          </w:tcPr>
          <w:p>
            <w:pPr>
              <w:spacing w:after="0"/>
            </w:pPr>
            <w:r/>
            <w:r>
              <w:rPr>
                <w:b w:val="0"/>
                <w:sz w:val="19"/>
              </w:rPr>
              <w:t>导出汇总表</w:t>
            </w:r>
          </w:p>
        </w:tc>
        <w:tc>
          <w:tcPr>
            <w:tcW w:type="dxa" w:w="1440"/>
            <w:vAlign w:val="center"/>
          </w:tcPr>
          <w:p>
            <w:pPr>
              <w:spacing w:after="0"/>
            </w:pPr>
            <w:r/>
            <w:r>
              <w:rPr>
                <w:b w:val="0"/>
                <w:sz w:val="19"/>
              </w:rPr>
              <w:t>可以</w:t>
            </w:r>
          </w:p>
        </w:tc>
        <w:tc>
          <w:tcPr>
            <w:tcW w:type="dxa" w:w="5904"/>
            <w:vAlign w:val="center"/>
          </w:tcPr>
          <w:p>
            <w:pPr>
              <w:spacing w:after="0"/>
            </w:pPr>
            <w:r/>
            <w:r>
              <w:rPr>
                <w:b w:val="0"/>
                <w:sz w:val="19"/>
              </w:rPr>
              <w:t>仅导出当前账号可见实验室</w:t>
            </w:r>
          </w:p>
        </w:tc>
      </w:tr>
      <w:tr>
        <w:tc>
          <w:tcPr>
            <w:tcW w:type="dxa" w:w="3312"/>
            <w:vAlign w:val="center"/>
            <w:shd w:fill="EAF2F8"/>
          </w:tcPr>
          <w:p>
            <w:pPr>
              <w:spacing w:after="0"/>
            </w:pPr>
            <w:r/>
            <w:r>
              <w:rPr>
                <w:b w:val="0"/>
                <w:sz w:val="19"/>
              </w:rPr>
              <w:t>导入或更新汇总表</w:t>
            </w:r>
          </w:p>
        </w:tc>
        <w:tc>
          <w:tcPr>
            <w:tcW w:type="dxa" w:w="1440"/>
            <w:vAlign w:val="center"/>
            <w:shd w:fill="EAF2F8"/>
          </w:tcPr>
          <w:p>
            <w:pPr>
              <w:spacing w:after="0"/>
            </w:pPr>
            <w:r/>
            <w:r>
              <w:rPr>
                <w:b w:val="0"/>
                <w:sz w:val="19"/>
              </w:rPr>
              <w:t>不可以</w:t>
            </w:r>
          </w:p>
        </w:tc>
        <w:tc>
          <w:tcPr>
            <w:tcW w:type="dxa" w:w="5904"/>
            <w:vAlign w:val="center"/>
            <w:shd w:fill="EAF2F8"/>
          </w:tcPr>
          <w:p>
            <w:pPr>
              <w:spacing w:after="0"/>
            </w:pPr>
            <w:r/>
            <w:r>
              <w:rPr>
                <w:b w:val="0"/>
                <w:sz w:val="19"/>
              </w:rPr>
              <w:t>由系统管理员或分析检测组长执行</w:t>
            </w:r>
          </w:p>
        </w:tc>
      </w:tr>
      <w:tr>
        <w:tc>
          <w:tcPr>
            <w:tcW w:type="dxa" w:w="3312"/>
            <w:vAlign w:val="center"/>
          </w:tcPr>
          <w:p>
            <w:pPr>
              <w:spacing w:after="0"/>
            </w:pPr>
            <w:r/>
            <w:r>
              <w:rPr>
                <w:b w:val="0"/>
                <w:sz w:val="19"/>
              </w:rPr>
              <w:t>通过或驳回通知</w:t>
            </w:r>
          </w:p>
        </w:tc>
        <w:tc>
          <w:tcPr>
            <w:tcW w:type="dxa" w:w="1440"/>
            <w:vAlign w:val="center"/>
          </w:tcPr>
          <w:p>
            <w:pPr>
              <w:spacing w:after="0"/>
            </w:pPr>
            <w:r/>
            <w:r>
              <w:rPr>
                <w:b w:val="0"/>
                <w:sz w:val="19"/>
              </w:rPr>
              <w:t>不可以</w:t>
            </w:r>
          </w:p>
        </w:tc>
        <w:tc>
          <w:tcPr>
            <w:tcW w:type="dxa" w:w="5904"/>
            <w:vAlign w:val="center"/>
          </w:tcPr>
          <w:p>
            <w:pPr>
              <w:spacing w:after="0"/>
            </w:pPr>
            <w:r/>
            <w:r>
              <w:rPr>
                <w:b w:val="0"/>
                <w:sz w:val="19"/>
              </w:rPr>
              <w:t>审批人是系统管理员和分析检测组长</w:t>
            </w:r>
          </w:p>
        </w:tc>
      </w:tr>
      <w:tr>
        <w:tc>
          <w:tcPr>
            <w:tcW w:type="dxa" w:w="3312"/>
            <w:vAlign w:val="center"/>
            <w:shd w:fill="EAF2F8"/>
          </w:tcPr>
          <w:p>
            <w:pPr>
              <w:spacing w:after="0"/>
            </w:pPr>
            <w:r/>
            <w:r>
              <w:rPr>
                <w:b w:val="0"/>
                <w:sz w:val="19"/>
              </w:rPr>
              <w:t>编辑人员反馈字段/变动类型</w:t>
            </w:r>
          </w:p>
        </w:tc>
        <w:tc>
          <w:tcPr>
            <w:tcW w:type="dxa" w:w="1440"/>
            <w:vAlign w:val="center"/>
            <w:shd w:fill="EAF2F8"/>
          </w:tcPr>
          <w:p>
            <w:pPr>
              <w:spacing w:after="0"/>
            </w:pPr>
            <w:r/>
            <w:r>
              <w:rPr>
                <w:b w:val="0"/>
                <w:sz w:val="19"/>
              </w:rPr>
              <w:t>不可以</w:t>
            </w:r>
          </w:p>
        </w:tc>
        <w:tc>
          <w:tcPr>
            <w:tcW w:type="dxa" w:w="5904"/>
            <w:vAlign w:val="center"/>
            <w:shd w:fill="EAF2F8"/>
          </w:tcPr>
          <w:p>
            <w:pPr>
              <w:spacing w:after="0"/>
            </w:pPr>
            <w:r/>
            <w:r>
              <w:rPr>
                <w:b w:val="0"/>
                <w:sz w:val="19"/>
              </w:rPr>
              <w:t>由系统管理员在管理入口配置</w:t>
            </w:r>
          </w:p>
        </w:tc>
      </w:tr>
      <w:tr>
        <w:tc>
          <w:tcPr>
            <w:tcW w:type="dxa" w:w="3312"/>
            <w:vAlign w:val="center"/>
          </w:tcPr>
          <w:p>
            <w:pPr>
              <w:spacing w:after="0"/>
            </w:pPr>
            <w:r/>
            <w:r>
              <w:rPr>
                <w:b w:val="0"/>
                <w:sz w:val="19"/>
              </w:rPr>
              <w:t>配置通知规则/钉钉机器人</w:t>
            </w:r>
          </w:p>
        </w:tc>
        <w:tc>
          <w:tcPr>
            <w:tcW w:type="dxa" w:w="1440"/>
            <w:vAlign w:val="center"/>
          </w:tcPr>
          <w:p>
            <w:pPr>
              <w:spacing w:after="0"/>
            </w:pPr>
            <w:r/>
            <w:r>
              <w:rPr>
                <w:b w:val="0"/>
                <w:sz w:val="19"/>
              </w:rPr>
              <w:t>不可以</w:t>
            </w:r>
          </w:p>
        </w:tc>
        <w:tc>
          <w:tcPr>
            <w:tcW w:type="dxa" w:w="5904"/>
            <w:vAlign w:val="center"/>
          </w:tcPr>
          <w:p>
            <w:pPr>
              <w:spacing w:after="0"/>
            </w:pPr>
            <w:r/>
            <w:r>
              <w:rPr>
                <w:b w:val="0"/>
                <w:sz w:val="19"/>
              </w:rPr>
              <w:t>由系统管理员维护并处理发送失败</w:t>
            </w:r>
          </w:p>
        </w:tc>
      </w:tr>
    </w:tbl>
    <w:p/>
    <w:p>
      <w:r>
        <w:t>组长提交通知后不需要、也不能自行审批。通知是否通过和汇总表是否更新，以审批人处理结果为准。</w:t>
      </w:r>
    </w:p>
    <w:p>
      <w:pPr>
        <w:pStyle w:val="Heading1"/>
      </w:pPr>
      <w:r>
        <w:t>三、进入功能与使用前检查</w:t>
      </w:r>
    </w:p>
    <w:p>
      <w:pPr>
        <w:pStyle w:val="Heading3"/>
      </w:pPr>
      <w:r>
        <w:t>步骤 1：登录系统</w:t>
      </w:r>
    </w:p>
    <w:p>
      <w:pPr>
        <w:spacing w:after="100"/>
        <w:ind w:left="317"/>
      </w:pPr>
      <w:r>
        <w:t>使用本人账号登录 v2.0.0。登录页不提供注册入口，新账号由系统管理员创建。</w:t>
      </w:r>
    </w:p>
    <w:p>
      <w:pPr>
        <w:pStyle w:val="Heading3"/>
      </w:pPr>
      <w:r>
        <w:t>步骤 2：核对身份</w:t>
      </w:r>
    </w:p>
    <w:p>
      <w:pPr>
        <w:spacing w:after="100"/>
        <w:ind w:left="317"/>
      </w:pPr>
      <w:r>
        <w:t>查看页面右上角账号、角色和组织，确认显示为“研发送样组长”。角色不正确时退出并联系管理员。</w:t>
      </w:r>
    </w:p>
    <w:p>
      <w:pPr>
        <w:pStyle w:val="Heading3"/>
      </w:pPr>
      <w:r>
        <w:t>步骤 3：打开人员变动通知</w:t>
      </w:r>
    </w:p>
    <w:p>
      <w:pPr>
        <w:spacing w:after="100"/>
        <w:ind w:left="317"/>
      </w:pPr>
      <w:r>
        <w:t>进入“人员变动通知”页面，确认能够看到“发起通知”、近 7 天通知记录和项目及人员汇总表。</w:t>
      </w:r>
    </w:p>
    <w:p>
      <w:pPr>
        <w:pStyle w:val="Heading3"/>
      </w:pPr>
      <w:r>
        <w:t>步骤 4：检查实验室范围</w:t>
      </w:r>
    </w:p>
    <w:p>
      <w:pPr>
        <w:spacing w:after="100"/>
        <w:ind w:left="317"/>
      </w:pPr>
      <w:r>
        <w:t>发起通知的实验室下拉只显示用户数据库中与本人关联的有效实验室。看不到应负责的实验室时，联系管理员检查账号关联。</w:t>
      </w:r>
    </w:p>
    <w:p>
      <w:pPr>
        <w:pStyle w:val="Heading3"/>
      </w:pPr>
      <w:r>
        <w:t>步骤 5：检查汇总表基线</w:t>
      </w:r>
    </w:p>
    <w:p>
      <w:pPr>
        <w:spacing w:after="100"/>
        <w:ind w:left="317"/>
      </w:pPr>
      <w:r>
        <w:t>先核对实验室、负责人、项目代号、人员和检测方法。发现基线错误时，不要直接修改页面，交由管理员或分析检测组长导入修正。</w:t>
      </w:r>
    </w:p>
    <w:p>
      <w:pPr>
        <w:pStyle w:val="Heading1"/>
      </w:pPr>
      <w:r>
        <w:t>四、发起通知的通用流程</w:t>
      </w:r>
    </w:p>
    <w:p>
      <w:pPr>
        <w:pStyle w:val="Heading3"/>
      </w:pPr>
      <w:r>
        <w:t>步骤 1：选择实验室</w:t>
      </w:r>
    </w:p>
    <w:p>
      <w:pPr>
        <w:spacing w:after="100"/>
        <w:ind w:left="317"/>
      </w:pPr>
      <w:r>
        <w:t>在“发起通知”区域选择要反馈的本人关联实验室。实验室范围由用户数据库权限决定。</w:t>
      </w:r>
    </w:p>
    <w:p>
      <w:pPr>
        <w:pStyle w:val="Heading3"/>
      </w:pPr>
      <w:r>
        <w:t>步骤 2：选择变动类型</w:t>
      </w:r>
    </w:p>
    <w:p>
      <w:pPr>
        <w:spacing w:after="100"/>
        <w:ind w:left="317"/>
      </w:pPr>
      <w:r>
        <w:t>选择管理员启用的变动类型。当前内置类型包括员工加入、员工离职、实验室内人员调动、跨实验室人员调动、实验室新增项目、实验室新增方法。</w:t>
      </w:r>
    </w:p>
    <w:p>
      <w:pPr>
        <w:pStyle w:val="Heading3"/>
      </w:pPr>
      <w:r>
        <w:t>步骤 3：填写人员和项目</w:t>
      </w:r>
    </w:p>
    <w:p>
      <w:pPr>
        <w:spacing w:after="100"/>
        <w:ind w:left="317"/>
      </w:pPr>
      <w:r>
        <w:t>按当前类型填写人员、关联项目和方法。人员不是所有类型都必填；项目可以多选，默认勾选规则见下一节。</w:t>
      </w:r>
    </w:p>
    <w:p>
      <w:pPr>
        <w:pStyle w:val="Heading3"/>
      </w:pPr>
      <w:r>
        <w:t>步骤 4：填写自定义字段</w:t>
      </w:r>
    </w:p>
    <w:p>
      <w:pPr>
        <w:spacing w:after="100"/>
        <w:ind w:left="317"/>
      </w:pPr>
      <w:r>
        <w:t>按页面显示填写生效日期、原因、负责人确认等字段。带必填标记的字段必须完成；字段由管理员配置，组长不能修改。</w:t>
      </w:r>
    </w:p>
    <w:p>
      <w:pPr>
        <w:pStyle w:val="Heading3"/>
      </w:pPr>
      <w:r>
        <w:t>步骤 5：提交通知</w:t>
      </w:r>
    </w:p>
    <w:p>
      <w:pPr>
        <w:spacing w:after="100"/>
        <w:ind w:left="317"/>
      </w:pPr>
      <w:r>
        <w:t>核对实验室、人员、项目、方法和备注，点击“发起通知”。系统生成通知编号并将状态设为“待审批”。</w:t>
      </w:r>
    </w:p>
    <w:p>
      <w:pPr>
        <w:pStyle w:val="Heading3"/>
      </w:pPr>
      <w:r>
        <w:t>步骤 6：跟踪处理结果</w:t>
      </w:r>
    </w:p>
    <w:p>
      <w:pPr>
        <w:spacing w:after="100"/>
        <w:ind w:left="317"/>
      </w:pPr>
      <w:r>
        <w:t>在页面下方近 7 天通知记录中点击刷新，查看待审批、已通过或已驳回状态及审批意见。</w:t>
      </w:r>
    </w:p>
    <w:p>
      <w:r>
        <w:t>提交成功只表示通知已进入处理流程，不表示实际人员变动已经完成。实际人员、角色、项目和方法主数据需由有权限的管理员或分析检测组长手工维护。</w:t>
      </w:r>
    </w:p>
    <w:p>
      <w:pPr>
        <w:pStyle w:val="Heading1"/>
      </w:pPr>
      <w:r>
        <w:t>五、六类变动填写规则</w:t>
      </w:r>
    </w:p>
    <w:p>
      <w:pPr>
        <w:pStyle w:val="Heading2"/>
      </w:pPr>
      <w:r>
        <w:t>5.1 员工加入</w:t>
      </w:r>
    </w:p>
    <w:p>
      <w:pPr>
        <w:pStyle w:val="Heading3"/>
      </w:pPr>
      <w:r>
        <w:t>步骤 1：选择类型</w:t>
      </w:r>
    </w:p>
    <w:p>
      <w:pPr>
        <w:spacing w:after="100"/>
        <w:ind w:left="317"/>
      </w:pPr>
      <w:r>
        <w:t>选择实验室和“员工加入”。</w:t>
      </w:r>
    </w:p>
    <w:p>
      <w:pPr>
        <w:pStyle w:val="Heading3"/>
      </w:pPr>
      <w:r>
        <w:t>步骤 2：填写人员</w:t>
      </w:r>
    </w:p>
    <w:p>
      <w:pPr>
        <w:spacing w:after="100"/>
        <w:ind w:left="317"/>
      </w:pPr>
      <w:r>
        <w:t>填写新员工姓名；人员为本类型必填项。</w:t>
      </w:r>
    </w:p>
    <w:p>
      <w:pPr>
        <w:pStyle w:val="Heading3"/>
      </w:pPr>
      <w:r>
        <w:t>步骤 3：选择项目</w:t>
      </w:r>
    </w:p>
    <w:p>
      <w:pPr>
        <w:spacing w:after="100"/>
        <w:ind w:left="317"/>
      </w:pPr>
      <w:r>
        <w:t>已有人员会显示其已关联项目；未匹配到人员时显示所选实验室全部项目，可多选。至少选择一个需要建立关联的项目。</w:t>
      </w:r>
    </w:p>
    <w:p>
      <w:pPr>
        <w:pStyle w:val="Heading3"/>
      </w:pPr>
      <w:r>
        <w:t>步骤 4：提交</w:t>
      </w:r>
    </w:p>
    <w:p>
      <w:pPr>
        <w:spacing w:after="100"/>
        <w:ind w:left="317"/>
      </w:pPr>
      <w:r>
        <w:t>核对姓名和项目后填写生效日期、备注及自定义字段并提交。</w:t>
      </w:r>
    </w:p>
    <w:p>
      <w:pPr>
        <w:pStyle w:val="Heading2"/>
      </w:pPr>
      <w:r>
        <w:t>5.2 员工离职</w:t>
      </w:r>
    </w:p>
    <w:p>
      <w:pPr>
        <w:pStyle w:val="Heading3"/>
      </w:pPr>
      <w:r>
        <w:t>步骤 1：选择人员</w:t>
      </w:r>
    </w:p>
    <w:p>
      <w:pPr>
        <w:spacing w:after="100"/>
        <w:ind w:left="317"/>
      </w:pPr>
      <w:r>
        <w:t>选择当前实验室已有人员，核对姓名与汇总表一致。</w:t>
      </w:r>
    </w:p>
    <w:p>
      <w:pPr>
        <w:pStyle w:val="Heading3"/>
      </w:pPr>
      <w:r>
        <w:t>步骤 2：核对默认项目</w:t>
      </w:r>
    </w:p>
    <w:p>
      <w:pPr>
        <w:spacing w:after="100"/>
        <w:ind w:left="317"/>
      </w:pPr>
      <w:r>
        <w:t>系统默认勾选该人员已关联项目。取消勾选表示本次不解除该项目关联；保留勾选表示解除该项目关联。</w:t>
      </w:r>
    </w:p>
    <w:p>
      <w:pPr>
        <w:pStyle w:val="Heading3"/>
      </w:pPr>
      <w:r>
        <w:t>步骤 3：处理全部关联</w:t>
      </w:r>
    </w:p>
    <w:p>
      <w:pPr>
        <w:spacing w:after="100"/>
        <w:ind w:left="317"/>
      </w:pPr>
      <w:r>
        <w:t>如需取消该人员在当前实验室的全部项目关联，按页面规则将项目留空。</w:t>
      </w:r>
    </w:p>
    <w:p>
      <w:pPr>
        <w:pStyle w:val="Heading3"/>
      </w:pPr>
      <w:r>
        <w:t>步骤 4：提交</w:t>
      </w:r>
    </w:p>
    <w:p>
      <w:pPr>
        <w:spacing w:after="100"/>
        <w:ind w:left="317"/>
      </w:pPr>
      <w:r>
        <w:t>填写离职日期、原因和自定义字段后提交，等待审批。账号禁用和人事主数据处理由管理员另行完成。</w:t>
      </w:r>
    </w:p>
    <w:p>
      <w:pPr>
        <w:pStyle w:val="Heading2"/>
      </w:pPr>
      <w:r>
        <w:t>5.3 实验室内人员调动</w:t>
      </w:r>
    </w:p>
    <w:p>
      <w:pPr>
        <w:pStyle w:val="Heading3"/>
      </w:pPr>
      <w:r>
        <w:t>步骤 1：选择人员</w:t>
      </w:r>
    </w:p>
    <w:p>
      <w:pPr>
        <w:spacing w:after="100"/>
        <w:ind w:left="317"/>
      </w:pPr>
      <w:r>
        <w:t>选择当前实验室人员。</w:t>
      </w:r>
    </w:p>
    <w:p>
      <w:pPr>
        <w:pStyle w:val="Heading3"/>
      </w:pPr>
      <w:r>
        <w:t>步骤 2：选择项目</w:t>
      </w:r>
    </w:p>
    <w:p>
      <w:pPr>
        <w:spacing w:after="100"/>
        <w:ind w:left="317"/>
      </w:pPr>
      <w:r>
        <w:t>项目下拉显示该课题组长关联实验室的全部项目，不再只显示该人员当前已关联项目。</w:t>
      </w:r>
    </w:p>
    <w:p>
      <w:pPr>
        <w:pStyle w:val="Heading3"/>
      </w:pPr>
      <w:r>
        <w:t>步骤 3：核对默认勾选</w:t>
      </w:r>
    </w:p>
    <w:p>
      <w:pPr>
        <w:spacing w:after="100"/>
        <w:ind w:left="317"/>
      </w:pPr>
      <w:r>
        <w:t>已有人员的已关联项目默认勾选；勾选项目表示保留或新增关联，取消勾选表示取消该项目关联。</w:t>
      </w:r>
    </w:p>
    <w:p>
      <w:pPr>
        <w:pStyle w:val="Heading3"/>
      </w:pPr>
      <w:r>
        <w:t>步骤 4：提交</w:t>
      </w:r>
    </w:p>
    <w:p>
      <w:pPr>
        <w:spacing w:after="100"/>
        <w:ind w:left="317"/>
      </w:pPr>
      <w:r>
        <w:t>确认勾选结果代表调动后的完整项目集合，填写生效日期和原因后提交。</w:t>
      </w:r>
    </w:p>
    <w:p>
      <w:r>
        <w:t>审批通过后，所勾选项目成为该人员在当前实验室的完整项目集合；取消勾选的项目会解除关联。</w:t>
      </w:r>
    </w:p>
    <w:p>
      <w:pPr>
        <w:pStyle w:val="Heading2"/>
      </w:pPr>
      <w:r>
        <w:t>5.4 跨实验室人员调动</w:t>
      </w:r>
    </w:p>
    <w:p>
      <w:pPr>
        <w:pStyle w:val="Heading3"/>
      </w:pPr>
      <w:r>
        <w:t>步骤 1：选择当前实验室</w:t>
      </w:r>
    </w:p>
    <w:p>
      <w:pPr>
        <w:spacing w:after="100"/>
        <w:ind w:left="317"/>
      </w:pPr>
      <w:r>
        <w:t>选择人员目前所在的本人关联实验室。</w:t>
      </w:r>
    </w:p>
    <w:p>
      <w:pPr>
        <w:pStyle w:val="Heading3"/>
      </w:pPr>
      <w:r>
        <w:t>步骤 2：选择人员</w:t>
      </w:r>
    </w:p>
    <w:p>
      <w:pPr>
        <w:spacing w:after="100"/>
        <w:ind w:left="317"/>
      </w:pPr>
      <w:r>
        <w:t>人员必须是当前实验室已有人员。</w:t>
      </w:r>
    </w:p>
    <w:p>
      <w:pPr>
        <w:pStyle w:val="Heading3"/>
      </w:pPr>
      <w:r>
        <w:t>步骤 3：不填写目标信息</w:t>
      </w:r>
    </w:p>
    <w:p>
      <w:pPr>
        <w:spacing w:after="100"/>
        <w:ind w:left="317"/>
      </w:pPr>
      <w:r>
        <w:t>本类型已删除目标实验室、目标项目字段，不需要填写接收实验室。</w:t>
      </w:r>
    </w:p>
    <w:p>
      <w:pPr>
        <w:pStyle w:val="Heading3"/>
      </w:pPr>
      <w:r>
        <w:t>步骤 4：处理当前关联</w:t>
      </w:r>
    </w:p>
    <w:p>
      <w:pPr>
        <w:spacing w:after="100"/>
        <w:ind w:left="317"/>
      </w:pPr>
      <w:r>
        <w:t>选择需要取消的当前实验室项目；项目留空表示取消该人员在当前实验室的全部项目关联。</w:t>
      </w:r>
    </w:p>
    <w:p>
      <w:pPr>
        <w:pStyle w:val="Heading3"/>
      </w:pPr>
      <w:r>
        <w:t>步骤 5：提交</w:t>
      </w:r>
    </w:p>
    <w:p>
      <w:pPr>
        <w:spacing w:after="100"/>
        <w:ind w:left="317"/>
      </w:pPr>
      <w:r>
        <w:t>填写调动日期和说明后提交。目标实验室接收关系由相关组长另行发起“员工加入”或由管理员维护。</w:t>
      </w:r>
    </w:p>
    <w:p>
      <w:pPr>
        <w:pStyle w:val="Heading2"/>
      </w:pPr>
      <w:r>
        <w:t>5.5 实验室新增项目</w:t>
      </w:r>
    </w:p>
    <w:p>
      <w:pPr>
        <w:pStyle w:val="Heading3"/>
      </w:pPr>
      <w:r>
        <w:t>步骤 1：选择类型</w:t>
      </w:r>
    </w:p>
    <w:p>
      <w:pPr>
        <w:spacing w:after="100"/>
        <w:ind w:left="317"/>
      </w:pPr>
      <w:r>
        <w:t>选择实验室和“实验室新增项目”。</w:t>
      </w:r>
    </w:p>
    <w:p>
      <w:pPr>
        <w:pStyle w:val="Heading3"/>
      </w:pPr>
      <w:r>
        <w:t>步骤 2：填写项目代号</w:t>
      </w:r>
    </w:p>
    <w:p>
      <w:pPr>
        <w:spacing w:after="100"/>
        <w:ind w:left="317"/>
      </w:pPr>
      <w:r>
        <w:t>填写新增项目代号，不能与该实验室现有项目重复。项目名称不是本类型的独立必填字段，项目识别以项目代号为准。</w:t>
      </w:r>
    </w:p>
    <w:p>
      <w:pPr>
        <w:pStyle w:val="Heading3"/>
      </w:pPr>
      <w:r>
        <w:t>步骤 3：填写检测方法</w:t>
      </w:r>
    </w:p>
    <w:p>
      <w:pPr>
        <w:spacing w:after="100"/>
        <w:ind w:left="317"/>
      </w:pPr>
      <w:r>
        <w:t>点击“新增方法”逐条填写该项目需要检测的方法，至少填写一个。</w:t>
      </w:r>
    </w:p>
    <w:p>
      <w:pPr>
        <w:pStyle w:val="Heading3"/>
      </w:pPr>
      <w:r>
        <w:t>步骤 4：填写高新项目说明</w:t>
      </w:r>
    </w:p>
    <w:p>
      <w:pPr>
        <w:spacing w:after="100"/>
        <w:ind w:left="317"/>
      </w:pPr>
      <w:r>
        <w:t>选择是否为高新项目；选择“是”时必须填写高新项目名称。</w:t>
      </w:r>
    </w:p>
    <w:p>
      <w:pPr>
        <w:pStyle w:val="Heading3"/>
      </w:pPr>
      <w:r>
        <w:t>步骤 5：填写人员并提交</w:t>
      </w:r>
    </w:p>
    <w:p>
      <w:pPr>
        <w:spacing w:after="100"/>
        <w:ind w:left="317"/>
      </w:pPr>
      <w:r>
        <w:t>人员可不填；如已有确定人员可填写并多选项目人员，随后填写日期、备注和自定义字段。</w:t>
      </w:r>
    </w:p>
    <w:p>
      <w:pPr>
        <w:pStyle w:val="Heading2"/>
      </w:pPr>
      <w:r>
        <w:t>5.6 实验室新增方法</w:t>
      </w:r>
    </w:p>
    <w:p>
      <w:pPr>
        <w:pStyle w:val="Heading3"/>
      </w:pPr>
      <w:r>
        <w:t>步骤 1：选择项目</w:t>
      </w:r>
    </w:p>
    <w:p>
      <w:pPr>
        <w:spacing w:after="100"/>
        <w:ind w:left="317"/>
      </w:pPr>
      <w:r>
        <w:t>选择本实验室需要增加方法的项目。</w:t>
      </w:r>
    </w:p>
    <w:p>
      <w:pPr>
        <w:pStyle w:val="Heading3"/>
      </w:pPr>
      <w:r>
        <w:t>步骤 2：逐条添加方法</w:t>
      </w:r>
    </w:p>
    <w:p>
      <w:pPr>
        <w:spacing w:after="100"/>
        <w:ind w:left="317"/>
      </w:pPr>
      <w:r>
        <w:t>点击“新增方法”增加输入框，每个输入框只填写一个方法名称。</w:t>
      </w:r>
    </w:p>
    <w:p>
      <w:pPr>
        <w:pStyle w:val="Heading3"/>
      </w:pPr>
      <w:r>
        <w:t>步骤 3：检查输入限制</w:t>
      </w:r>
    </w:p>
    <w:p>
      <w:pPr>
        <w:spacing w:after="100"/>
        <w:ind w:left="317"/>
      </w:pPr>
      <w:r>
        <w:t>方法名称不能包含英文逗号、中文逗号、顿号、英文分号、中文分号或换行。多个方法必须使用多个输入框。</w:t>
      </w:r>
    </w:p>
    <w:p>
      <w:pPr>
        <w:pStyle w:val="Heading3"/>
      </w:pPr>
      <w:r>
        <w:t>步骤 4：提交</w:t>
      </w:r>
    </w:p>
    <w:p>
      <w:pPr>
        <w:spacing w:after="100"/>
        <w:ind w:left="317"/>
      </w:pPr>
      <w:r>
        <w:t>人员可不填；填写日期、备注和自定义字段后提交。重复方法由审批处理时去重。</w:t>
      </w:r>
    </w:p>
    <w:p>
      <w:pPr>
        <w:pStyle w:val="Heading1"/>
      </w:pPr>
      <w:r>
        <w:t>六、人员、项目和方法的默认规则</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center"/>
            <w:shd w:fill="1F4E79"/>
          </w:tcPr>
          <w:p>
            <w:pPr>
              <w:spacing w:after="0"/>
            </w:pPr>
            <w:r/>
            <w:r>
              <w:rPr>
                <w:b/>
                <w:color w:val="FFFFFF"/>
                <w:sz w:val="19"/>
              </w:rPr>
              <w:t>场景</w:t>
            </w:r>
          </w:p>
        </w:tc>
        <w:tc>
          <w:tcPr>
            <w:tcW w:type="dxa" w:w="4464"/>
            <w:vAlign w:val="center"/>
            <w:shd w:fill="1F4E79"/>
          </w:tcPr>
          <w:p>
            <w:pPr>
              <w:spacing w:after="0"/>
            </w:pPr>
            <w:r/>
            <w:r>
              <w:rPr>
                <w:b/>
                <w:color w:val="FFFFFF"/>
                <w:sz w:val="19"/>
              </w:rPr>
              <w:t>默认显示/勾选</w:t>
            </w:r>
          </w:p>
        </w:tc>
        <w:tc>
          <w:tcPr>
            <w:tcW w:type="dxa" w:w="3456"/>
            <w:vAlign w:val="center"/>
            <w:shd w:fill="1F4E79"/>
          </w:tcPr>
          <w:p>
            <w:pPr>
              <w:spacing w:after="0"/>
            </w:pPr>
            <w:r/>
            <w:r>
              <w:rPr>
                <w:b/>
                <w:color w:val="FFFFFF"/>
                <w:sz w:val="19"/>
              </w:rPr>
              <w:t>组长核对要点</w:t>
            </w:r>
          </w:p>
        </w:tc>
      </w:tr>
      <w:tr>
        <w:tc>
          <w:tcPr>
            <w:tcW w:type="dxa" w:w="2592"/>
            <w:vAlign w:val="center"/>
            <w:shd w:fill="EAF2F8"/>
          </w:tcPr>
          <w:p>
            <w:pPr>
              <w:spacing w:after="0"/>
            </w:pPr>
            <w:r/>
            <w:r>
              <w:rPr>
                <w:b w:val="0"/>
                <w:sz w:val="19"/>
              </w:rPr>
              <w:t>已有人员</w:t>
            </w:r>
          </w:p>
        </w:tc>
        <w:tc>
          <w:tcPr>
            <w:tcW w:type="dxa" w:w="4464"/>
            <w:vAlign w:val="center"/>
            <w:shd w:fill="EAF2F8"/>
          </w:tcPr>
          <w:p>
            <w:pPr>
              <w:spacing w:after="0"/>
            </w:pPr>
            <w:r/>
            <w:r>
              <w:rPr>
                <w:b w:val="0"/>
                <w:sz w:val="19"/>
              </w:rPr>
              <w:t>显示该人员已关联项目；有项目关联的变动默认勾选</w:t>
            </w:r>
          </w:p>
        </w:tc>
        <w:tc>
          <w:tcPr>
            <w:tcW w:type="dxa" w:w="3456"/>
            <w:vAlign w:val="center"/>
            <w:shd w:fill="EAF2F8"/>
          </w:tcPr>
          <w:p>
            <w:pPr>
              <w:spacing w:after="0"/>
            </w:pPr>
            <w:r/>
            <w:r>
              <w:rPr>
                <w:b w:val="0"/>
                <w:sz w:val="19"/>
              </w:rPr>
              <w:t>取消勾选即表示取消该项目关联</w:t>
            </w:r>
          </w:p>
        </w:tc>
      </w:tr>
      <w:tr>
        <w:tc>
          <w:tcPr>
            <w:tcW w:type="dxa" w:w="2592"/>
            <w:vAlign w:val="center"/>
          </w:tcPr>
          <w:p>
            <w:pPr>
              <w:spacing w:after="0"/>
            </w:pPr>
            <w:r/>
            <w:r>
              <w:rPr>
                <w:b w:val="0"/>
                <w:sz w:val="19"/>
              </w:rPr>
              <w:t>新人员</w:t>
            </w:r>
          </w:p>
        </w:tc>
        <w:tc>
          <w:tcPr>
            <w:tcW w:type="dxa" w:w="4464"/>
            <w:vAlign w:val="center"/>
          </w:tcPr>
          <w:p>
            <w:pPr>
              <w:spacing w:after="0"/>
            </w:pPr>
            <w:r/>
            <w:r>
              <w:rPr>
                <w:b w:val="0"/>
                <w:sz w:val="19"/>
              </w:rPr>
              <w:t>显示所选实验室全部项目，可多选</w:t>
            </w:r>
          </w:p>
        </w:tc>
        <w:tc>
          <w:tcPr>
            <w:tcW w:type="dxa" w:w="3456"/>
            <w:vAlign w:val="center"/>
          </w:tcPr>
          <w:p>
            <w:pPr>
              <w:spacing w:after="0"/>
            </w:pPr>
            <w:r/>
            <w:r>
              <w:rPr>
                <w:b w:val="0"/>
                <w:sz w:val="19"/>
              </w:rPr>
              <w:t>至少选择需要建立关联的项目</w:t>
            </w:r>
          </w:p>
        </w:tc>
      </w:tr>
      <w:tr>
        <w:tc>
          <w:tcPr>
            <w:tcW w:type="dxa" w:w="2592"/>
            <w:vAlign w:val="center"/>
            <w:shd w:fill="EAF2F8"/>
          </w:tcPr>
          <w:p>
            <w:pPr>
              <w:spacing w:after="0"/>
            </w:pPr>
            <w:r/>
            <w:r>
              <w:rPr>
                <w:b w:val="0"/>
                <w:sz w:val="19"/>
              </w:rPr>
              <w:t>实验室内人员调动</w:t>
            </w:r>
          </w:p>
        </w:tc>
        <w:tc>
          <w:tcPr>
            <w:tcW w:type="dxa" w:w="4464"/>
            <w:vAlign w:val="center"/>
            <w:shd w:fill="EAF2F8"/>
          </w:tcPr>
          <w:p>
            <w:pPr>
              <w:spacing w:after="0"/>
            </w:pPr>
            <w:r/>
            <w:r>
              <w:rPr>
                <w:b w:val="0"/>
                <w:sz w:val="19"/>
              </w:rPr>
              <w:t>项目显示课题组长关联实验室全部项目；已关联项目默认勾选</w:t>
            </w:r>
          </w:p>
        </w:tc>
        <w:tc>
          <w:tcPr>
            <w:tcW w:type="dxa" w:w="3456"/>
            <w:vAlign w:val="center"/>
            <w:shd w:fill="EAF2F8"/>
          </w:tcPr>
          <w:p>
            <w:pPr>
              <w:spacing w:after="0"/>
            </w:pPr>
            <w:r/>
            <w:r>
              <w:rPr>
                <w:b w:val="0"/>
                <w:sz w:val="19"/>
              </w:rPr>
              <w:t>勾选结果是调动后的完整项目集合</w:t>
            </w:r>
          </w:p>
        </w:tc>
      </w:tr>
      <w:tr>
        <w:tc>
          <w:tcPr>
            <w:tcW w:type="dxa" w:w="2592"/>
            <w:vAlign w:val="center"/>
          </w:tcPr>
          <w:p>
            <w:pPr>
              <w:spacing w:after="0"/>
            </w:pPr>
            <w:r/>
            <w:r>
              <w:rPr>
                <w:b w:val="0"/>
                <w:sz w:val="19"/>
              </w:rPr>
              <w:t>跨实验室人员调动</w:t>
            </w:r>
          </w:p>
        </w:tc>
        <w:tc>
          <w:tcPr>
            <w:tcW w:type="dxa" w:w="4464"/>
            <w:vAlign w:val="center"/>
          </w:tcPr>
          <w:p>
            <w:pPr>
              <w:spacing w:after="0"/>
            </w:pPr>
            <w:r/>
            <w:r>
              <w:rPr>
                <w:b w:val="0"/>
                <w:sz w:val="19"/>
              </w:rPr>
              <w:t>无目标实验室、目标项目字段</w:t>
            </w:r>
          </w:p>
        </w:tc>
        <w:tc>
          <w:tcPr>
            <w:tcW w:type="dxa" w:w="3456"/>
            <w:vAlign w:val="center"/>
          </w:tcPr>
          <w:p>
            <w:pPr>
              <w:spacing w:after="0"/>
            </w:pPr>
            <w:r/>
            <w:r>
              <w:rPr>
                <w:b w:val="0"/>
                <w:sz w:val="19"/>
              </w:rPr>
              <w:t>项目留空表示取消当前实验室全部项目关联</w:t>
            </w:r>
          </w:p>
        </w:tc>
      </w:tr>
      <w:tr>
        <w:tc>
          <w:tcPr>
            <w:tcW w:type="dxa" w:w="2592"/>
            <w:vAlign w:val="center"/>
            <w:shd w:fill="EAF2F8"/>
          </w:tcPr>
          <w:p>
            <w:pPr>
              <w:spacing w:after="0"/>
            </w:pPr>
            <w:r/>
            <w:r>
              <w:rPr>
                <w:b w:val="0"/>
                <w:sz w:val="19"/>
              </w:rPr>
              <w:t>新增项目/方法</w:t>
            </w:r>
          </w:p>
        </w:tc>
        <w:tc>
          <w:tcPr>
            <w:tcW w:type="dxa" w:w="4464"/>
            <w:vAlign w:val="center"/>
            <w:shd w:fill="EAF2F8"/>
          </w:tcPr>
          <w:p>
            <w:pPr>
              <w:spacing w:after="0"/>
            </w:pPr>
            <w:r/>
            <w:r>
              <w:rPr>
                <w:b w:val="0"/>
                <w:sz w:val="19"/>
              </w:rPr>
              <w:t>方法逐条填写；人员可不填</w:t>
            </w:r>
          </w:p>
        </w:tc>
        <w:tc>
          <w:tcPr>
            <w:tcW w:type="dxa" w:w="3456"/>
            <w:vAlign w:val="center"/>
            <w:shd w:fill="EAF2F8"/>
          </w:tcPr>
          <w:p>
            <w:pPr>
              <w:spacing w:after="0"/>
            </w:pPr>
            <w:r/>
            <w:r>
              <w:rPr>
                <w:b w:val="0"/>
                <w:sz w:val="19"/>
              </w:rPr>
              <w:t>确认项目代号、方法名称和高新项目字段</w:t>
            </w:r>
          </w:p>
        </w:tc>
      </w:tr>
    </w:tbl>
    <w:p/>
    <w:p>
      <w:pPr>
        <w:pStyle w:val="Heading1"/>
      </w:pPr>
      <w:r>
        <w:t>七、近 7 天通知记录与审批边界</w:t>
      </w:r>
    </w:p>
    <w:p>
      <w:r>
        <w:t>通知页面下方默认显示近 7 天记录，组长只看到本人关联实验室范围内数据。点击刷新可重新加载最新状态。</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center"/>
            <w:shd w:fill="1F4E79"/>
          </w:tcPr>
          <w:p>
            <w:pPr>
              <w:spacing w:after="0"/>
            </w:pPr>
            <w:r/>
            <w:r>
              <w:rPr>
                <w:b/>
                <w:color w:val="FFFFFF"/>
                <w:sz w:val="19"/>
              </w:rPr>
              <w:t>状态</w:t>
            </w:r>
          </w:p>
        </w:tc>
        <w:tc>
          <w:tcPr>
            <w:tcW w:type="dxa" w:w="4320"/>
            <w:vAlign w:val="center"/>
            <w:shd w:fill="1F4E79"/>
          </w:tcPr>
          <w:p>
            <w:pPr>
              <w:spacing w:after="0"/>
            </w:pPr>
            <w:r/>
            <w:r>
              <w:rPr>
                <w:b/>
                <w:color w:val="FFFFFF"/>
                <w:sz w:val="19"/>
              </w:rPr>
              <w:t>含义</w:t>
            </w:r>
          </w:p>
        </w:tc>
        <w:tc>
          <w:tcPr>
            <w:tcW w:type="dxa" w:w="4464"/>
            <w:vAlign w:val="center"/>
            <w:shd w:fill="1F4E79"/>
          </w:tcPr>
          <w:p>
            <w:pPr>
              <w:spacing w:after="0"/>
            </w:pPr>
            <w:r/>
            <w:r>
              <w:rPr>
                <w:b/>
                <w:color w:val="FFFFFF"/>
                <w:sz w:val="19"/>
              </w:rPr>
              <w:t>组长可做的事</w:t>
            </w:r>
          </w:p>
        </w:tc>
      </w:tr>
      <w:tr>
        <w:tc>
          <w:tcPr>
            <w:tcW w:type="dxa" w:w="1728"/>
            <w:vAlign w:val="center"/>
            <w:shd w:fill="EAF2F8"/>
          </w:tcPr>
          <w:p>
            <w:pPr>
              <w:spacing w:after="0"/>
            </w:pPr>
            <w:r/>
            <w:r>
              <w:rPr>
                <w:b w:val="0"/>
                <w:sz w:val="19"/>
              </w:rPr>
              <w:t>待审批</w:t>
            </w:r>
          </w:p>
        </w:tc>
        <w:tc>
          <w:tcPr>
            <w:tcW w:type="dxa" w:w="4320"/>
            <w:vAlign w:val="center"/>
            <w:shd w:fill="EAF2F8"/>
          </w:tcPr>
          <w:p>
            <w:pPr>
              <w:spacing w:after="0"/>
            </w:pPr>
            <w:r/>
            <w:r>
              <w:rPr>
                <w:b w:val="0"/>
                <w:sz w:val="19"/>
              </w:rPr>
              <w:t>已提交，等待系统管理员或分析检测组长处理</w:t>
            </w:r>
          </w:p>
        </w:tc>
        <w:tc>
          <w:tcPr>
            <w:tcW w:type="dxa" w:w="4464"/>
            <w:vAlign w:val="center"/>
            <w:shd w:fill="EAF2F8"/>
          </w:tcPr>
          <w:p>
            <w:pPr>
              <w:spacing w:after="0"/>
            </w:pPr>
            <w:r/>
            <w:r>
              <w:rPr>
                <w:b w:val="0"/>
                <w:sz w:val="19"/>
              </w:rPr>
              <w:t>核对内容；发现错误时联系审批人驳回后重新发起</w:t>
            </w:r>
          </w:p>
        </w:tc>
      </w:tr>
      <w:tr>
        <w:tc>
          <w:tcPr>
            <w:tcW w:type="dxa" w:w="1728"/>
            <w:vAlign w:val="center"/>
          </w:tcPr>
          <w:p>
            <w:pPr>
              <w:spacing w:after="0"/>
            </w:pPr>
            <w:r/>
            <w:r>
              <w:rPr>
                <w:b w:val="0"/>
                <w:sz w:val="19"/>
              </w:rPr>
              <w:t>已通过</w:t>
            </w:r>
          </w:p>
        </w:tc>
        <w:tc>
          <w:tcPr>
            <w:tcW w:type="dxa" w:w="4320"/>
            <w:vAlign w:val="center"/>
          </w:tcPr>
          <w:p>
            <w:pPr>
              <w:spacing w:after="0"/>
            </w:pPr>
            <w:r/>
            <w:r>
              <w:rPr>
                <w:b w:val="0"/>
                <w:sz w:val="19"/>
              </w:rPr>
              <w:t>审批通过，独立汇总表按规则更新</w:t>
            </w:r>
          </w:p>
        </w:tc>
        <w:tc>
          <w:tcPr>
            <w:tcW w:type="dxa" w:w="4464"/>
            <w:vAlign w:val="center"/>
          </w:tcPr>
          <w:p>
            <w:pPr>
              <w:spacing w:after="0"/>
            </w:pPr>
            <w:r/>
            <w:r>
              <w:rPr>
                <w:b w:val="0"/>
                <w:sz w:val="19"/>
              </w:rPr>
              <w:t>核对汇总表；实际主数据仍按管理流程手工维护</w:t>
            </w:r>
          </w:p>
        </w:tc>
      </w:tr>
      <w:tr>
        <w:tc>
          <w:tcPr>
            <w:tcW w:type="dxa" w:w="1728"/>
            <w:vAlign w:val="center"/>
            <w:shd w:fill="EAF2F8"/>
          </w:tcPr>
          <w:p>
            <w:pPr>
              <w:spacing w:after="0"/>
            </w:pPr>
            <w:r/>
            <w:r>
              <w:rPr>
                <w:b w:val="0"/>
                <w:sz w:val="19"/>
              </w:rPr>
              <w:t>已驳回</w:t>
            </w:r>
          </w:p>
        </w:tc>
        <w:tc>
          <w:tcPr>
            <w:tcW w:type="dxa" w:w="4320"/>
            <w:vAlign w:val="center"/>
            <w:shd w:fill="EAF2F8"/>
          </w:tcPr>
          <w:p>
            <w:pPr>
              <w:spacing w:after="0"/>
            </w:pPr>
            <w:r/>
            <w:r>
              <w:rPr>
                <w:b w:val="0"/>
                <w:sz w:val="19"/>
              </w:rPr>
              <w:t>审批未通过，汇总表不变</w:t>
            </w:r>
          </w:p>
        </w:tc>
        <w:tc>
          <w:tcPr>
            <w:tcW w:type="dxa" w:w="4464"/>
            <w:vAlign w:val="center"/>
            <w:shd w:fill="EAF2F8"/>
          </w:tcPr>
          <w:p>
            <w:pPr>
              <w:spacing w:after="0"/>
            </w:pPr>
            <w:r/>
            <w:r>
              <w:rPr>
                <w:b w:val="0"/>
                <w:sz w:val="19"/>
              </w:rPr>
              <w:t>查看驳回原因，修正后重新发起</w:t>
            </w:r>
          </w:p>
        </w:tc>
      </w:tr>
    </w:tbl>
    <w:p/>
    <w:p>
      <w:r>
        <w:t>研发送样组长没有通过或驳回权限，也不能审批自己发起的通知。审批权限仅属于系统管理员和分析检测组长。</w:t>
      </w:r>
    </w:p>
    <w:p>
      <w:pPr>
        <w:pStyle w:val="Heading1"/>
      </w:pPr>
      <w:r>
        <w:t>八、通知中心与钉钉消息</w:t>
      </w:r>
    </w:p>
    <w:p>
      <w:r>
        <w:t>提交成功后，系统根据通知中心的“人员变动反馈”规则发送程序内通知或钉钉消息。组长不能配置规则、机器人或发送重试。</w:t>
      </w:r>
    </w:p>
    <w:p>
      <w:pPr>
        <w:pStyle w:val="Heading3"/>
      </w:pPr>
      <w:r>
        <w:t>步骤 1：确认提交成功</w:t>
      </w:r>
    </w:p>
    <w:p>
      <w:pPr>
        <w:spacing w:after="100"/>
        <w:ind w:left="317"/>
      </w:pPr>
      <w:r>
        <w:t>先确认页面生成通知编号并出现在近 7 天记录中。</w:t>
      </w:r>
    </w:p>
    <w:p>
      <w:pPr>
        <w:pStyle w:val="Heading3"/>
      </w:pPr>
      <w:r>
        <w:t>步骤 2：刷新状态</w:t>
      </w:r>
    </w:p>
    <w:p>
      <w:pPr>
        <w:spacing w:after="100"/>
        <w:ind w:left="317"/>
      </w:pPr>
      <w:r>
        <w:t>点击刷新查看通知是否仍为待审批，或已通过/驳回。</w:t>
      </w:r>
    </w:p>
    <w:p>
      <w:pPr>
        <w:pStyle w:val="Heading3"/>
      </w:pPr>
      <w:r>
        <w:t>步骤 3：反馈未收到消息</w:t>
      </w:r>
    </w:p>
    <w:p>
      <w:pPr>
        <w:spacing w:after="100"/>
        <w:ind w:left="317"/>
      </w:pPr>
      <w:r>
        <w:t>将通知编号、实验室、提交时间和截图提供给系统管理员。</w:t>
      </w:r>
    </w:p>
    <w:p>
      <w:pPr>
        <w:pStyle w:val="Heading3"/>
      </w:pPr>
      <w:r>
        <w:t>步骤 4：管理员检查</w:t>
      </w:r>
    </w:p>
    <w:p>
      <w:pPr>
        <w:spacing w:after="100"/>
        <w:ind w:left="317"/>
      </w:pPr>
      <w:r>
        <w:t>管理员在通知中心检查人员变动反馈规则、钉钉 Webhook、加签密钥、接收范围和发送记录。</w:t>
      </w:r>
    </w:p>
    <w:p>
      <w:pPr>
        <w:pStyle w:val="Heading1"/>
      </w:pPr>
      <w:r>
        <w:t>九、汇总表查看与导出</w:t>
      </w:r>
    </w:p>
    <w:p>
      <w:pPr>
        <w:pStyle w:val="Heading3"/>
      </w:pPr>
      <w:r>
        <w:t>步骤 1：查看</w:t>
      </w:r>
    </w:p>
    <w:p>
      <w:pPr>
        <w:spacing w:after="100"/>
        <w:ind w:left="317"/>
      </w:pPr>
      <w:r>
        <w:t>在页面下方查看实验室、实验室负责人、项目代号、项目下人员和检测方法。检测方法过长时按行自动换行并显示完整名称。</w:t>
      </w:r>
    </w:p>
    <w:p>
      <w:pPr>
        <w:pStyle w:val="Heading3"/>
      </w:pPr>
      <w:r>
        <w:t>步骤 2：筛选</w:t>
      </w:r>
    </w:p>
    <w:p>
      <w:pPr>
        <w:spacing w:after="100"/>
        <w:ind w:left="317"/>
      </w:pPr>
      <w:r>
        <w:t>按实验室、负责人、项目代号、人员和方法核对当前实验室数据。</w:t>
      </w:r>
    </w:p>
    <w:p>
      <w:pPr>
        <w:pStyle w:val="Heading3"/>
      </w:pPr>
      <w:r>
        <w:t>步骤 3：导出</w:t>
      </w:r>
    </w:p>
    <w:p>
      <w:pPr>
        <w:spacing w:after="100"/>
        <w:ind w:left="317"/>
      </w:pPr>
      <w:r>
        <w:t>点击“导出汇总表”，下载当前账号可见范围的 Excel。导出内容只包含本人关联实验室。</w:t>
      </w:r>
    </w:p>
    <w:p>
      <w:pPr>
        <w:pStyle w:val="Heading3"/>
      </w:pPr>
      <w:r>
        <w:t>步骤 4：申请修正</w:t>
      </w:r>
    </w:p>
    <w:p>
      <w:pPr>
        <w:spacing w:after="100"/>
        <w:ind w:left="317"/>
      </w:pPr>
      <w:r>
        <w:t>导出文件可用于核对和沟通，不能视为已生效数据。需要导入或更新时，将修正文件交由管理员或分析检测组长操作。</w:t>
      </w:r>
    </w:p>
    <w:p>
      <w:pPr>
        <w:pStyle w:val="Heading1"/>
      </w:pPr>
      <w:r>
        <w:t>十、自定义字段填写</w:t>
      </w:r>
    </w:p>
    <w:p>
      <w:r>
        <w:t>人员反馈字段和变动类型由系统管理员在“管理入口 → 系统配置”维护。组长只负责填写当前表单显示的字段。</w:t>
      </w:r>
    </w:p>
    <w:p>
      <w:pPr>
        <w:pStyle w:val="ListBullet"/>
        <w:spacing w:after="40"/>
      </w:pPr>
      <w:r>
        <w:t>带必填标记的字段必须填写后才能提交。</w:t>
      </w:r>
    </w:p>
    <w:p>
      <w:pPr>
        <w:pStyle w:val="ListBullet"/>
        <w:spacing w:after="40"/>
      </w:pPr>
      <w:r>
        <w:t>只在当前变动类型适用的字段会显示；不要用备注代替必填字段。</w:t>
      </w:r>
    </w:p>
    <w:p>
      <w:pPr>
        <w:pStyle w:val="ListBullet"/>
        <w:spacing w:after="40"/>
      </w:pPr>
      <w:r>
        <w:t>日期、是/否、下拉、多选等字段按控件选择；多行说明写清原因、时间和影响范围。</w:t>
      </w:r>
    </w:p>
    <w:p>
      <w:pPr>
        <w:pStyle w:val="ListBullet"/>
        <w:spacing w:after="40"/>
      </w:pPr>
      <w:r>
        <w:t>字段含义不清时先向管理员确认，不能自行新增或删除字段。</w:t>
      </w:r>
    </w:p>
    <w:p>
      <w:pPr>
        <w:pStyle w:val="Heading1"/>
      </w:pPr>
      <w:r>
        <w:t>十一、常见问题</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1F4E79"/>
          </w:tcPr>
          <w:p>
            <w:pPr>
              <w:spacing w:after="0"/>
            </w:pPr>
            <w:r/>
            <w:r>
              <w:rPr>
                <w:b/>
                <w:color w:val="FFFFFF"/>
                <w:sz w:val="19"/>
              </w:rPr>
              <w:t>问题</w:t>
            </w:r>
          </w:p>
        </w:tc>
        <w:tc>
          <w:tcPr>
            <w:tcW w:type="dxa" w:w="6768"/>
            <w:vAlign w:val="center"/>
            <w:shd w:fill="1F4E79"/>
          </w:tcPr>
          <w:p>
            <w:pPr>
              <w:spacing w:after="0"/>
            </w:pPr>
            <w:r/>
            <w:r>
              <w:rPr>
                <w:b/>
                <w:color w:val="FFFFFF"/>
                <w:sz w:val="19"/>
              </w:rPr>
              <w:t>处理建议</w:t>
            </w:r>
          </w:p>
        </w:tc>
      </w:tr>
      <w:tr>
        <w:tc>
          <w:tcPr>
            <w:tcW w:type="dxa" w:w="3168"/>
            <w:vAlign w:val="center"/>
            <w:shd w:fill="EAF2F8"/>
          </w:tcPr>
          <w:p>
            <w:pPr>
              <w:spacing w:after="0"/>
            </w:pPr>
            <w:r/>
            <w:r>
              <w:rPr>
                <w:b w:val="0"/>
                <w:sz w:val="19"/>
              </w:rPr>
              <w:t>看不到发起通知</w:t>
            </w:r>
          </w:p>
        </w:tc>
        <w:tc>
          <w:tcPr>
            <w:tcW w:type="dxa" w:w="6768"/>
            <w:vAlign w:val="center"/>
            <w:shd w:fill="EAF2F8"/>
          </w:tcPr>
          <w:p>
            <w:pPr>
              <w:spacing w:after="0"/>
            </w:pPr>
            <w:r/>
            <w:r>
              <w:rPr>
                <w:b w:val="0"/>
                <w:sz w:val="19"/>
              </w:rPr>
              <w:t>确认账号角色为研发送样组长，并联系管理员检查权限和账号状态。</w:t>
            </w:r>
          </w:p>
        </w:tc>
      </w:tr>
      <w:tr>
        <w:tc>
          <w:tcPr>
            <w:tcW w:type="dxa" w:w="3168"/>
            <w:vAlign w:val="center"/>
          </w:tcPr>
          <w:p>
            <w:pPr>
              <w:spacing w:after="0"/>
            </w:pPr>
            <w:r/>
            <w:r>
              <w:rPr>
                <w:b w:val="0"/>
                <w:sz w:val="19"/>
              </w:rPr>
              <w:t>实验室下拉为空或缺少实验室</w:t>
            </w:r>
          </w:p>
        </w:tc>
        <w:tc>
          <w:tcPr>
            <w:tcW w:type="dxa" w:w="6768"/>
            <w:vAlign w:val="center"/>
          </w:tcPr>
          <w:p>
            <w:pPr>
              <w:spacing w:after="0"/>
            </w:pPr>
            <w:r/>
            <w:r>
              <w:rPr>
                <w:b w:val="0"/>
                <w:sz w:val="19"/>
              </w:rPr>
              <w:t>确认用户数据库中已关联有效实验室；联系管理员维护账号关联。</w:t>
            </w:r>
          </w:p>
        </w:tc>
      </w:tr>
      <w:tr>
        <w:tc>
          <w:tcPr>
            <w:tcW w:type="dxa" w:w="3168"/>
            <w:vAlign w:val="center"/>
            <w:shd w:fill="EAF2F8"/>
          </w:tcPr>
          <w:p>
            <w:pPr>
              <w:spacing w:after="0"/>
            </w:pPr>
            <w:r/>
            <w:r>
              <w:rPr>
                <w:b w:val="0"/>
                <w:sz w:val="19"/>
              </w:rPr>
              <w:t>实验室内调动项目不全</w:t>
            </w:r>
          </w:p>
        </w:tc>
        <w:tc>
          <w:tcPr>
            <w:tcW w:type="dxa" w:w="6768"/>
            <w:vAlign w:val="center"/>
            <w:shd w:fill="EAF2F8"/>
          </w:tcPr>
          <w:p>
            <w:pPr>
              <w:spacing w:after="0"/>
            </w:pPr>
            <w:r/>
            <w:r>
              <w:rPr>
                <w:b w:val="0"/>
                <w:sz w:val="19"/>
              </w:rPr>
              <w:t>刷新页面并重新选择人员；该类型应显示课题组长关联实验室全部项目，异常时联系管理员。</w:t>
            </w:r>
          </w:p>
        </w:tc>
      </w:tr>
      <w:tr>
        <w:tc>
          <w:tcPr>
            <w:tcW w:type="dxa" w:w="3168"/>
            <w:vAlign w:val="center"/>
          </w:tcPr>
          <w:p>
            <w:pPr>
              <w:spacing w:after="0"/>
            </w:pPr>
            <w:r/>
            <w:r>
              <w:rPr>
                <w:b w:val="0"/>
                <w:sz w:val="19"/>
              </w:rPr>
              <w:t>跨实验室调动出现目标字段</w:t>
            </w:r>
          </w:p>
        </w:tc>
        <w:tc>
          <w:tcPr>
            <w:tcW w:type="dxa" w:w="6768"/>
            <w:vAlign w:val="center"/>
          </w:tcPr>
          <w:p>
            <w:pPr>
              <w:spacing w:after="0"/>
            </w:pPr>
            <w:r/>
            <w:r>
              <w:rPr>
                <w:b w:val="0"/>
                <w:sz w:val="19"/>
              </w:rPr>
              <w:t>确认使用的是 v2.0.0 前端资源；当前类型不填写目标实验室、目标项目。</w:t>
            </w:r>
          </w:p>
        </w:tc>
      </w:tr>
      <w:tr>
        <w:tc>
          <w:tcPr>
            <w:tcW w:type="dxa" w:w="3168"/>
            <w:vAlign w:val="center"/>
            <w:shd w:fill="EAF2F8"/>
          </w:tcPr>
          <w:p>
            <w:pPr>
              <w:spacing w:after="0"/>
            </w:pPr>
            <w:r/>
            <w:r>
              <w:rPr>
                <w:b w:val="0"/>
                <w:sz w:val="19"/>
              </w:rPr>
              <w:t>方法名称无法提交</w:t>
            </w:r>
          </w:p>
        </w:tc>
        <w:tc>
          <w:tcPr>
            <w:tcW w:type="dxa" w:w="6768"/>
            <w:vAlign w:val="center"/>
            <w:shd w:fill="EAF2F8"/>
          </w:tcPr>
          <w:p>
            <w:pPr>
              <w:spacing w:after="0"/>
            </w:pPr>
            <w:r/>
            <w:r>
              <w:rPr>
                <w:b w:val="0"/>
                <w:sz w:val="19"/>
              </w:rPr>
              <w:t>每个输入框只填一个方法，禁止逗号、顿号、分号和换行。</w:t>
            </w:r>
          </w:p>
        </w:tc>
      </w:tr>
      <w:tr>
        <w:tc>
          <w:tcPr>
            <w:tcW w:type="dxa" w:w="3168"/>
            <w:vAlign w:val="center"/>
          </w:tcPr>
          <w:p>
            <w:pPr>
              <w:spacing w:after="0"/>
            </w:pPr>
            <w:r/>
            <w:r>
              <w:rPr>
                <w:b w:val="0"/>
                <w:sz w:val="19"/>
              </w:rPr>
              <w:t>审批后汇总表没有变化</w:t>
            </w:r>
          </w:p>
        </w:tc>
        <w:tc>
          <w:tcPr>
            <w:tcW w:type="dxa" w:w="6768"/>
            <w:vAlign w:val="center"/>
          </w:tcPr>
          <w:p>
            <w:pPr>
              <w:spacing w:after="0"/>
            </w:pPr>
            <w:r/>
            <w:r>
              <w:rPr>
                <w:b w:val="0"/>
                <w:sz w:val="19"/>
              </w:rPr>
              <w:t>刷新并确认状态为已通过；若仍不一致，提供通知编号给管理员核对备份和审批记录。</w:t>
            </w:r>
          </w:p>
        </w:tc>
      </w:tr>
      <w:tr>
        <w:tc>
          <w:tcPr>
            <w:tcW w:type="dxa" w:w="3168"/>
            <w:vAlign w:val="center"/>
            <w:shd w:fill="EAF2F8"/>
          </w:tcPr>
          <w:p>
            <w:pPr>
              <w:spacing w:after="0"/>
            </w:pPr>
            <w:r/>
            <w:r>
              <w:rPr>
                <w:b w:val="0"/>
                <w:sz w:val="19"/>
              </w:rPr>
              <w:t>钉钉没有收到消息</w:t>
            </w:r>
          </w:p>
        </w:tc>
        <w:tc>
          <w:tcPr>
            <w:tcW w:type="dxa" w:w="6768"/>
            <w:vAlign w:val="center"/>
            <w:shd w:fill="EAF2F8"/>
          </w:tcPr>
          <w:p>
            <w:pPr>
              <w:spacing w:after="0"/>
            </w:pPr>
            <w:r/>
            <w:r>
              <w:rPr>
                <w:b w:val="0"/>
                <w:sz w:val="19"/>
              </w:rPr>
              <w:t>通知仍以页面记录为准，将通知编号交给管理员检查通知规则和发送记录。</w:t>
            </w:r>
          </w:p>
        </w:tc>
      </w:tr>
    </w:tbl>
    <w:p/>
    <w:p>
      <w:pPr>
        <w:pStyle w:val="Heading1"/>
      </w:pPr>
      <w:r>
        <w:t>十二、提交前检查清单</w:t>
      </w:r>
    </w:p>
    <w:p>
      <w:pPr>
        <w:pStyle w:val="ListBullet"/>
        <w:spacing w:after="40"/>
      </w:pPr>
      <w:r>
        <w:t>实验室是本人负责的正确实验室，人员姓名与汇总表一致。</w:t>
      </w:r>
    </w:p>
    <w:p>
      <w:pPr>
        <w:pStyle w:val="ListBullet"/>
        <w:spacing w:after="40"/>
      </w:pPr>
      <w:r>
        <w:t>变动类型与实际业务一致，一条通知只描述一类明确变动。</w:t>
      </w:r>
    </w:p>
    <w:p>
      <w:pPr>
        <w:pStyle w:val="ListBullet"/>
        <w:spacing w:after="40"/>
      </w:pPr>
      <w:r>
        <w:t>有项目关联的变动已核对默认勾选；取消勾选的项目确实需要取消关联。</w:t>
      </w:r>
    </w:p>
    <w:p>
      <w:pPr>
        <w:pStyle w:val="ListBullet"/>
        <w:spacing w:after="40"/>
      </w:pPr>
      <w:r>
        <w:t>新增项目已填写项目代号和至少一个方法，高新项目已填写名称。</w:t>
      </w:r>
    </w:p>
    <w:p>
      <w:pPr>
        <w:pStyle w:val="ListBullet"/>
        <w:spacing w:after="40"/>
      </w:pPr>
      <w:r>
        <w:t>新增方法已逐条填写，未包含禁止字符。</w:t>
      </w:r>
    </w:p>
    <w:p>
      <w:pPr>
        <w:pStyle w:val="ListBullet"/>
        <w:spacing w:after="40"/>
      </w:pPr>
      <w:r>
        <w:t>日期、原因、备注和管理员配置的必填字段均已完成。</w:t>
      </w:r>
    </w:p>
    <w:p>
      <w:pPr>
        <w:pStyle w:val="ListBullet"/>
        <w:spacing w:after="40"/>
      </w:pPr>
      <w:r>
        <w:t>提交后已记录通知编号，并在近 7 天记录中核对状态。</w:t>
      </w:r>
    </w:p>
    <w:p>
      <w:pPr>
        <w:spacing w:before="400"/>
        <w:jc w:val="center"/>
      </w:pPr>
      <w:r>
        <w:rPr>
          <w:rFonts w:ascii="Microsoft YaHei" w:hAnsi="Microsoft YaHei" w:eastAsia="Microsoft YaHei"/>
          <w:color w:val="595959"/>
        </w:rPr>
        <w:t>—— 本说明书完 ——</w:t>
      </w:r>
    </w:p>
    <w:sectPr w:rsidR="00FC693F" w:rsidRPr="0006063C"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研发送样组长人员变动通知操作说明书 V2.0.0</dc:title>
  <dc:subject>人员变动通知独立功能岗位操作说明</dc:subject>
  <dc:creator>LabFlow</dc:creator>
  <cp:keywords/>
  <dc:description>按照研发送样员使用手册版式编写，适用 v2.0.0</dc:description>
  <cp:lastModifiedBy/>
  <cp:revision>1</cp:revision>
  <dcterms:created xsi:type="dcterms:W3CDTF">2013-12-23T23:15:00Z</dcterms:created>
  <dcterms:modified xsi:type="dcterms:W3CDTF">2013-12-23T23:15:00Z</dcterms:modified>
  <cp:category/>
</cp:coreProperties>
</file>