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CS-255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Foss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Billy Lewis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18, 2026</w:t>
      </w:r>
    </w:p>
    <w:p w:rsidR="00000000" w:rsidDel="00000000" w:rsidP="00000000" w:rsidRDefault="00000000" w:rsidRPr="00000000" w14:paraId="00000005">
      <w:pPr>
        <w:pStyle w:val="Heading1"/>
        <w:shd w:fill="ffffff" w:val="clear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h01mpabze7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rtl w:val="0"/>
        </w:rPr>
        <w:t xml:space="preserve">2-2 Assignment: Determining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aoa31rr121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 (6)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e3bf4g59kh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FR1: User Authentication and Role-Based Access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allow users to log in using university credentials and assign access based on role (student, instructor, teaching assistant, administrator).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LMS must support different user types with different permissions (e.g., students view/submit work; instructors create content and grade). This is foundational to secure, appropriate access across the system.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1u9csbns4v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FR2: Course Content Management and Delivery</w:t>
      </w:r>
    </w:p>
    <w:p w:rsidR="00000000" w:rsidDel="00000000" w:rsidP="00000000" w:rsidRDefault="00000000" w:rsidRPr="00000000" w14:paraId="0000000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allow instructors to create, upload, organize, and publish course content (modules/pages/files/links) for enrolled students to access.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Delivering course materials is a core LMS purpose; modern LMS platforms support structured content delivery and linking activities directly within course content.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dseb8grj7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FR3: Assignment Submission and Assessment Tools</w:t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allow instructors to create assignments and quizzes, and allow students to submit assignments and complete quizzes online.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Assessment is a primary function of online learning systems and is consistently provided as a standard toolset (assignments/quizzes) across LMS platforms.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ejrv7odxup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FR4: Gradebook and Feedback Publishing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provide a gradebook where instructors can enter grades and feedback, and students can view grades and progress.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gradebook is essential for managing course performance; Brightspace specifically highlights gradebook management and publishing grades/feedback to learners.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paok4gceo5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FR5: Communication and Discussion Features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provide course communication tools, including announcements and discussion forums, enabling instructor-to-student and student-to-student interaction.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learning requires structured communication and interaction; LMS platforms commonly include discussions to support engagement and collaboration.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0rxwfq29rj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FR6: Reporting and Audit-Friendly Records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generate system and academic reports (e.g., grade reports, course activity summaries) and maintain logs for key actions (e.g., submissions, grade changes).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Institutions need standardized reporting and traceability for academic operations and accountability; reporting capabilities support oversight, compliance, and troubleshooting.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pyj0yl42c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Nonfunctional Requirements (6)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t7aljaysfn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NFR1: Security (Confidentiality and Integrity)</w:t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protect sensitive data (student records/grades) through secure access controls and encrypted transmission of data.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LMS platforms store protected educational records, so security is a critical quality attribute to prevent unauthorized access and preserve data integrity.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xag2udxg0i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NFR2: Availability and Reliability</w:t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be available 99.9% of the time during academic terms, excluding scheduled maintenance windows.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learners rely on consistent access regardless of time zone; reliability directly impacts learning continuity and user trust.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w239bboed8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NFR3: Performance (Response Time)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load key pages (dashboard, course home, assignment submission) within 3 seconds under normal load.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Slow performance harms usability and student success, especially during deadlines; performance is a commonly measured quality attribute for systems.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pw5pbplil4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NFR4: Scalability/Capacity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support at least 10,000 concurrent users during peak periods (e.g., assignment deadlines).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LMS solutions must serve large student populations simultaneously; capacity and scalability are classic nonfunctional constraints for learning platforms.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d59mdn8csr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NFR5: Usability and Learnability</w:t>
      </w:r>
    </w:p>
    <w:p w:rsidR="00000000" w:rsidDel="00000000" w:rsidP="00000000" w:rsidRDefault="00000000" w:rsidRPr="00000000" w14:paraId="0000001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provide a consistent interface with clear navigation so new users can complete basic tasks (view content, submit assignment, check grades) with minimal training.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Usability is a nonfunctional quality attribute; online students and faculty need an interface that is easy to learn and use to reduce support burden and increase adoption.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z8w4h3vpxm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NFR6: Compatibility and Accessibility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LMS shall operate on modern browsers (Chrome/Edge/Safari/Firefox) and support accessibility expectations (e.g., keyboard navigation and readable layouts).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use different devices and browsers; compatibility increases access and reduces barriers to participation in online courses.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onfhg548l1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Assumptions (2)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1nixs9yz02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A1: Users Have University-Issued Credentials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Students, instructors, and staff will have active university accounts to authenticate into the LMS.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 universities centralize identity management; assuming institutional credentials enables role-based access and reduces security risk compared to unmanaged accounts.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w99rrm6w07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A2: Instructors Will Create and Maintain Course Content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Faculty/instructional staff will be responsible for building course shells, uploading content, and configuring assessments.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LMS platforms are typically designed around instructor-managed course delivery and assessment configuration.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3lgeo7pl6n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Limitations (2)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ddwpovp91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L1: Integration Scope Is Limited in Phase 1</w:t>
      </w:r>
    </w:p>
    <w:p w:rsidR="00000000" w:rsidDel="00000000" w:rsidP="00000000" w:rsidRDefault="00000000" w:rsidRPr="00000000" w14:paraId="0000002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initial LMS release will support only essential integrations (e.g., basic authentication), while advanced integrations (third-party tools, extensive analytics, specialized proctoring) may be deferred.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Integrations increase complexity, cost, and testing scope; limiting them early helps deliver core learning functions sooner and reduces implementation risk.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2ghiw5zi4w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L2: Budget and Time Constraints Restrict Customization</w:t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YOUser University’s LMS design will prioritize standard features and may not include extensive custom workflows or UI personalization in the first version.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Resource constraints commonly limit the ability to build every “nice-to-have” feature; focusing on core functional requirements supports timely delivery and manageability.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5widk2eilxt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 (APA 7)</w:t>
      </w:r>
    </w:p>
    <w:p w:rsidR="00000000" w:rsidDel="00000000" w:rsidP="00000000" w:rsidRDefault="00000000" w:rsidRPr="00000000" w14:paraId="0000003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Coara. (2020, August 27).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requirements vs functional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D2L Brightspace Community. (2025, June 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About grades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D2L Brightspace Community. (2025, December 31).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About 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Instructure Community.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is Canvas?</w:t>
      </w:r>
    </w:p>
    <w:p w:rsidR="00000000" w:rsidDel="00000000" w:rsidP="00000000" w:rsidRDefault="00000000" w:rsidRPr="00000000" w14:paraId="00000034">
      <w:pPr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Instructure.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Canvas LMS: Simple for learners, powerful for you.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Southern Illinois University Center for Teaching Excellence.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D2L Brightspace for instructors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Texas Rio Grande Valley IT Support.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Entering grades and feedback in Brightspace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DePaul University.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Grades &amp; assessments | D2L essentials 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Tsui, F., Karam, O., &amp; Bernal, B.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engineering: A practitioner’s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(discussion of nonfunctional requirements/quality attributes). Association for Computing Machinery.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