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예비군 훈련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분석 : 인구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분석 : 매출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분석 : 지역 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분석 : 경쟁분석 보고서, 입지 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관련 ‘소상공인 상권정보' 연락 결과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2023.04.19. 소상공인 상권 정보에 연락하여, 프로젝트 관련 문의함. 2023.04.20. 답변이 왔음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SNS 분석은 지금은 왜 더 이상 안하는가? : 담당하던 업체와 계약 기간이 만료 되어서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기획서 확인 해줄 수 있는가? : 어려울 것 같다.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데이터 분석 관련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태블로로 진행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다소 감을 잡기 어렵다라는 의견이 있다.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 설계서 기반으로 다시 진행해보도록 함.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 : 인구 관련 분석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 : 매출 관련 분석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 : 지역 현황 분석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 : 경쟁분석 보고서, 입지 유형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6yz2hGfttjCYIGZxynZG9SpoiQ==">AMUW2mXr4AWGfdTRnts1dOxF2LY3nyBIgLOuQSOFfSNFPfs3hTVFyx8N7jU6fnR1a1dMfuovpM3a1rsRqEDpWr2TfDpJWvLwHP5ZI8MEuL0NZk2+hrIhzly8IjrzL+avqHM8m+2sqMNY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