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C29A3B"/>
          <w:spacing w:val="40"/>
          <w:sz w:val="17"/>
          <w:szCs w:val="17"/>
        </w:rPr>
        <w:t xml:space="preserve">RESTAURANT PERFORMANCE REVIEW</w:t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B2A49"/>
          <w:sz w:val="44"/>
          <w:szCs w:val="44"/>
        </w:rPr>
        <w:t xml:space="preserve">Open Decisions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B6780"/>
          <w:sz w:val="22"/>
          <w:szCs w:val="22"/>
        </w:rPr>
        <w:t xml:space="preserve">Twelve questions to settle before or during slice 1</w:t>
      </w:r>
    </w:p>
    <w:p>
      <w:pPr>
        <w:pBdr>
          <w:bottom w:val="single" w:color="1B2A49" w:sz="12" w:space="1"/>
        </w:pBdr>
        <w:spacing w:after="20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p>
      <w:pPr>
        <w:spacing w:after="120" w:before="6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Nine of these are short answers. </w:t>
      </w:r>
      <w:r>
        <w:rPr>
          <w:rFonts w:ascii="Calibri" w:cs="Calibri" w:eastAsia="Calibri" w:hAnsi="Calibri"/>
          <w:b/>
          <w:bCs/>
          <w:color w:val="1D2433"/>
          <w:sz w:val="20"/>
          <w:szCs w:val="20"/>
        </w:rPr>
        <w:t xml:space="preserve">OD-01, OD-02 and OD-05 are genuinely architectural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and will be expensive to change later — they should be settled first.</w:t>
      </w:r>
    </w:p>
    <w:p>
      <w:pPr>
        <w:spacing w:after="120" w:before="6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Each decision records the question, why it matters, the options and a recommendation, followed by space to record your answer. This document is the decision log: what you write here is the record.</w:t>
      </w:r>
    </w:p>
    <w:p>
      <w:pPr>
        <w:spacing w:after="240" w:before="6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Source: </w:t>
      </w:r>
      <w:r>
        <w:rPr>
          <w:rFonts w:ascii="Calibri" w:cs="Calibri" w:eastAsia="Calibri" w:hAnsi="Calibri"/>
          <w:i/>
          <w:iCs/>
          <w:color w:val="5B6780"/>
          <w:sz w:val="20"/>
          <w:szCs w:val="20"/>
        </w:rPr>
        <w:t xml:space="preserve">docs/plan/05-open-decisions.md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. Gap references (G-nn) point to </w:t>
      </w:r>
      <w:r>
        <w:rPr>
          <w:rFonts w:ascii="Calibri" w:cs="Calibri" w:eastAsia="Calibri" w:hAnsi="Calibri"/>
          <w:i/>
          <w:iCs/>
          <w:color w:val="5B6780"/>
          <w:sz w:val="20"/>
          <w:szCs w:val="20"/>
        </w:rPr>
        <w:t xml:space="preserve">docs/review/02-gap-register.md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.</w:t>
      </w:r>
    </w:p>
    <w:p>
      <w:pPr>
        <w:pStyle w:val="Heading2"/>
        <w:spacing w:after="120" w:before="120"/>
      </w:pPr>
      <w:r>
        <w:rPr>
          <w:rFonts w:ascii="Calibri" w:cs="Calibri" w:eastAsia="Calibri" w:hAnsi="Calibri"/>
          <w:b/>
          <w:bCs/>
          <w:color w:val="1B2A49"/>
          <w:sz w:val="26"/>
          <w:szCs w:val="26"/>
        </w:rPr>
        <w:t xml:space="preserve">Summary</w:t>
      </w:r>
    </w:p>
    <w:tbl>
      <w:tblPr>
        <w:tblW w:type="dxa" w:w="9638"/>
        <w:tblBorders>
          <w:top w:val="single" w:color="D2D9E4" w:sz="4"/>
          <w:left w:val="single" w:color="D2D9E4" w:sz="4"/>
          <w:bottom w:val="single" w:color="D2D9E4" w:sz="4"/>
          <w:right w:val="single" w:color="D2D9E4" w:sz="4"/>
          <w:insideH w:val="single" w:color="D2D9E4" w:sz="2"/>
          <w:insideV w:val="single" w:color="D2D9E4" w:sz="2"/>
        </w:tblBorders>
      </w:tblPr>
      <w:tblGrid>
        <w:gridCol w:w="900"/>
        <w:gridCol w:w="3500"/>
        <w:gridCol w:w="1900"/>
        <w:gridCol w:w="1200"/>
        <w:gridCol w:w="2138"/>
      </w:tblGrid>
      <w:tr>
        <w:trPr>
          <w:tblHeader/>
        </w:trPr>
        <w:tc>
          <w:tcPr>
            <w:tcW w:type="dxa" w:w="900"/>
            <w:shd w:fill="1B2A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3500"/>
            <w:shd w:fill="1B2A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1900"/>
            <w:shd w:fill="1B2A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shd w:fill="1B2A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Blocks</w:t>
            </w:r>
          </w:p>
        </w:tc>
        <w:tc>
          <w:tcPr>
            <w:tcW w:type="dxa" w:w="2138"/>
            <w:shd w:fill="1B2A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Answered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OD-01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Background job runner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Architectural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80"/>
                <w:sz w:val="18"/>
                <w:szCs w:val="18"/>
              </w:rPr>
              <w:t xml:space="preserve">Slice 3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OD-02</w:t>
            </w:r>
          </w:p>
        </w:tc>
        <w:tc>
          <w:tcPr>
            <w:tcW w:type="dxa" w:w="35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Backup, restore and disaster recovery</w:t>
            </w:r>
          </w:p>
        </w:tc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Architectural</w:t>
            </w:r>
          </w:p>
        </w:tc>
        <w:tc>
          <w:tcPr>
            <w:tcW w:type="dxa" w:w="12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80"/>
                <w:sz w:val="18"/>
                <w:szCs w:val="18"/>
              </w:rPr>
              <w:t xml:space="preserve">—</w:t>
            </w:r>
          </w:p>
        </w:tc>
        <w:tc>
          <w:tcPr>
            <w:tcW w:type="dxa" w:w="2138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OD-03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Budget grain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780"/>
                <w:sz w:val="18"/>
                <w:szCs w:val="18"/>
              </w:rPr>
              <w:t xml:space="preserve">Blocking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80"/>
                <w:sz w:val="18"/>
                <w:szCs w:val="18"/>
              </w:rPr>
              <w:t xml:space="preserve">Slice 3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OD-04</w:t>
            </w:r>
          </w:p>
        </w:tc>
        <w:tc>
          <w:tcPr>
            <w:tcW w:type="dxa" w:w="35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Outlet scoping model</w:t>
            </w:r>
          </w:p>
        </w:tc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780"/>
                <w:sz w:val="18"/>
                <w:szCs w:val="18"/>
              </w:rPr>
              <w:t xml:space="preserve">Standard</w:t>
            </w:r>
          </w:p>
        </w:tc>
        <w:tc>
          <w:tcPr>
            <w:tcW w:type="dxa" w:w="12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80"/>
                <w:sz w:val="18"/>
                <w:szCs w:val="18"/>
              </w:rPr>
              <w:t xml:space="preserve">Slice 1</w:t>
            </w:r>
          </w:p>
        </w:tc>
        <w:tc>
          <w:tcPr>
            <w:tcW w:type="dxa" w:w="2138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OD-05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Data retention versus immutability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Architectural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80"/>
                <w:sz w:val="18"/>
                <w:szCs w:val="18"/>
              </w:rPr>
              <w:t xml:space="preserve">Slice 4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OD-06</w:t>
            </w:r>
          </w:p>
        </w:tc>
        <w:tc>
          <w:tcPr>
            <w:tcW w:type="dxa" w:w="35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Authentication policy</w:t>
            </w:r>
          </w:p>
        </w:tc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780"/>
                <w:sz w:val="18"/>
                <w:szCs w:val="18"/>
              </w:rPr>
              <w:t xml:space="preserve">Standard</w:t>
            </w:r>
          </w:p>
        </w:tc>
        <w:tc>
          <w:tcPr>
            <w:tcW w:type="dxa" w:w="12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80"/>
                <w:sz w:val="18"/>
                <w:szCs w:val="18"/>
              </w:rPr>
              <w:t xml:space="preserve">Slice 1</w:t>
            </w:r>
          </w:p>
        </w:tc>
        <w:tc>
          <w:tcPr>
            <w:tcW w:type="dxa" w:w="2138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OD-07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Missing screens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780"/>
                <w:sz w:val="18"/>
                <w:szCs w:val="18"/>
              </w:rPr>
              <w:t xml:space="preserve">Standard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80"/>
                <w:sz w:val="18"/>
                <w:szCs w:val="18"/>
              </w:rPr>
              <w:t xml:space="preserve">Slice 1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OD-08</w:t>
            </w:r>
          </w:p>
        </w:tc>
        <w:tc>
          <w:tcPr>
            <w:tcW w:type="dxa" w:w="35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SC23 and SC24</w:t>
            </w:r>
          </w:p>
        </w:tc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780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12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80"/>
                <w:sz w:val="18"/>
                <w:szCs w:val="18"/>
              </w:rPr>
              <w:t xml:space="preserve">—</w:t>
            </w:r>
          </w:p>
        </w:tc>
        <w:tc>
          <w:tcPr>
            <w:tcW w:type="dxa" w:w="2138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OD-09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Pack rendering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780"/>
                <w:sz w:val="18"/>
                <w:szCs w:val="18"/>
              </w:rPr>
              <w:t xml:space="preserve">Standard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80"/>
                <w:sz w:val="18"/>
                <w:szCs w:val="18"/>
              </w:rPr>
              <w:t xml:space="preserve">Slice 4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OD-10</w:t>
            </w:r>
          </w:p>
        </w:tc>
        <w:tc>
          <w:tcPr>
            <w:tcW w:type="dxa" w:w="35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Materiality defaults</w:t>
            </w:r>
          </w:p>
        </w:tc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780"/>
                <w:sz w:val="18"/>
                <w:szCs w:val="18"/>
              </w:rPr>
              <w:t xml:space="preserve">Standard</w:t>
            </w:r>
          </w:p>
        </w:tc>
        <w:tc>
          <w:tcPr>
            <w:tcW w:type="dxa" w:w="12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80"/>
                <w:sz w:val="18"/>
                <w:szCs w:val="18"/>
              </w:rPr>
              <w:t xml:space="preserve">Slice 1</w:t>
            </w:r>
          </w:p>
        </w:tc>
        <w:tc>
          <w:tcPr>
            <w:tcW w:type="dxa" w:w="2138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OD-11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Tolerance constants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780"/>
                <w:sz w:val="18"/>
                <w:szCs w:val="18"/>
              </w:rPr>
              <w:t xml:space="preserve">Standard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80"/>
                <w:sz w:val="18"/>
                <w:szCs w:val="18"/>
              </w:rPr>
              <w:t xml:space="preserve">Slice 3</w:t>
            </w:r>
          </w:p>
        </w:tc>
        <w:tc>
          <w:tcPr>
            <w:tcW w:type="dxa" w:w="2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OD-12</w:t>
            </w:r>
          </w:p>
        </w:tc>
        <w:tc>
          <w:tcPr>
            <w:tcW w:type="dxa" w:w="35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R1 scope confirmations</w:t>
            </w:r>
          </w:p>
        </w:tc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780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12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80"/>
                <w:sz w:val="18"/>
                <w:szCs w:val="18"/>
              </w:rPr>
              <w:t xml:space="preserve">—</w:t>
            </w:r>
          </w:p>
        </w:tc>
        <w:tc>
          <w:tcPr>
            <w:tcW w:type="dxa" w:w="2138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60" w:before="0"/>
      </w:pPr>
      <w:r>
        <w:rPr>
          <w:rFonts w:ascii="Calibri" w:cs="Calibri" w:eastAsia="Calibri" w:hAnsi="Calibri"/>
          <w:b/>
          <w:bCs/>
          <w:color w:val="C29A3B"/>
          <w:sz w:val="26"/>
          <w:szCs w:val="26"/>
        </w:rPr>
        <w:t xml:space="preserve">OD-01</w:t>
      </w:r>
      <w:r>
        <w:rPr>
          <w:rFonts w:ascii="Calibri" w:cs="Calibri" w:eastAsia="Calibri" w:hAnsi="Calibri"/>
          <w:b/>
          <w:bCs/>
          <w:color w:val="1B2A49"/>
          <w:sz w:val="26"/>
          <w:szCs w:val="26"/>
        </w:rPr>
        <w:t xml:space="preserve">   Background job runner</w:t>
      </w:r>
    </w:p>
    <w:p>
      <w:pPr>
        <w:pBdr>
          <w:bottom w:val="single" w:color="C29A3B" w:sz="10" w:space="1"/>
        </w:pBd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D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pacing w:val="20"/>
                <w:sz w:val="15"/>
                <w:szCs w:val="15"/>
              </w:rPr>
              <w:t xml:space="preserve">ARCHITECTURAL — BLOCKS SLICE 3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Question.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How do long-running calculation runs and pack generation execute?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Why it matters.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A calc run over the 10,500-row transaction fixture plus PDF pack generation will not reliably complete inside a Vercel serverless request. Vercel function timeouts are the binding constraint, and discovering this during slice 3 means rewriting the calc orchestration layer. This is not an optimisation — it determines the shape of the API. (Gap G-60.)</w:t>
      </w:r>
    </w:p>
    <w:p>
      <w:pPr>
        <w:spacing w:after="6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Options.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A dedicated worker service (Render, Fly.io, Railway, or a container on any host) consuming a queue, with the FastAPI app enqueueing and the UI polling calc_run.status.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Supabase Edge Functions plus pg_cron — keeps everything inside Supabase but with tighter execution limits and a less pleasant debugging story.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Synchronous execution with aggressive input limits — only viable if runs stay small, which the transaction path already contradicts.</w:t>
      </w:r>
    </w:p>
    <w:p>
      <w:pPr>
        <w:spacing w:after="6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9BC72" w:sz="4"/>
          <w:left w:val="single" w:color="C29A3B" w:sz="18"/>
          <w:bottom w:val="single" w:color="D9BC72" w:sz="4"/>
          <w:right w:val="single" w:color="D9BC72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BF5E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5501A"/>
                <w:spacing w:val="20"/>
                <w:sz w:val="15"/>
                <w:szCs w:val="15"/>
              </w:rPr>
              <w:t xml:space="preserve">RECOMMENDATION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4A3D13"/>
                <w:sz w:val="20"/>
                <w:szCs w:val="20"/>
              </w:rPr>
              <w:t xml:space="preserve">Option 1. The schema already models runs as asynchronous — calc_run has started_at, completed_at and a status. The model expects a worker; supply one. It also keeps pack PDF generation, which is unbounded, off the request path.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2D9E4" w:sz="4"/>
          <w:left w:val="single" w:color="D2D9E4" w:sz="4"/>
          <w:bottom w:val="single" w:color="D2D9E4" w:sz="4"/>
          <w:right w:val="single" w:color="D2D9E4" w:sz="4"/>
          <w:insideH w:val="single" w:color="D2D9E4" w:sz="4"/>
          <w:insideV w:val="single" w:color="D2D9E4" w:sz="4"/>
        </w:tblBorders>
      </w:tblPr>
      <w:tblGrid>
        <w:gridCol w:w="1900"/>
        <w:gridCol w:w="7738"/>
      </w:tblGrid>
      <w:tr>
        <w:trPr>
          <w:trHeight w:val="13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Decision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Decided by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Date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60" w:before="0"/>
      </w:pPr>
      <w:r>
        <w:rPr>
          <w:rFonts w:ascii="Calibri" w:cs="Calibri" w:eastAsia="Calibri" w:hAnsi="Calibri"/>
          <w:b/>
          <w:bCs/>
          <w:color w:val="C29A3B"/>
          <w:sz w:val="26"/>
          <w:szCs w:val="26"/>
        </w:rPr>
        <w:t xml:space="preserve">OD-02</w:t>
      </w:r>
      <w:r>
        <w:rPr>
          <w:rFonts w:ascii="Calibri" w:cs="Calibri" w:eastAsia="Calibri" w:hAnsi="Calibri"/>
          <w:b/>
          <w:bCs/>
          <w:color w:val="1B2A49"/>
          <w:sz w:val="26"/>
          <w:szCs w:val="26"/>
        </w:rPr>
        <w:t xml:space="preserve">   Backup, restore and disaster recovery</w:t>
      </w:r>
    </w:p>
    <w:p>
      <w:pPr>
        <w:pBdr>
          <w:bottom w:val="single" w:color="C29A3B" w:sz="10" w:space="1"/>
        </w:pBd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D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pacing w:val="20"/>
                <w:sz w:val="15"/>
                <w:szCs w:val="15"/>
              </w:rPr>
              <w:t xml:space="preserve">ARCHITECTURAL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Question.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What is the RPO and RTO, and who has tested a restore?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Why it matters.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The product’s entire value proposition is immutable, auditable history. Losing it is not an outage, it is an existential failure — a customer’s signed packs and their lineage are not reproducible from anywhere else. Supabase provides backups by plan tier, but an untested backup is a hypothesis. (Gap G-63.)</w:t>
      </w:r>
    </w:p>
    <w:p>
      <w:pPr>
        <w:spacing w:after="6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Options.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Rely on Supabase’s managed backups at the chosen tier; document RPO/RTO; test a restore into a scratch project once per quarter.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The above, plus independent periodic logical dumps to separate object storage.</w:t>
      </w:r>
    </w:p>
    <w:p>
      <w:pPr>
        <w:spacing w:after="6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9BC72" w:sz="4"/>
          <w:left w:val="single" w:color="C29A3B" w:sz="18"/>
          <w:bottom w:val="single" w:color="D9BC72" w:sz="4"/>
          <w:right w:val="single" w:color="D9BC72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BF5E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5501A"/>
                <w:spacing w:val="20"/>
                <w:sz w:val="15"/>
                <w:szCs w:val="15"/>
              </w:rPr>
              <w:t xml:space="preserve">RECOMMENDATION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4A3D13"/>
                <w:sz w:val="20"/>
                <w:szCs w:val="20"/>
              </w:rPr>
              <w:t xml:space="preserve">Option 2 once the first paying customer exists. Option 1 is acceptable during development, provided a restore is actually performed at least once before launch.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2D9E4" w:sz="4"/>
          <w:left w:val="single" w:color="D2D9E4" w:sz="4"/>
          <w:bottom w:val="single" w:color="D2D9E4" w:sz="4"/>
          <w:right w:val="single" w:color="D2D9E4" w:sz="4"/>
          <w:insideH w:val="single" w:color="D2D9E4" w:sz="4"/>
          <w:insideV w:val="single" w:color="D2D9E4" w:sz="4"/>
        </w:tblBorders>
      </w:tblPr>
      <w:tblGrid>
        <w:gridCol w:w="1900"/>
        <w:gridCol w:w="7738"/>
      </w:tblGrid>
      <w:tr>
        <w:trPr>
          <w:trHeight w:val="13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Decision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Decided by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Date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60" w:before="0"/>
      </w:pPr>
      <w:r>
        <w:rPr>
          <w:rFonts w:ascii="Calibri" w:cs="Calibri" w:eastAsia="Calibri" w:hAnsi="Calibri"/>
          <w:b/>
          <w:bCs/>
          <w:color w:val="C29A3B"/>
          <w:sz w:val="26"/>
          <w:szCs w:val="26"/>
        </w:rPr>
        <w:t xml:space="preserve">OD-03</w:t>
      </w:r>
      <w:r>
        <w:rPr>
          <w:rFonts w:ascii="Calibri" w:cs="Calibri" w:eastAsia="Calibri" w:hAnsi="Calibri"/>
          <w:b/>
          <w:bCs/>
          <w:color w:val="1B2A49"/>
          <w:sz w:val="26"/>
          <w:szCs w:val="26"/>
        </w:rPr>
        <w:t xml:space="preserve">   Budget grain</w:t>
      </w:r>
    </w:p>
    <w:p>
      <w:pPr>
        <w:pBdr>
          <w:bottom w:val="single" w:color="C29A3B" w:sz="10" w:space="1"/>
        </w:pBd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780"/>
                <w:spacing w:val="20"/>
                <w:sz w:val="15"/>
                <w:szCs w:val="15"/>
              </w:rPr>
              <w:t xml:space="preserve">BLOCKS SLICE 3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Question.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Are comparator (budget / forecast / prior-year) figures stored at account grain like actuals, or at ladder-line grain?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Why it matters.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The spec says T6 has “the same canonical structure as T1” — account grain — but Amberside_Budget_Jul2026.csv is keyed by Management_Line, and financial_fact.account_id is NOT NULL. As it stands the fixture comparator cannot be committed without inventing synthetic accounts, which would corrupt the account dimension. (Gap G-07.)</w:t>
      </w:r>
    </w:p>
    <w:p>
      <w:pPr>
        <w:spacing w:after="6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Options.</w:t>
      </w:r>
    </w:p>
    <w:p>
      <w:pPr>
        <w:pStyle w:val="ListParagraph"/>
        <w:numPr>
          <w:ilvl w:val="0"/>
          <w:numId w:val="4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Allow ladder-grain comparators. Make account_id nullable with a CHECK requiring it for scenario = ‘actual’; always record ladder_line_id.</w:t>
      </w:r>
    </w:p>
    <w:p>
      <w:pPr>
        <w:pStyle w:val="ListParagraph"/>
        <w:numPr>
          <w:ilvl w:val="0"/>
          <w:numId w:val="4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Require account grain, and change the fixture and the customer-facing template accordingly.</w:t>
      </w:r>
    </w:p>
    <w:p>
      <w:pPr>
        <w:pStyle w:val="ListParagraph"/>
        <w:numPr>
          <w:ilvl w:val="0"/>
          <w:numId w:val="4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A separate comparator_fact table at ladder grain.</w:t>
      </w:r>
    </w:p>
    <w:p>
      <w:pPr>
        <w:spacing w:after="6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9BC72" w:sz="4"/>
          <w:left w:val="single" w:color="C29A3B" w:sz="18"/>
          <w:bottom w:val="single" w:color="D9BC72" w:sz="4"/>
          <w:right w:val="single" w:color="D9BC72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BF5E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5501A"/>
                <w:spacing w:val="20"/>
                <w:sz w:val="15"/>
                <w:szCs w:val="15"/>
              </w:rPr>
              <w:t xml:space="preserve">RECOMMENDATION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4A3D13"/>
                <w:sz w:val="20"/>
                <w:szCs w:val="20"/>
              </w:rPr>
              <w:t xml:space="preserve">Option 1. Restaurants routinely budget at management-line level and not by account — requiring account-grain budgets would impose bookkeeping most customers do not do. The fixture is right and the schema should accommodate it. Option 3 duplicates the variance logic for no gain.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2D9E4" w:sz="4"/>
          <w:left w:val="single" w:color="D2D9E4" w:sz="4"/>
          <w:bottom w:val="single" w:color="D2D9E4" w:sz="4"/>
          <w:right w:val="single" w:color="D2D9E4" w:sz="4"/>
          <w:insideH w:val="single" w:color="D2D9E4" w:sz="4"/>
          <w:insideV w:val="single" w:color="D2D9E4" w:sz="4"/>
        </w:tblBorders>
      </w:tblPr>
      <w:tblGrid>
        <w:gridCol w:w="1900"/>
        <w:gridCol w:w="7738"/>
      </w:tblGrid>
      <w:tr>
        <w:trPr>
          <w:trHeight w:val="13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Decision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Decided by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Date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60" w:before="0"/>
      </w:pPr>
      <w:r>
        <w:rPr>
          <w:rFonts w:ascii="Calibri" w:cs="Calibri" w:eastAsia="Calibri" w:hAnsi="Calibri"/>
          <w:b/>
          <w:bCs/>
          <w:color w:val="C29A3B"/>
          <w:sz w:val="26"/>
          <w:szCs w:val="26"/>
        </w:rPr>
        <w:t xml:space="preserve">OD-04</w:t>
      </w:r>
      <w:r>
        <w:rPr>
          <w:rFonts w:ascii="Calibri" w:cs="Calibri" w:eastAsia="Calibri" w:hAnsi="Calibri"/>
          <w:b/>
          <w:bCs/>
          <w:color w:val="1B2A49"/>
          <w:sz w:val="26"/>
          <w:szCs w:val="26"/>
        </w:rPr>
        <w:t xml:space="preserve">   Outlet scoping model</w:t>
      </w:r>
    </w:p>
    <w:p>
      <w:pPr>
        <w:pBdr>
          <w:bottom w:val="single" w:color="C29A3B" w:sz="10" w:space="1"/>
        </w:pBd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Question.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Keep membership.outlet_scope uuid[], or move to a membership_outlet join table?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Why it matters.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An array of UUIDs cannot carry a foreign key. Deleting an outlet leaves a dangling entry, and access silently changes — in either direction. (Gap G-11.)</w:t>
      </w:r>
    </w:p>
    <w:p>
      <w:pPr>
        <w:spacing w:after="6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Options.</w:t>
      </w:r>
    </w:p>
    <w:p>
      <w:pPr>
        <w:pStyle w:val="ListParagraph"/>
        <w:numPr>
          <w:ilvl w:val="0"/>
          <w:numId w:val="5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membership_outlet join table with real foreign keys and cascade behaviour.</w:t>
      </w:r>
    </w:p>
    <w:p>
      <w:pPr>
        <w:pStyle w:val="ListParagraph"/>
        <w:numPr>
          <w:ilvl w:val="0"/>
          <w:numId w:val="5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Keep the array for RLS performance, add a trigger-based integrity check and document why.</w:t>
      </w:r>
    </w:p>
    <w:p>
      <w:pPr>
        <w:spacing w:after="6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9BC72" w:sz="4"/>
          <w:left w:val="single" w:color="C29A3B" w:sz="18"/>
          <w:bottom w:val="single" w:color="D9BC72" w:sz="4"/>
          <w:right w:val="single" w:color="D9BC72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BF5E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5501A"/>
                <w:spacing w:val="20"/>
                <w:sz w:val="15"/>
                <w:szCs w:val="15"/>
              </w:rPr>
              <w:t xml:space="preserve">RECOMMENDATION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4A3D13"/>
                <w:sz w:val="20"/>
                <w:szCs w:val="20"/>
              </w:rPr>
              <w:t xml:space="preserve">Option 1. Correctness over a micro-optimisation, in the one part of the system where a silent error is a data breach. If profiling later shows the join is genuinely hot, cache it in a materialised view rather than reintroducing an unconstrained array.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2D9E4" w:sz="4"/>
          <w:left w:val="single" w:color="D2D9E4" w:sz="4"/>
          <w:bottom w:val="single" w:color="D2D9E4" w:sz="4"/>
          <w:right w:val="single" w:color="D2D9E4" w:sz="4"/>
          <w:insideH w:val="single" w:color="D2D9E4" w:sz="4"/>
          <w:insideV w:val="single" w:color="D2D9E4" w:sz="4"/>
        </w:tblBorders>
      </w:tblPr>
      <w:tblGrid>
        <w:gridCol w:w="1900"/>
        <w:gridCol w:w="7738"/>
      </w:tblGrid>
      <w:tr>
        <w:trPr>
          <w:trHeight w:val="13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Decision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Decided by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Date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60" w:before="0"/>
      </w:pPr>
      <w:r>
        <w:rPr>
          <w:rFonts w:ascii="Calibri" w:cs="Calibri" w:eastAsia="Calibri" w:hAnsi="Calibri"/>
          <w:b/>
          <w:bCs/>
          <w:color w:val="C29A3B"/>
          <w:sz w:val="26"/>
          <w:szCs w:val="26"/>
        </w:rPr>
        <w:t xml:space="preserve">OD-05</w:t>
      </w:r>
      <w:r>
        <w:rPr>
          <w:rFonts w:ascii="Calibri" w:cs="Calibri" w:eastAsia="Calibri" w:hAnsi="Calibri"/>
          <w:b/>
          <w:bCs/>
          <w:color w:val="1B2A49"/>
          <w:sz w:val="26"/>
          <w:szCs w:val="26"/>
        </w:rPr>
        <w:t xml:space="preserve">   Data retention versus immutability</w:t>
      </w:r>
    </w:p>
    <w:p>
      <w:pPr>
        <w:pBdr>
          <w:bottom w:val="single" w:color="C29A3B" w:sz="10" w:space="1"/>
        </w:pBd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DE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pacing w:val="20"/>
                <w:sz w:val="15"/>
                <w:szCs w:val="15"/>
              </w:rPr>
              <w:t xml:space="preserve">ARCHITECTURAL — BLOCKS SLICE 4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Question.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How does a right-to-erasure request interact with “a signed pack never changes”?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Why it matters.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These two requirements are in direct conflict and there is no technical trick that dissolves it. A signed pack, its claims and its citations may contain personal data — action owners, reviewer names, comment authors. GDPR erasure obligations and audit-trail immutability have to be reconciled deliberately, and the answer shapes the schema. (Gap G-64.)</w:t>
      </w:r>
    </w:p>
    <w:p>
      <w:pPr>
        <w:spacing w:after="6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Options.</w:t>
      </w:r>
    </w:p>
    <w:p>
      <w:pPr>
        <w:pStyle w:val="ListParagraph"/>
        <w:numPr>
          <w:ilvl w:val="0"/>
          <w:numId w:val="6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Pseudonymise on erasure: replace personal identifiers with a stable opaque token while preserving the record structure and every financial figure. The audit trail survives; the person is no longer identifiable.</w:t>
      </w:r>
    </w:p>
    <w:p>
      <w:pPr>
        <w:pStyle w:val="ListParagraph"/>
        <w:numPr>
          <w:ilvl w:val="0"/>
          <w:numId w:val="6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Hard delete with pack invalidation: erasure voids affected packs, which are marked as such. Honest, but it destroys the customer’s audit history.</w:t>
      </w:r>
    </w:p>
    <w:p>
      <w:pPr>
        <w:pStyle w:val="ListParagraph"/>
        <w:numPr>
          <w:ilvl w:val="0"/>
          <w:numId w:val="6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Contractual route: rely on legitimate-interest and legal-obligation grounds for retention. This needs a lawyer, not an engineer — do not adopt it on engineering judgement alone.</w:t>
      </w:r>
    </w:p>
    <w:p>
      <w:pPr>
        <w:spacing w:after="6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9BC72" w:sz="4"/>
          <w:left w:val="single" w:color="C29A3B" w:sz="18"/>
          <w:bottom w:val="single" w:color="D9BC72" w:sz="4"/>
          <w:right w:val="single" w:color="D9BC72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BF5E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5501A"/>
                <w:spacing w:val="20"/>
                <w:sz w:val="15"/>
                <w:szCs w:val="15"/>
              </w:rPr>
              <w:t xml:space="preserve">RECOMMENDATION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4A3D13"/>
                <w:sz w:val="20"/>
                <w:szCs w:val="20"/>
              </w:rPr>
              <w:t xml:space="preserve">Option 1, with legal review. Design for it now: keep personal identifiers in as few tables as possible and reference them by id everywhere else, so pseudonymisation is a single-table update rather than an archaeological dig. Retrofitting this after slice 4 is painful.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2D9E4" w:sz="4"/>
          <w:left w:val="single" w:color="D2D9E4" w:sz="4"/>
          <w:bottom w:val="single" w:color="D2D9E4" w:sz="4"/>
          <w:right w:val="single" w:color="D2D9E4" w:sz="4"/>
          <w:insideH w:val="single" w:color="D2D9E4" w:sz="4"/>
          <w:insideV w:val="single" w:color="D2D9E4" w:sz="4"/>
        </w:tblBorders>
      </w:tblPr>
      <w:tblGrid>
        <w:gridCol w:w="1900"/>
        <w:gridCol w:w="7738"/>
      </w:tblGrid>
      <w:tr>
        <w:trPr>
          <w:trHeight w:val="13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Decision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Decided by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Date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60" w:before="0"/>
      </w:pPr>
      <w:r>
        <w:rPr>
          <w:rFonts w:ascii="Calibri" w:cs="Calibri" w:eastAsia="Calibri" w:hAnsi="Calibri"/>
          <w:b/>
          <w:bCs/>
          <w:color w:val="C29A3B"/>
          <w:sz w:val="26"/>
          <w:szCs w:val="26"/>
        </w:rPr>
        <w:t xml:space="preserve">OD-06</w:t>
      </w:r>
      <w:r>
        <w:rPr>
          <w:rFonts w:ascii="Calibri" w:cs="Calibri" w:eastAsia="Calibri" w:hAnsi="Calibri"/>
          <w:b/>
          <w:bCs/>
          <w:color w:val="1B2A49"/>
          <w:sz w:val="26"/>
          <w:szCs w:val="26"/>
        </w:rPr>
        <w:t xml:space="preserve">   Authentication policy</w:t>
      </w:r>
    </w:p>
    <w:p>
      <w:pPr>
        <w:pBdr>
          <w:bottom w:val="single" w:color="C29A3B" w:sz="10" w:space="1"/>
        </w:pBd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Question.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Session length, MFA requirement, password policy, and is SSO in scope for R1?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Why it matters.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Supabase Auth is chosen but no journey is designed, and this is a slice-1 prerequisite. (Gaps G-41, G-61.)</w:t>
      </w:r>
    </w:p>
    <w:tbl>
      <w:tblPr>
        <w:tblW w:type="dxa" w:w="9638"/>
        <w:tblBorders>
          <w:top w:val="single" w:color="D9BC72" w:sz="4"/>
          <w:left w:val="single" w:color="C29A3B" w:sz="18"/>
          <w:bottom w:val="single" w:color="D9BC72" w:sz="4"/>
          <w:right w:val="single" w:color="D9BC72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BF5E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5501A"/>
                <w:spacing w:val="20"/>
                <w:sz w:val="15"/>
                <w:szCs w:val="15"/>
              </w:rPr>
              <w:t xml:space="preserve">RECOMMENDATION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4A3D13"/>
                <w:sz w:val="20"/>
                <w:szCs w:val="20"/>
              </w:rPr>
              <w:t xml:space="preserve">Email/password plus magic link for R1. MFA optional for viewer and editor, required for admin and reviewer — those roles sign financial packs. Sessions 12 hours with sliding refresh. SSO deferred to R2 and recorded as such.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2D9E4" w:sz="4"/>
          <w:left w:val="single" w:color="D2D9E4" w:sz="4"/>
          <w:bottom w:val="single" w:color="D2D9E4" w:sz="4"/>
          <w:right w:val="single" w:color="D2D9E4" w:sz="4"/>
          <w:insideH w:val="single" w:color="D2D9E4" w:sz="4"/>
          <w:insideV w:val="single" w:color="D2D9E4" w:sz="4"/>
        </w:tblBorders>
      </w:tblPr>
      <w:tblGrid>
        <w:gridCol w:w="1900"/>
        <w:gridCol w:w="7738"/>
      </w:tblGrid>
      <w:tr>
        <w:trPr>
          <w:trHeight w:val="13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Decision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Decided by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Date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60" w:before="0"/>
      </w:pPr>
      <w:r>
        <w:rPr>
          <w:rFonts w:ascii="Calibri" w:cs="Calibri" w:eastAsia="Calibri" w:hAnsi="Calibri"/>
          <w:b/>
          <w:bCs/>
          <w:color w:val="C29A3B"/>
          <w:sz w:val="26"/>
          <w:szCs w:val="26"/>
        </w:rPr>
        <w:t xml:space="preserve">OD-07</w:t>
      </w:r>
      <w:r>
        <w:rPr>
          <w:rFonts w:ascii="Calibri" w:cs="Calibri" w:eastAsia="Calibri" w:hAnsi="Calibri"/>
          <w:b/>
          <w:bCs/>
          <w:color w:val="1B2A49"/>
          <w:sz w:val="26"/>
          <w:szCs w:val="26"/>
        </w:rPr>
        <w:t xml:space="preserve">   Missing screens</w:t>
      </w:r>
    </w:p>
    <w:p>
      <w:pPr>
        <w:pBdr>
          <w:bottom w:val="single" w:color="C29A3B" w:sz="10" w:space="1"/>
        </w:pBd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Question.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Who designs the four missing journeys, and when?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Why it matters.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Organisation / outlet creation is acceptance criterion #1 of the first vertical slice and has no design. Auth, empty states and error states are the same. (Gaps G-40 to G-43.)</w:t>
      </w:r>
    </w:p>
    <w:tbl>
      <w:tblPr>
        <w:tblW w:type="dxa" w:w="9638"/>
        <w:tblBorders>
          <w:top w:val="single" w:color="D9BC72" w:sz="4"/>
          <w:left w:val="single" w:color="C29A3B" w:sz="18"/>
          <w:bottom w:val="single" w:color="D9BC72" w:sz="4"/>
          <w:right w:val="single" w:color="D9BC72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BF5E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5501A"/>
                <w:spacing w:val="20"/>
                <w:sz w:val="15"/>
                <w:szCs w:val="15"/>
              </w:rPr>
              <w:t xml:space="preserve">RECOMMENDATION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4A3D13"/>
                <w:sz w:val="20"/>
                <w:szCs w:val="20"/>
              </w:rPr>
              <w:t xml:space="preserve">Extend the v4.2 wireframe with a v4.3 addendum covering exactly these four journeys, in the existing design language, before slice 1 UI work starts. Do not design them incidentally during build — the empty state is the hardest UX problem in this product and deserves deliberate attention.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2D9E4" w:sz="4"/>
          <w:left w:val="single" w:color="D2D9E4" w:sz="4"/>
          <w:bottom w:val="single" w:color="D2D9E4" w:sz="4"/>
          <w:right w:val="single" w:color="D2D9E4" w:sz="4"/>
          <w:insideH w:val="single" w:color="D2D9E4" w:sz="4"/>
          <w:insideV w:val="single" w:color="D2D9E4" w:sz="4"/>
        </w:tblBorders>
      </w:tblPr>
      <w:tblGrid>
        <w:gridCol w:w="1900"/>
        <w:gridCol w:w="7738"/>
      </w:tblGrid>
      <w:tr>
        <w:trPr>
          <w:trHeight w:val="13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Decision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Decided by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Date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60" w:before="0"/>
      </w:pPr>
      <w:r>
        <w:rPr>
          <w:rFonts w:ascii="Calibri" w:cs="Calibri" w:eastAsia="Calibri" w:hAnsi="Calibri"/>
          <w:b/>
          <w:bCs/>
          <w:color w:val="C29A3B"/>
          <w:sz w:val="26"/>
          <w:szCs w:val="26"/>
        </w:rPr>
        <w:t xml:space="preserve">OD-08</w:t>
      </w:r>
      <w:r>
        <w:rPr>
          <w:rFonts w:ascii="Calibri" w:cs="Calibri" w:eastAsia="Calibri" w:hAnsi="Calibri"/>
          <w:b/>
          <w:bCs/>
          <w:color w:val="1B2A49"/>
          <w:sz w:val="26"/>
          <w:szCs w:val="26"/>
        </w:rPr>
        <w:t xml:space="preserve">   SC23 and SC24</w:t>
      </w:r>
    </w:p>
    <w:p>
      <w:pPr>
        <w:pBdr>
          <w:bottom w:val="single" w:color="C29A3B" w:sz="10" w:space="1"/>
        </w:pBd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Question.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Were these deliberately retired, or lost in an earlier revision?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Why it matters.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The screen set runs SC01–SC22 then jumps to SC25. The preservation audit compares v4 to v4.2 and would not detect a loss that predates v4. This is a one-line confirmation that closes a real uncertainty. (Gap G-49.)</w:t>
      </w:r>
    </w:p>
    <w:p>
      <w:pPr>
        <w:spacing w:after="8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2D9E4" w:sz="4"/>
          <w:left w:val="single" w:color="D2D9E4" w:sz="4"/>
          <w:bottom w:val="single" w:color="D2D9E4" w:sz="4"/>
          <w:right w:val="single" w:color="D2D9E4" w:sz="4"/>
          <w:insideH w:val="single" w:color="D2D9E4" w:sz="4"/>
          <w:insideV w:val="single" w:color="D2D9E4" w:sz="4"/>
        </w:tblBorders>
      </w:tblPr>
      <w:tblGrid>
        <w:gridCol w:w="1900"/>
        <w:gridCol w:w="7738"/>
      </w:tblGrid>
      <w:tr>
        <w:trPr>
          <w:trHeight w:val="13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Decision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Decided by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Date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60" w:before="0"/>
      </w:pPr>
      <w:r>
        <w:rPr>
          <w:rFonts w:ascii="Calibri" w:cs="Calibri" w:eastAsia="Calibri" w:hAnsi="Calibri"/>
          <w:b/>
          <w:bCs/>
          <w:color w:val="C29A3B"/>
          <w:sz w:val="26"/>
          <w:szCs w:val="26"/>
        </w:rPr>
        <w:t xml:space="preserve">OD-09</w:t>
      </w:r>
      <w:r>
        <w:rPr>
          <w:rFonts w:ascii="Calibri" w:cs="Calibri" w:eastAsia="Calibri" w:hAnsi="Calibri"/>
          <w:b/>
          <w:bCs/>
          <w:color w:val="1B2A49"/>
          <w:sz w:val="26"/>
          <w:szCs w:val="26"/>
        </w:rPr>
        <w:t xml:space="preserve">   Pack rendering</w:t>
      </w:r>
    </w:p>
    <w:p>
      <w:pPr>
        <w:pBdr>
          <w:bottom w:val="single" w:color="C29A3B" w:sz="10" w:space="1"/>
        </w:pBd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Question.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Is the Owner Pack rendered server-side to PDF, or via browser print?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Why it matters.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The schema already models it as a stored artefact with a SHA-256, which implies server-side rendering — a browser print cannot produce a stable hash. Confirming this also settles whether print CSS is needed at all, and it interacts with OD-01. (Gap G-50.)</w:t>
      </w:r>
    </w:p>
    <w:tbl>
      <w:tblPr>
        <w:tblW w:type="dxa" w:w="9638"/>
        <w:tblBorders>
          <w:top w:val="single" w:color="D9BC72" w:sz="4"/>
          <w:left w:val="single" w:color="C29A3B" w:sz="18"/>
          <w:bottom w:val="single" w:color="D9BC72" w:sz="4"/>
          <w:right w:val="single" w:color="D9BC72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BF5E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5501A"/>
                <w:spacing w:val="20"/>
                <w:sz w:val="15"/>
                <w:szCs w:val="15"/>
              </w:rPr>
              <w:t xml:space="preserve">RECOMMENDATION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4A3D13"/>
                <w:sz w:val="20"/>
                <w:szCs w:val="20"/>
              </w:rPr>
              <w:t xml:space="preserve">Server-side rendering to PDF in the worker, stored in Storage with its hash, served by signed URL. A signed artefact must be byte-stable; only server rendering gives that.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2D9E4" w:sz="4"/>
          <w:left w:val="single" w:color="D2D9E4" w:sz="4"/>
          <w:bottom w:val="single" w:color="D2D9E4" w:sz="4"/>
          <w:right w:val="single" w:color="D2D9E4" w:sz="4"/>
          <w:insideH w:val="single" w:color="D2D9E4" w:sz="4"/>
          <w:insideV w:val="single" w:color="D2D9E4" w:sz="4"/>
        </w:tblBorders>
      </w:tblPr>
      <w:tblGrid>
        <w:gridCol w:w="1900"/>
        <w:gridCol w:w="7738"/>
      </w:tblGrid>
      <w:tr>
        <w:trPr>
          <w:trHeight w:val="13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Decision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Decided by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Date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60" w:before="0"/>
      </w:pPr>
      <w:r>
        <w:rPr>
          <w:rFonts w:ascii="Calibri" w:cs="Calibri" w:eastAsia="Calibri" w:hAnsi="Calibri"/>
          <w:b/>
          <w:bCs/>
          <w:color w:val="C29A3B"/>
          <w:sz w:val="26"/>
          <w:szCs w:val="26"/>
        </w:rPr>
        <w:t xml:space="preserve">OD-10</w:t>
      </w:r>
      <w:r>
        <w:rPr>
          <w:rFonts w:ascii="Calibri" w:cs="Calibri" w:eastAsia="Calibri" w:hAnsi="Calibri"/>
          <w:b/>
          <w:bCs/>
          <w:color w:val="1B2A49"/>
          <w:sz w:val="26"/>
          <w:szCs w:val="26"/>
        </w:rPr>
        <w:t xml:space="preserve">   Materiality defaults</w:t>
      </w:r>
    </w:p>
    <w:p>
      <w:pPr>
        <w:pBdr>
          <w:bottom w:val="single" w:color="C29A3B" w:sz="10" w:space="1"/>
        </w:pBd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Question.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What default absolute and percentage thresholds ship for a new outlet?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Why it matters.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The spec is emphatic that there is no universal hard-coded threshold, and it is right. But a new outlet needs some starting value or the first review cannot run. The distinction is between a default the customer can see and change, and a constant buried in code — the first is fine, the second is what the spec forbids.</w:t>
      </w:r>
    </w:p>
    <w:tbl>
      <w:tblPr>
        <w:tblW w:type="dxa" w:w="9638"/>
        <w:tblBorders>
          <w:top w:val="single" w:color="D9BC72" w:sz="4"/>
          <w:left w:val="single" w:color="C29A3B" w:sz="18"/>
          <w:bottom w:val="single" w:color="D9BC72" w:sz="4"/>
          <w:right w:val="single" w:color="D9BC72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BF5E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5501A"/>
                <w:spacing w:val="20"/>
                <w:sz w:val="15"/>
                <w:szCs w:val="15"/>
              </w:rPr>
              <w:t xml:space="preserve">RECOMMENDATION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4A3D13"/>
                <w:sz w:val="20"/>
                <w:szCs w:val="20"/>
              </w:rPr>
              <w:t xml:space="preserve">Ship visible, editable defaults on materiality_setting — scope ‘general’, recorded as “product default, not an accounting judgement”, surfaced in FRAME and requiring explicit confirmation at first use. On the Amberside scale, an absolute threshold around 2,000 and a percentage around 2% would flag the labour and net-sales movements while filtering the noise; treat those as a starting proposal, not a recommendation with authority.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2D9E4" w:sz="4"/>
          <w:left w:val="single" w:color="D2D9E4" w:sz="4"/>
          <w:bottom w:val="single" w:color="D2D9E4" w:sz="4"/>
          <w:right w:val="single" w:color="D2D9E4" w:sz="4"/>
          <w:insideH w:val="single" w:color="D2D9E4" w:sz="4"/>
          <w:insideV w:val="single" w:color="D2D9E4" w:sz="4"/>
        </w:tblBorders>
      </w:tblPr>
      <w:tblGrid>
        <w:gridCol w:w="1900"/>
        <w:gridCol w:w="7738"/>
      </w:tblGrid>
      <w:tr>
        <w:trPr>
          <w:trHeight w:val="13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Decision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Decided by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Date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60" w:before="0"/>
      </w:pPr>
      <w:r>
        <w:rPr>
          <w:rFonts w:ascii="Calibri" w:cs="Calibri" w:eastAsia="Calibri" w:hAnsi="Calibri"/>
          <w:b/>
          <w:bCs/>
          <w:color w:val="C29A3B"/>
          <w:sz w:val="26"/>
          <w:szCs w:val="26"/>
        </w:rPr>
        <w:t xml:space="preserve">OD-11</w:t>
      </w:r>
      <w:r>
        <w:rPr>
          <w:rFonts w:ascii="Calibri" w:cs="Calibri" w:eastAsia="Calibri" w:hAnsi="Calibri"/>
          <w:b/>
          <w:bCs/>
          <w:color w:val="1B2A49"/>
          <w:sz w:val="26"/>
          <w:szCs w:val="26"/>
        </w:rPr>
        <w:t xml:space="preserve">   Tolerance constants</w:t>
      </w:r>
    </w:p>
    <w:p>
      <w:pPr>
        <w:pBdr>
          <w:bottom w:val="single" w:color="C29A3B" w:sz="10" w:space="1"/>
        </w:pBd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Question.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What are the numeric tolerances for the calculation control checks?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Why it matters.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The import spec names 0.5% and 2%; the calc spec says “within currency tolerance” with no number. Two implementations will choose differently and the golden tests will become flaky. (Gap G-25.)</w:t>
      </w:r>
    </w:p>
    <w:tbl>
      <w:tblPr>
        <w:tblW w:type="dxa" w:w="9638"/>
        <w:tblBorders>
          <w:top w:val="single" w:color="D9BC72" w:sz="4"/>
          <w:left w:val="single" w:color="C29A3B" w:sz="18"/>
          <w:bottom w:val="single" w:color="D9BC72" w:sz="4"/>
          <w:right w:val="single" w:color="D9BC72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BF5E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5501A"/>
                <w:spacing w:val="20"/>
                <w:sz w:val="15"/>
                <w:szCs w:val="15"/>
              </w:rPr>
              <w:t xml:space="preserve">RECOMMENDATION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4A3D13"/>
                <w:sz w:val="20"/>
                <w:szCs w:val="20"/>
              </w:rPr>
              <w:t xml:space="preserve">Store as settings with defaults: variance decomposition tie-out at 0.01 in the currency’s minor unit (the decompositions are algebraically exact, so any larger difference is a data problem, not a rounding one); POS to P&amp;L at 0.5%; T3 purchases to P&amp;L at 2%.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2D9E4" w:sz="4"/>
          <w:left w:val="single" w:color="D2D9E4" w:sz="4"/>
          <w:bottom w:val="single" w:color="D2D9E4" w:sz="4"/>
          <w:right w:val="single" w:color="D2D9E4" w:sz="4"/>
          <w:insideH w:val="single" w:color="D2D9E4" w:sz="4"/>
          <w:insideV w:val="single" w:color="D2D9E4" w:sz="4"/>
        </w:tblBorders>
      </w:tblPr>
      <w:tblGrid>
        <w:gridCol w:w="1900"/>
        <w:gridCol w:w="7738"/>
      </w:tblGrid>
      <w:tr>
        <w:trPr>
          <w:trHeight w:val="13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Decision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Decided by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Date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60" w:before="0"/>
      </w:pPr>
      <w:r>
        <w:rPr>
          <w:rFonts w:ascii="Calibri" w:cs="Calibri" w:eastAsia="Calibri" w:hAnsi="Calibri"/>
          <w:b/>
          <w:bCs/>
          <w:color w:val="C29A3B"/>
          <w:sz w:val="26"/>
          <w:szCs w:val="26"/>
        </w:rPr>
        <w:t xml:space="preserve">OD-12</w:t>
      </w:r>
      <w:r>
        <w:rPr>
          <w:rFonts w:ascii="Calibri" w:cs="Calibri" w:eastAsia="Calibri" w:hAnsi="Calibri"/>
          <w:b/>
          <w:bCs/>
          <w:color w:val="1B2A49"/>
          <w:sz w:val="26"/>
          <w:szCs w:val="26"/>
        </w:rPr>
        <w:t xml:space="preserve">   R1 scope confirmations</w:t>
      </w:r>
    </w:p>
    <w:p>
      <w:pPr>
        <w:pBdr>
          <w:bottom w:val="single" w:color="C29A3B" w:sz="10" w:space="1"/>
        </w:pBdr>
        <w:spacing w:after="14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Question.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Confirm these are deliberate R1 limits, not oversights:</w:t>
      </w:r>
    </w:p>
    <w:p>
      <w:pPr>
        <w:pStyle w:val="ListParagraph"/>
        <w:numPr>
          <w:ilvl w:val="0"/>
          <w:numId w:val="7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One reporting currency per outlet (stated in the architecture document).</w:t>
      </w:r>
    </w:p>
    <w:p>
      <w:pPr>
        <w:pStyle w:val="ListParagraph"/>
        <w:numPr>
          <w:ilvl w:val="0"/>
          <w:numId w:val="7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No billing or subscription management.</w:t>
      </w:r>
    </w:p>
    <w:p>
      <w:pPr>
        <w:pStyle w:val="ListParagraph"/>
        <w:numPr>
          <w:ilvl w:val="0"/>
          <w:numId w:val="7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No POS / accounting connectors — file upload only.</w:t>
      </w:r>
    </w:p>
    <w:p>
      <w:pPr>
        <w:pStyle w:val="ListParagraph"/>
        <w:numPr>
          <w:ilvl w:val="0"/>
          <w:numId w:val="7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No mobile application; responsive web only.</w:t>
      </w:r>
    </w:p>
    <w:p>
      <w:pPr>
        <w:pStyle w:val="ListParagraph"/>
        <w:numPr>
          <w:ilvl w:val="0"/>
          <w:numId w:val="7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No AI-generated narrative.</w:t>
      </w:r>
    </w:p>
    <w:p>
      <w:pPr>
        <w:pStyle w:val="ListParagraph"/>
        <w:numPr>
          <w:ilvl w:val="0"/>
          <w:numId w:val="7"/>
        </w:numPr>
        <w:spacing w:after="80" w:before="0" w:line="276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>SSO deferred (see OD-06).</w:t>
      </w:r>
    </w:p>
    <w:p>
      <w:pPr>
        <w:spacing w:after="0" w:before="60"/>
      </w:pP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1B2A49"/>
          <w:sz w:val="20"/>
          <w:szCs w:val="20"/>
        </w:rPr>
        <w:t xml:space="preserve">Why it matters.</w:t>
      </w:r>
      <w:r>
        <w:rPr>
          <w:rFonts w:ascii="Calibri" w:cs="Calibri" w:eastAsia="Calibri" w:hAnsi="Calibri"/>
          <w:color w:val="1D2433"/>
          <w:sz w:val="20"/>
          <w:szCs w:val="20"/>
        </w:rPr>
        <w:t xml:space="preserve"> Each is defensible for R1, but they should be recorded as chosen limits with a revisit point, rather than discovered as gaps during a customer conversation. (Gap G-67.)</w:t>
      </w:r>
    </w:p>
    <w:p>
      <w:pPr>
        <w:spacing w:after="80" w:before="0"/>
      </w:pPr>
      <w:r>
        <w:rPr>
          <w:rFonts w:ascii="Calibri" w:cs="Calibri" w:eastAsia="Calibri" w:hAnsi="Calibri"/>
          <w:color w:val="1D2433"/>
          <w:sz w:val="20"/>
          <w:szCs w:val="20"/>
        </w:rPr>
        <w:t xml:space="preserve"/>
      </w:r>
    </w:p>
    <w:tbl>
      <w:tblPr>
        <w:tblW w:type="dxa" w:w="9638"/>
        <w:tblBorders>
          <w:top w:val="single" w:color="D2D9E4" w:sz="4"/>
          <w:left w:val="single" w:color="D2D9E4" w:sz="4"/>
          <w:bottom w:val="single" w:color="D2D9E4" w:sz="4"/>
          <w:right w:val="single" w:color="D2D9E4" w:sz="4"/>
          <w:insideH w:val="single" w:color="D2D9E4" w:sz="4"/>
          <w:insideV w:val="single" w:color="D2D9E4" w:sz="4"/>
        </w:tblBorders>
      </w:tblPr>
      <w:tblGrid>
        <w:gridCol w:w="1900"/>
        <w:gridCol w:w="7738"/>
      </w:tblGrid>
      <w:tr>
        <w:trPr>
          <w:trHeight w:val="13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Decision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Decided by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00"/>
            <w:shd w:fill="F5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18"/>
                <w:szCs w:val="18"/>
              </w:rPr>
              <w:t xml:space="preserve">Date</w:t>
            </w:r>
          </w:p>
        </w:tc>
        <w:tc>
          <w:tcPr>
            <w:tcW w:type="dxa" w:w="77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9E4" w:sz="4" w:space="6"/>
      </w:pBdr>
      <w:spacing w:after="0" w:before="120"/>
      <w:jc w:val="center"/>
    </w:pPr>
    <w:r>
      <w:rPr>
        <w:rFonts w:ascii="Calibri" w:cs="Calibri" w:eastAsia="Calibri" w:hAnsi="Calibri"/>
        <w:color w:val="5B6780"/>
        <w:sz w:val="16"/>
        <w:szCs w:val="16"/>
      </w:rPr>
      <w:t xml:space="preserve">Open Decisions  ·  Restaurant Performance Review  ·  </w:t>
    </w:r>
    <w:r>
      <w:rPr>
        <w:rFonts w:ascii="Calibri" w:cs="Calibri" w:eastAsia="Calibri" w:hAnsi="Calibri"/>
        <w:color w:val="5B6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  <w:rPr>
        <w:rFonts w:ascii="Calibri" w:cs="Calibri" w:eastAsia="Calibri" w:hAnsi="Calibri"/>
        <w:b/>
        <w:bCs/>
        <w:color w:val="1B2A49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00" w:hanging="240"/>
      </w:pPr>
      <w:rPr>
        <w:rFonts w:ascii="Calibri" w:cs="Calibri" w:eastAsia="Calibri" w:hAnsi="Calibri"/>
        <w:color w:val="C29A3B"/>
      </w:r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Decisions — Restaurant Performance Review</dc:title>
  <dc:creator>Restaurant Performance Review</dc:creator>
  <dc:description>Twelve decisions to settle before or during slice 1</dc:description>
  <cp:lastModifiedBy>Un-named</cp:lastModifiedBy>
  <cp:revision>1</cp:revision>
  <dcterms:created xsi:type="dcterms:W3CDTF">2026-09-21T08:22:48.063Z</dcterms:created>
  <dcterms:modified xsi:type="dcterms:W3CDTF">2026-09-21T08:22:48.064Z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