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Alibaba Group Holding Limited</w:t>
      </w:r>
    </w:p>
    <w:p>
      <w:pPr>
        <w:spacing w:after="60"/>
        <w:rPr>
          <w:color w:val="52514E"/>
          <w:sz w:val="22"/>
          <w:szCs w:val="22"/>
        </w:rPr>
      </w:pPr>
      <w:r>
        <w:rPr>
          <w:color w:val="52514E"/>
          <w:sz w:val="22"/>
          <w:szCs w:val="22"/>
        </w:rPr>
        <w:t xml:space="preserve">BABA · NYSE (ADS; 1 ADS = 8 acciones ordinarias, que cotizan en Hong Kong como 9988.HK) · ISIN US01609W1027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27 oct 2026</w:t>
      </w:r>
      <w:r>
        <w:rPr>
          <w:color w:val="52514E"/>
          <w:sz w:val="18"/>
          <w:szCs w:val="18"/>
        </w:rPr>
        <w:t xml:space="preserve"> · Divisa: </w:t>
      </w:r>
      <w:r>
        <w:rPr>
          <w:b/>
          <w:bCs/>
          <w:color w:val="52514E"/>
          <w:sz w:val="18"/>
          <w:szCs w:val="18"/>
        </w:rPr>
        <w:t xml:space="preserve">CNY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668,48 CNY (100,25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721,10 CNY (108,14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+9,0 % (base +16,8 %)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958,16 CNY (143,69 USD) · mercado 1.089,25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1.629.955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-2,9x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Alibaba Group Holding Limited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BABA / US01609W1027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 (ADS; 1 ADS = 8 acciones ordinarias, que cotizan en Hong Kong como 9988.HK)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 (SPY); sector: KraneShares CSI China Internet (KWEB)</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Comercio minorista por internet y nube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Hangzhou · 1999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132.165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https://www.alibabagroup.com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668,48 (26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613,40 – 1.216,93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2.438,3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1.629.955 M CNY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961.602 M CNY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1.159 M USD/día (≈ 7.730 M RMB; 10,0 M de ADS; 3 meses) [55]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721,10 CNY (108,14 USD)</w:t>
      </w:r>
      <w:r>
        <w:t xml:space="preserve"> frente a 668,48 (100,25 USD) · Rentabilidad a 12 meses </w:t>
      </w:r>
      <w:r>
        <w:rPr>
          <w:b/>
          <w:bCs/>
        </w:rPr>
        <w:t xml:space="preserve">+9,0 % (base +16,8 %)</w:t>
      </w:r>
      <w:r>
        <w:t xml:space="preserve"> · Valor intrínseco 958,16 CNY (143,69 USD) · con la prima implícita del mercado: 1.089,25 (163,35 USD) (+62,9 %) · Alcista / bajista +102,9 % / -8,6 %</w:t>
      </w:r>
    </w:p>
    <w:p>
      <w:pPr>
        <w:spacing w:after="100"/>
      </w:pPr>
      <w:r>
        <w:rPr>
          <w:b/>
        </w:rPr>
        <w:t xml:space="preserve">La recomendación y por qué.</w:t>
      </w:r>
      <w:r>
        <w:t xml:space="preserve"> Mantener según la regla a 12 meses, con convicción baja, y no comprar: no pasa la calidad (ROIC − WACC de −3,7 puntos) y está excluida por el usuario (comercio minorista). El objetivo a 12 meses es de 721,10 RMB por ADS (108,14 USD), +9,0 % ponderado con el dividendo y +16,8 % en el caso base (773,31 RMB, 115,97 USD), frente a 668,48 RMB (100,25 USD, cierre del 26-oct). El valor intrínseco es de 958,16 RMB (143,69 USD, +43,3 %) y el objetivo medio de 41 analistas, 1.242 RMB (186 USD) [56]. El DCF dice que el precio apenas descuenta la recuperación; la regla de 12 meses, que el múltiplo no tiene por qué subir en un año. La convicción es baja (los criterios del motor dan media) porque las lecturas chocan: DCF +55,7 %, regla vigente +9,0 %, control v2 −2,7 % y una prueba de robustez «frágil»; subiría si el 2T FY2027 (≈ 24-nov) muestra el suelo del EBITA ajustado por encima de 35.000 M RMB, y bajaría con otra colocación. Corrige el informe del 14-oct: la historia del PER y los escenarios van ahora en la misma base (BPA no GAAP por ADS) y el ejercicio objetivo es FY2029e.</w:t>
      </w:r>
    </w:p>
    <w:p>
      <w:pPr>
        <w:spacing w:after="100"/>
      </w:pPr>
      <w:r>
        <w:rPr>
          <w:b/>
        </w:rPr>
        <w:t xml:space="preserve">El negocio.</w:t>
      </w:r>
      <w:r>
        <w:t xml:space="preserve"> Taobao y Tmall conservan el 31 % del volumen del comercio electrónico chino [32] y la nube es la primera de China (37 % de cuota [28]) y crece un 45 % con margen EBITA del 12 % [3]. Pero el grupo está en plena inversión: el EBITA ajustado del comercio electrónico chino cayó un 44 % en FY2026 por el comercio rápido [2] y el ROIC del motor bajó del 13,9 % al 4,6 %, por debajo del WACC del 8,32 %. Sostenibilidad: en parte; el crecimiento proyectado (6,4 %) depende de que el margen vuelva al 19 %.</w:t>
      </w:r>
    </w:p>
    <w:p>
      <w:pPr>
        <w:spacing w:after="100"/>
      </w:pPr>
      <w:r>
        <w:rPr>
          <w:b/>
        </w:rPr>
        <w:t xml:space="preserve">Finanzas.</w:t>
      </w:r>
      <w:r>
        <w:t xml:space="preserve"> Flujo libre de −46.609 M RMB en FY2026 y de −44.670 M solo en el 1T FY2027, con un capex trimestral de 67.678 M (+75 %) [2, 3]. Sigue con caja neta (474.505 M de caja y tesorería frente a 266.530 M de deuda [3]), pero paró las recompras y en agosto colocó 710 M de acciones nuevas por 80.000 M HKD [48]. El beneficio publicado lleva plusvalías de participadas (74.416 M en FY2026): usamos el no GAAP [1].</w:t>
      </w:r>
    </w:p>
    <w:p>
      <w:pPr>
        <w:spacing w:after="100"/>
      </w:pPr>
      <w:r>
        <w:rPr>
          <w:b/>
        </w:rPr>
        <w:t xml:space="preserve">Equipo y gobierno.</w:t>
      </w:r>
      <w:r>
        <w:t xml:space="preserve"> Resta. La Alibaba Partnership propone la mayoría del consejo sin tener la del capital y cambiarlo exige el 95 % de la junta; el inversor del ADS posee una sociedad de las Islas Caimán con contratos sobre las chinas (VIE) [1]. Alibaba entró en junio en la lista 1260H del Pentágono y tiene una demanda colectiva en Nueva York [50, 51]. Tsai y Wu compraron ≈ 25,7 M USD en agosto [47]. Sin guía anual desde 2022.</w:t>
      </w:r>
    </w:p>
    <w:p>
      <w:pPr>
        <w:spacing w:after="100"/>
      </w:pPr>
      <w:r>
        <w:rPr>
          <w:b/>
        </w:rPr>
        <w:t xml:space="preserve">Valoración.</w:t>
      </w:r>
      <w:r>
        <w:t xml:space="preserve"> El DCF da 1.040,90 RMB (+55,7 %) con WACC del 8,32 % y terminal del 1,1 %; el DCF inverso dice que el precio descuenta un crecimiento del 0,1 % anual con nuestro margen. Los comparables (PER mediano 13,3x) dan 535-1.023 RMB. A 12 meses, la regla toma 14,9x nuestro BPA no GAAP de FY2029e (51,90 RMB): la mediana adelantada de 5 años es 11,95x y hoy cotiza a 16,4x nuestro FY2027e. Nuestro BPA está un 25 % bajo el consenso en FY2028e por la amortización de la IA.</w:t>
      </w:r>
    </w:p>
    <w:p>
      <w:pPr>
        <w:spacing w:after="100"/>
      </w:pPr>
      <w:r>
        <w:rPr>
          <w:b/>
        </w:rPr>
        <w:t xml:space="preserve">Riesgos y catalizadores.</w:t>
      </w:r>
      <w:r>
        <w:t xml:space="preserve"> El mayor es que la IA no rinda; el bajista a 12 meses pierde un 57 % (8,0x, el PER de marzo de 2024). Le siguen la guerra del comercio rápido y la geopolítica, binaria para el ADS (el fallo del 26-oct no la saca de la lista). Catalizadores: 2T FY2027 (≈ 24-nov, sin confirmar), recurso contra la lista 1260H y 3T FY2027 (febrero). Los foros han pasado de divididos a negativos, mientras los analistas siguen en compra [68, 69, 70].</w:t>
      </w:r>
    </w:p>
    <w:p>
      <w:pPr>
        <w:spacing w:after="100"/>
      </w:pPr>
      <w:r>
        <w:rPr>
          <w:b/>
        </w:rPr>
        <w:t xml:space="preserve">Qué cambiaría la decisión.</w:t>
      </w:r>
      <w:r>
        <w:t xml:space="preserve"> Solo sería compra si pasara la calidad (ROIC − WACC ≥ 5) y el usuario levantara la exclusión; con el objetivo fijo, la regla daría Comprar por debajo de 633,33 RMB (95,00 USD). Para quien la tuviera, el filtro de mantener (calidad incluida) no se cumple: vender por encima de 662,22 RMB (99,31 USD); la banda Vender de la regla de 12 meses empieza en 809,26 RMB (121,36 USD) y es otra cosa.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(la tesis de valor, a más de un año) · Objetivo a 12 meses: </w:t>
      </w:r>
      <w:r>
        <w:rPr>
          <w:b/>
          <w:bCs/>
        </w:rPr>
        <w:t xml:space="preserve">721,10 CNY (108,14 USD)</w:t>
      </w:r>
      <w:r>
        <w:t xml:space="preserve"> (rentabilidad +9,0 % (base +16,8 %)) · Valor intrínseco: 958,16 CNY (143,69 USD) (+43,3 % sobre 668,48) · con la prima implícita del mercado: 1.089,25 (163,35 USD) (+62,9 %)</w:t>
      </w:r>
    </w:p>
    <w:p>
      <w:pPr>
        <w:spacing w:after="100"/>
      </w:pPr>
      <w:r>
        <w:t xml:space="preserve">Alibaba es el mayor mercado de comercio electrónico de China y su primera nube. Facturó 1.023.670 M RMB en FY2026 y gana dinero con la comisión y la publicidad que pagan los comercios en Taobao y Tmall [1]. La nube crece un 45 % con la IA (Qwen) [3]. Pero el grupo está en plena inversión: el EBITA ajustado cayó un 56 % en FY2026, la caja libre es negativa y en agosto amplió capital [2, 48].</w:t>
      </w:r>
    </w:p>
    <w:p>
      <w:pPr>
        <w:spacing w:after="100"/>
      </w:pPr>
      <w:r>
        <w:t xml:space="preserve">El precio (100,25 USD por ADS, −42 % en un año) apenas descuenta crecimiento según el DCF inverso, y cotiza a 16,4x nuestro BPA no GAAP de FY2027e, entre su historia limpia (8-13x) y la de la burbuja (21-30x).</w:t>
      </w:r>
    </w:p>
    <w:p>
      <w:pPr>
        <w:spacing w:after="100"/>
      </w:pPr>
      <w:r>
        <w:t xml:space="preserve">Para invertir hay que creer que la IA rinde lo que dice la dirección, que el comercio rápido deja de perder en FY2029 y que el mercado volverá a pagar más de 15x a un ADS en la lista 1260H. A largo plazo el DCF le da recorrido; a 12 meses, la regla común solo +9 %. Y la calidad (ROIC 4,6 % frente a WACC 8,32 %) no pasa el filtro.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FY2029e,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721,10 CNY (108,14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 × 36,00 = 288,00 · 14,9x × 51,90 = 773,31 · 19,5x × 63,60 = 1.240,20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 / 16,8 %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1.242,00 (nuestro base -37,7 %)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958,16 CNY (143,69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(USD al tipo de 6,6681 CNY por USD)</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668,48 CNY (100,25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102,9 % / -8,6 %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 frente a 8,3 % y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1.089,25 CNY (163,35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(6,4 % anual proyectado; financiable al ROIC actual: 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633,33 (94,98 USD)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633,33 y 809,26 (94,98 y 121,36 USD)</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809,26 (121,36 USD)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633,33 RMB (95,00 USD) con el objetivo fijo: la regla daría Comprar, pero sigue sin pasar la calidad y está excluida.</w:t>
      </w:r>
    </w:p>
    <w:p>
      <w:pPr>
        <w:pStyle w:val="ListParagraph"/>
        <w:numPr>
          <w:ilvl w:val="0"/>
          <w:numId w:val="2"/>
        </w:numPr>
        <w:spacing w:after="60"/>
      </w:pPr>
      <w:r>
        <w:t xml:space="preserve">EBITA ajustado del 2T FY2027 por encima de 35.000 M RMB y caja libre positiva en el 3T: revisaríamos el BPA al alza.</w:t>
      </w:r>
    </w:p>
    <w:p>
      <w:pPr>
        <w:pStyle w:val="ListParagraph"/>
        <w:numPr>
          <w:ilvl w:val="0"/>
          <w:numId w:val="2"/>
        </w:numPr>
        <w:spacing w:after="60"/>
      </w:pPr>
      <w:r>
        <w:t xml:space="preserve">Otra colocación o convertible antes de mayo de 2027: bajaríamos el BPA por acción.</w:t>
      </w:r>
    </w:p>
    <w:p>
      <w:pPr>
        <w:pStyle w:val="ListParagraph"/>
        <w:numPr>
          <w:ilvl w:val="0"/>
          <w:numId w:val="2"/>
        </w:numPr>
        <w:spacing w:after="60"/>
      </w:pPr>
      <w:r>
        <w:t xml:space="preserve">Una restricción de EE. UU. a los inversores en empresas 1260H: Vender con convicción alta.</w:t>
      </w:r>
    </w:p>
    <w:p>
      <w:pPr>
        <w:pStyle w:val="Heading2"/>
      </w:pPr>
      <w:r>
        <w:t xml:space="preserve">Dónde discrepamos del mercado</w:t>
      </w:r>
    </w:p>
    <w:p>
      <w:pPr>
        <w:keepNext/>
        <w:spacing w:after="100"/>
      </w:pPr>
      <w:r>
        <w:rPr>
          <w:b/>
          <w:bCs/>
        </w:rPr>
        <w:t xml:space="preserve">Lo que descuenta el precio.</w:t>
      </w:r>
    </w:p>
    <w:p>
      <w:pPr>
        <w:spacing w:after="100"/>
      </w:pPr>
      <w:r>
        <w:t xml:space="preserve">Los analistas (1.242 RMB, 186 USD de media, 41 casas, 39 en compra) [56] dan por hecha la recuperación y pagan ≈ 20x el BPA de FY2028e del consenso (62,05 RMB); el precio de hoy, en cambio, apenas descuenta crecimiento.</w:t>
      </w:r>
    </w:p>
    <w:p>
      <w:pPr>
        <w:keepNext/>
        <w:spacing w:after="100"/>
      </w:pPr>
      <w:r>
        <w:rPr>
          <w:b/>
          <w:bCs/>
        </w:rPr>
        <w:t xml:space="preserve">Lo que creemos nosotros.</w:t>
      </w:r>
    </w:p>
    <w:p>
      <w:pPr>
        <w:spacing w:after="100"/>
      </w:pPr>
      <w:r>
        <w:t xml:space="preserve">El beneficio se recuperará, pero menos que lo que espera el consenso (46,8 RMB en FY2028e, −25 %) porque los centros de datos de IA se amortizan, y el múltiplo de un grupo con caja libre negativa, dilución y riesgo 1260H no tiene por qué volver a 20x.</w:t>
      </w:r>
    </w:p>
    <w:p>
      <w:pPr>
        <w:keepNext/>
        <w:spacing w:after="100"/>
      </w:pPr>
      <w:r>
        <w:rPr>
          <w:b/>
          <w:bCs/>
        </w:rPr>
        <w:t xml:space="preserve">Por qué podemos tener razón.</w:t>
      </w:r>
    </w:p>
    <w:p>
      <w:pPr>
        <w:spacing w:after="100"/>
      </w:pPr>
      <w:r>
        <w:t xml:space="preserve">Desde 2022 el mercado solo ha pagado más de 15x a Alibaba durante la euforia de la IA de 2025; el resto del tiempo cotizó a 8-13x el BPA no GAAP del año siguiente.</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NY) · precio actual 668,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975,07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La nube crece un 45 %</w:t>
      </w:r>
      <w:r>
        <w:t xml:space="preserve"> con margen EBITA del 12 % y es la primera de China (37 % de cuota) [3, 28].</w:t>
      </w:r>
    </w:p>
    <w:p>
      <w:pPr>
        <w:pStyle w:val="ListParagraph"/>
        <w:numPr>
          <w:ilvl w:val="0"/>
          <w:numId w:val="2"/>
        </w:numPr>
        <w:spacing w:after="60"/>
      </w:pPr>
      <w:r>
        <w:rPr>
          <w:b/>
        </w:rPr>
        <w:t xml:space="preserve">Caja neta y participadas</w:t>
      </w:r>
      <w:r>
        <w:t xml:space="preserve">: 474.505 M de caja y tesorería, 457.417 M de participadas y valores (Ant Group incluida) [3].</w:t>
      </w:r>
    </w:p>
    <w:p>
      <w:pPr>
        <w:pStyle w:val="ListParagraph"/>
        <w:numPr>
          <w:ilvl w:val="0"/>
          <w:numId w:val="2"/>
        </w:numPr>
        <w:spacing w:after="60"/>
      </w:pPr>
      <w:r>
        <w:rPr>
          <w:b/>
        </w:rPr>
        <w:t xml:space="preserve">El precio no descuenta casi crecimiento</w:t>
      </w:r>
      <w:r>
        <w:t xml:space="preserve">: 0,1 % anual según el DCF inverso.</w:t>
      </w:r>
    </w:p>
    <w:p>
      <w:pPr>
        <w:pStyle w:val="ListParagraph"/>
        <w:numPr>
          <w:ilvl w:val="0"/>
          <w:numId w:val="2"/>
        </w:numPr>
        <w:spacing w:after="60"/>
      </w:pPr>
      <w:r>
        <w:rPr>
          <w:b/>
        </w:rPr>
        <w:t xml:space="preserve">Valor intrínseco muy por encima del precio</w:t>
      </w:r>
      <w:r>
        <w:t xml:space="preserve">: 958,16 RMB, +43,3 %.</w:t>
      </w:r>
    </w:p>
    <w:p>
      <w:pPr>
        <w:pStyle w:val="ListParagraph"/>
        <w:numPr>
          <w:ilvl w:val="0"/>
          <w:numId w:val="2"/>
        </w:numPr>
        <w:spacing w:after="60"/>
      </w:pPr>
      <w:r>
        <w:rPr>
          <w:b/>
        </w:rPr>
        <w:t xml:space="preserve">Compras de la cúpula</w:t>
      </w:r>
      <w:r>
        <w:t xml:space="preserve">: Tsai y Wu, ≈ 25,7 M USD en agosto [47].</w:t>
      </w:r>
    </w:p>
    <w:p>
      <w:pPr>
        <w:pStyle w:val="Heading2"/>
      </w:pPr>
      <w:r>
        <w:t xml:space="preserve">En contra</w:t>
      </w:r>
    </w:p>
    <w:p>
      <w:pPr>
        <w:pStyle w:val="ListParagraph"/>
        <w:numPr>
          <w:ilvl w:val="0"/>
          <w:numId w:val="2"/>
        </w:numPr>
        <w:spacing w:after="60"/>
      </w:pPr>
      <w:r>
        <w:rPr>
          <w:b/>
        </w:rPr>
        <w:t xml:space="preserve">Caja libre negativa</w:t>
      </w:r>
      <w:r>
        <w:t xml:space="preserve">: −46.609 M RMB en FY2026 y −44.670 M en el 1T FY2027 [2, 3].</w:t>
      </w:r>
    </w:p>
    <w:p>
      <w:pPr>
        <w:pStyle w:val="ListParagraph"/>
        <w:numPr>
          <w:ilvl w:val="0"/>
          <w:numId w:val="2"/>
        </w:numPr>
        <w:spacing w:after="60"/>
      </w:pPr>
      <w:r>
        <w:rPr>
          <w:b/>
        </w:rPr>
        <w:t xml:space="preserve">ROIC por debajo del WACC</w:t>
      </w:r>
      <w:r>
        <w:t xml:space="preserve">: 4,6 % frente a 8,32 %.</w:t>
      </w:r>
    </w:p>
    <w:p>
      <w:pPr>
        <w:pStyle w:val="ListParagraph"/>
        <w:numPr>
          <w:ilvl w:val="0"/>
          <w:numId w:val="2"/>
        </w:numPr>
        <w:spacing w:after="60"/>
      </w:pPr>
      <w:r>
        <w:rPr>
          <w:b/>
        </w:rPr>
        <w:t xml:space="preserve">Dilución</w:t>
      </w:r>
      <w:r>
        <w:t xml:space="preserve">: 710 M de acciones nuevas en agosto y mandato para emitir otro 10 % [44, 48].</w:t>
      </w:r>
    </w:p>
    <w:p>
      <w:pPr>
        <w:pStyle w:val="ListParagraph"/>
        <w:numPr>
          <w:ilvl w:val="0"/>
          <w:numId w:val="2"/>
        </w:numPr>
        <w:spacing w:after="60"/>
      </w:pPr>
      <w:r>
        <w:rPr>
          <w:b/>
        </w:rPr>
        <w:t xml:space="preserve">Comercio rápido en pérdidas</w:t>
      </w:r>
      <w:r>
        <w:t xml:space="preserve"> hasta FY2029 según la empresa; laboratorios de IA −13.861 M de EBITA en un trimestre [3].</w:t>
      </w:r>
    </w:p>
    <w:p>
      <w:pPr>
        <w:pStyle w:val="ListParagraph"/>
        <w:numPr>
          <w:ilvl w:val="0"/>
          <w:numId w:val="2"/>
        </w:numPr>
        <w:spacing w:after="60"/>
      </w:pPr>
      <w:r>
        <w:rPr>
          <w:b/>
        </w:rPr>
        <w:t xml:space="preserve">Geopolítica</w:t>
      </w:r>
      <w:r>
        <w:t xml:space="preserve">: lista 1260H desde junio y demanda colectiva en Nueva York [50, 51].</w:t>
      </w:r>
    </w:p>
    <w:p>
      <w:pPr>
        <w:pStyle w:val="ListParagraph"/>
        <w:numPr>
          <w:ilvl w:val="0"/>
          <w:numId w:val="2"/>
        </w:numPr>
        <w:spacing w:after="60"/>
      </w:pPr>
      <w:r>
        <w:rPr>
          <w:b/>
        </w:rPr>
        <w:t xml:space="preserve">Excluida por el usuario</w:t>
      </w:r>
      <w:r>
        <w:t xml:space="preserve"> (comercio minorista).</w:t>
      </w:r>
    </w:p>
    <w:p>
      <w:pPr>
        <w:pStyle w:val="Heading2"/>
      </w:pPr>
      <w:r>
        <w:t xml:space="preserve">Qué tiene que pasar para que la tesis funcione</w:t>
      </w:r>
    </w:p>
    <w:p>
      <w:pPr>
        <w:spacing w:after="100"/>
      </w:pPr>
      <w:r>
        <w:t xml:space="preserve">Que el EBITA ajustado toque fondo en el 2T FY2027 y vuelva a crecer en el 3T sin que el capex siga subiendo. Señal en contra: EBITA ajustado trimestral por debajo de 25.000 M RMB, caja libre negativa en el 3T FY2027 o uso del mandato de emisión.</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 nube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 (1T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EBITA ajustado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27.329 M RMB (1T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el beneficio ha tocado fondo.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−44.670 M RMB</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Negativa en el 3T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capex se paga sin diluir.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67.678 M RMB</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80.000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más de 380.000 M en tres años.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CMR comparable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 (1T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Salud del negocio principal.</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22,5x / 12,2x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(FY2019-FY2026)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 · -2,9x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Alibaba nace en Hangzhou en 1999 como plataforma de comercio entre empresas; su equipo fundador incluye al actual presidente, Joe Tsai, y al primer ejecutivo, Eddie Wu [1]. Sobre esa base crecieron Taobao y Tmall, que hoy forman, según Analysys, el mayor negocio de comercio minorista del mundo por volumen de mercancía [1]. Cotiza en Nueva York desde septiembre de 2014 y en Hong Kong desde noviembre de 2019, donde pasó a cotización primaria en agosto de 2024 [1]. Tras la campaña regulatoria de 2020-21 (rectificación de Ant Group desde abril de 2021) [1], la empresa se ha reordenado dos veces en dos años: en el ejercicio 2026 fusionó Taobao y Tmall, Ele.me (hoy Taobao Instant Commerce) y Fliggy en un solo grupo de comercio electrónico chino, y desde el trimestre a junio de 2026 reporta cuatro segmentos centrados en comercio electrónico e IA [1, 3]. La estrategia actual tiene dos ejes: IA y nube (modelos Qwen, chips propios de T-Head) y consumo con entrega en 30 minutos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Hangzhou; Joe Tsai y Eddie Wu forman parte del equipo fundador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NYSE (19-sep-2014), ticker BABA; 1 ADS = 8 acciones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pública en Hong Kong y cotización desde el 26-nov-2019 (código 9988)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 Group inicia en abril una rectificación de negocio pactada con los reguladores chinos; en julio de 2023 recibe una multa de 7.070 M RMB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Eddie Wu, primer ejecutivo desde septiembre de 2023; Joe Tsai pasa a presidente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voluntaria a cotización primaria en Hong Kong (28-ago-2024)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Febrero: compromiso de invertir 380.000 M RMB en nube e IA en tres años, que en septiembre la dirección dijo que superaría [41]. Abril: lanzamiento de Taobao Instant Commerce y entrada de lleno en la guerra del comercio rápido [1]. Venta de Sun Art (73,66 %) por unos 9.698 M HKD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Noviembre: lanzamiento de la aplicación Qwen; en marzo de 2026 Qwen para consumo supera 295 millones de usuarios activos mensuales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Enero: el comité antimonopolio del Consejo de Estado abre una evaluación de la competencia en el reparto de comida (Alibaba, Meituan, JD) [40]. Agosto: nueva segmentación en cuatro negocios y colocación de 710 millones de acciones nuevas a 112,70 HKD (80.000 M HKD) para invertir el 100 % en IA [3, 19].</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Alibaba tiene dos grandes negocios: </w:t>
      </w:r>
      <w:r>
        <w:rPr>
          <w:b/>
        </w:rPr>
        <w:t xml:space="preserve">comercio electrónico</w:t>
      </w:r>
      <w:r>
        <w:t xml:space="preserve"> e </w:t>
      </w:r>
      <w:r>
        <w:rPr>
          <w:b/>
        </w:rPr>
        <w:t xml:space="preserve">IA y nube</w:t>
      </w:r>
      <w:r>
        <w:t xml:space="preserve"> [1, 3]. Desde el trimestre a junio de 2026 reporta cuatro segmentos: Alibaba E-commerce Group (Taobao y Tmall en China, comercio rápido con Taobao Instant Commerce y Freshippo, AliExpress, Lazada y Trendyol fuera de China, y el mayorista 1688.com y Alibaba.com), AI Cloud and Compute Services (Alibaba Cloud más los chips de T-Head), AI Labs and Applications (modelos Qwen, la aplicación Qwen y QwenWork) y «Otros» (Alibaba Health, Amap, Hujing, juegos) [3]. En el trimestre a junio de 2026 el comercio electrónico aportó 205.862 M RMB de ingresos y la nube 48.437 M RMB, un 45 % más que un año antes [3]. Sus clientes son cientos de millones de consumidores en China, millones de comercios y marcas que pagan por visibilidad, y empresas que alquilan computación y modelos. Freshippo vendió más de 107.000 M RMB en el ejercicio 2026 con más de 490 supermercados [1].</w:t>
      </w:r>
    </w:p>
    <w:p>
      <w:pPr>
        <w:pStyle w:val="Heading2"/>
      </w:pPr>
      <w:r>
        <w:t xml:space="preserve">Cómo gana dinero</w:t>
      </w:r>
    </w:p>
    <w:p>
      <w:pPr>
        <w:spacing w:after="100"/>
      </w:pPr>
      <w:r>
        <w:t xml:space="preserve">El grueso del beneficio sale de la </w:t>
      </w:r>
      <w:r>
        <w:rPr>
          <w:b/>
        </w:rPr>
        <w:t xml:space="preserve">gestión de clientes</w:t>
      </w:r>
      <w:r>
        <w:t xml:space="preserve"> (CMR) de Taobao y Tmall: publicidad por clic o por impresión y comisiones de entre el 0,1 % y el 5 % del valor vendido en Tmall, más una tarifa de software sobre el volumen completado desde septiembre de 2024 [1]. Es un ingreso de margen muy alto: el grupo chino de comercio electrónico ganó 193.223 M RMB de EBITA ajustado en el ejercicio 2025 sobre 508.380 M RMB de ingresos [1]. El comercio rápido cobra comisión y reparto, pero las subvenciones se restan del ingreso; por eso, y por la inversión en ese negocio, el EBITA del grupo cayó un 44 %, a 107.509 M RMB, en el ejercicio 2026 [1]. La nube vende computación, almacenamiento y modelos de pago por uso; su margen EBITA subió al 12 % en el trimestre a junio de 2026 [3]. El negocio es estacional: el cuarto trimestre natural (11 de noviembre) concentra la publicidad y el primero es el más flojo [1].</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Alibaba China E-commerce Group</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554.217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EBITA ajustado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Alibaba International Digital Commerce (AIDC)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144.170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EBITA ajustado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Cloud Intelligence Group</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158.132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EBITA ajustado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Todos los demás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254.367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EBITA ajustado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 y no asignado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-87.216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EBITA ajustado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Alibaba China E-commerce Group</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508.380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554.217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Alibaba International Digital Commerce (AIDC)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132.300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144.170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Cloud Intelligence Group</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118.028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158.132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Todos los demás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338.347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254.367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 y no asignado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-100.708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-87.216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pesa de forma material: los ingresos vienen de millones de comercios y de cientos de millones de compradores [1]. Los clientes más valiosos son los socios 88VIP, unos 64 millones a junio de 2026, que crecen a doble dígito y con una retención similar a la del ejercicio anterior [1, 3]. El poder de precios sobre los comercios es real pero limitado: en el ejercicio 2026 la CMR creció un 5 % gracias a una comisión efectiva mayor [1], pero en el trimestre a junio de 2026 cayó un 7 % (un 1 % de subida comparable, sin el efecto de un nuevo programa de captación de comercios cuyas subvenciones se restan del ingreso), por la debilidad de las transacciones [3]. En la nube, los ingresos de productos de IA llevan doce trimestres creciendo a tres dígitos y sumaron 12.376 M RMB en el trimestre a junio de 2026 [3]; los chips Zhenwu de T-Head se usan en más de 650 clientes externos [3].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la nube (Cloud Intelligence / AI Cloud and Compute)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118.028 M RMB en FY2025 (+11 %)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158.132 M RMB en FY2026 (+34 %); 48.437 M en el 1T FY2027 (+45 %)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 anual; +45 % en el último trimestre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clientes externos +45 % en el 1T FY2027, máximo de 22 trimestres [2, 3,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productos de IA en la nube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8.971 M RMB en el 4T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12.376 M RMB en el 1T FY2027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de tres cifras por duodécimo trimestre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35 % de los ingresos externos de la nube; ARR de MaaS por encima de 16.000 M RMB en agosto de 2026 [2, 3,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 ajustado de la nube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 en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 en FY2026; 11,6 % en el 1T FY2027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puntos en el último trimestre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la dirección: más del 20 % [2, 3,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del comercio rápido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53.588 M RMB en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78.520 M RMB en FY2026 (+47 %); 53.295 M en el 1T FY2027 con la nueva definición (+45 %)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pérdidas; la dirección espera beneficio en FY2029 [2, 3,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gestión de clientes (CMR)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326.769 M RMB en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343.867 M RMB en FY2026 (+5 %; +7 % comparable)</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en el 1T FY2027 (+1 % comparable)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subvenciones a comerciantes restan ingreso desde el 4T FY2026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Miembros 88VIP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50 millones (mar-25)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Unos 64 millones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de dos cifras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grupo de clientes que más gasta [3,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Capex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85.972 M RMB en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126.937 M RMB en FY2026; 67.678 M en el 1T FY2027 (+75 %)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 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 190.000 M invertidos del plan de 380.000 M a tres años, que la dirección dice que se quedará corto [1, 3, 15, 16].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Alibaba compite en tres mercados chinos distintos. El que da casi todo el beneficio es el </w:t>
      </w:r>
      <w:r>
        <w:rPr>
          <w:b/>
        </w:rPr>
        <w:t xml:space="preserve">comercio electrónico de bienes físicos en China</w:t>
      </w:r>
      <w:r>
        <w:t xml:space="preserve">, medido por la Oficina Nacional de Estadística (NBS): ventas minoristas en línea de bienes físicos, que es la serie que usamos [21, 22, 23, 24, 25, 26]. Los volúmenes de mercancía (GMV) de las plataformas son mayores porque incluyen devoluciones y servicios: Taotian (Taobao y Tmall) rondaría los 8,3 billones de RMB en 2025 según estimaciones de mercado [32], frente a 13,09 billones de ventas en línea de bienes físicos de la NBS [22]. Los otros dos mercados son la </w:t>
      </w:r>
      <w:r>
        <w:rPr>
          <w:b/>
        </w:rPr>
        <w:t xml:space="preserve">nube</w:t>
      </w:r>
      <w:r>
        <w:t xml:space="preserve"> (servicios de infraestructura en la nube en China continental, según Omdia, 14.700 M USD en el cuarto trimestre de 2025 [28]; IDC cifra el mercado de nube pública total en más de 200.000 M RMB en el segundo semestre de 2025 [29]) y el </w:t>
      </w:r>
      <w:r>
        <w:rPr>
          <w:b/>
        </w:rPr>
        <w:t xml:space="preserve">comercio rápido</w:t>
      </w:r>
      <w:r>
        <w:t xml:space="preserve"> (instant retail, entrega en menos de una hora), que el instituto de investigación del Ministerio de Comercio estima en 781.000 M RMB en 2024 y unos 971.400 M RMB en 2025 [30,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Ventas en línea de bienes físicos en China: 13.092.300 M RMB en 2025 (+5,2 % comparable; 26,1 % del comercio minorista total) [22]; 9.506.000 M RMB de enero a septiembre de 2026 (+3,8 %) [21]. Nube en China: 14.700 M USD en el 4T25 (+26 %) según Omdia [28]. Comercio rápido: ≈ 971.400 M RMB en 2025 (estimación del instituto del Ministerio de Comercio) [31].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RMB (ventas en línea de bienes físicos, NB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interno débil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minoristas totales crecen un 1,1 % de enero a septiembre de 2026 y las de bienes en línea un 3,8 %, frente al 5,2 % de 2025 y el 8,4 % de 2023 [21, 22,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del comercio en línea ya alta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en línea de bienes físicos son el 26,1 % del comercio minorista en 2025, frente al 24,5 % en 2021 y el 27,6 % en 2023: la cuota apenas sube [22, 24,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Entrega en 30 minutos (comercio rápido)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comercio rápido creció un 20,15 % en 2024, 12,95 puntos más que el comercio en línea; el Ministerio de Comercio prevé superar 1 billón de RMB en 2026 y 2 billones en 2030 (12,6 % anual) [30].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IA en la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china crece un 24 % en el 3T25 y un 26 % en el 4T25; Omdia prevé un 26 % en 2026 [27, 28]. Los ingresos de IA de Alibaba Cloud crecen a tres dígitos por duodécimo trimestre consecutivo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Subvenciones y guerra de precios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Meituan pasó de 36.845 M RMB de beneficio operativo en 2024 a 25.041 M RMB de pérdida en 2025 [36]; el EBITA del comercio electrónico chino de Alibaba cayó un 44 % en el ejercicio 2026 [1]. En el 2T26 la presión cede: Meituan vuelve al beneficio [37] y JD reduce un 33 % la pérdida de nuevos negocios [35].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 y disponibilidad de chips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capex de Alibaba subió un 75 %, a 67.678 M RMB, en el trimestre a junio de 2026, en parte por el mayor precio de los componentes de chips [3]; el 20-F cita el suministro de chips avanzados y de energía como riesgo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plataformas con cuotas de entre el 16 % y el 31 % del volumen de mercancía (estimación de Goldman Sachs para el 4T25) [32] y una guerra de subvenciones en el comercio rápido: margen operativo de JD del 0,2 % y de Meituan del −6,9 % en 2025 [34, 36].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comprador cambia de aplicación sin coste y el comercio vende en varias plataformas a la vez; la CMR de Alibaba cae un 7 % en el trimestre a junio de 2026 (+1 % comparable) por menos transacciones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comercio, los comercios son millones y están atomizados. En la nube, el proveedor clave son los chips: el precio de los componentes ha subido y el suministro avanzado está limitado; Alibaba responde con chips propios (Zhenwu) [1,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escala exigida es enorme, pero los entrantes vienen con dinero: Douyin (ByteDance) llegaría al 24 % del volumen de mercancía [32] y JD entró con fuerza en el reparto de comida a principios de 2025 [31]; en la nube, Volcano Engine crece más del 100 % en 2025 según IDC [29].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vídeo y la emisión en directo desvían compras hacia Douyin [32]; los agentes de IA pueden cambiar quién controla la búsqueda de productos (Alibaba integra Qwen en Taobao para defenderse: 250 millones de usuarios han comprado con agentes de Qwen) [3].</w:t>
            </w:r>
          </w:p>
        </w:tc>
      </w:tr>
    </w:tbl>
    <w:p>
      <w:pPr>
        <w:spacing w:after="160" w:before="0"/>
      </w:pPr>
    </w:p>
    <w:p>
      <w:pPr>
        <w:pStyle w:val="Heading2"/>
      </w:pPr>
      <w:r>
        <w:t xml:space="preserve">Ciclo</w:t>
      </w:r>
    </w:p>
    <w:p>
      <w:pPr>
        <w:spacing w:after="100"/>
      </w:pPr>
      <w:r>
        <w:t xml:space="preserve">Las ventas en línea de bienes físicos crecieron un 12,0 % en 2021, un 6,2 % en 2022 (año de confinamientos), un 8,4 % en 2023, un 6,5 % en 2024 y un 5,2 % en 2025, y un 3,8 % de enero a septiembre de 2026 [21, 22, 23, 24, 25, 26]: la desaceleración es continua y el consumo total solo sube un 1,1 % [21]. El comercio electrónico chino está maduro y se disputa cuota con subvenciones; la nube está en expansión (+26 % previsto para 2026) [28]. No hemos consultado datos de 2008-09 ni de 2020 para comparar.</w:t>
      </w:r>
    </w:p>
    <w:p>
      <w:pPr>
        <w:pStyle w:val="Heading2"/>
      </w:pPr>
      <w:r>
        <w:t xml:space="preserve">Regulación</w:t>
      </w:r>
    </w:p>
    <w:p>
      <w:pPr>
        <w:spacing w:after="100"/>
      </w:pPr>
      <w:r>
        <w:t xml:space="preserve">La Ley contra la Competencia Desleal reformada entró en vigor el 15 de octubre de 2025: obliga a las plataformas a incluir reglas de competencia leal y les prohíbe obligar a los comercios a vender por debajo de coste [1]. Desde principios de 2026 la SAMR examina a las plataformas de comercio rápido, Alibaba incluida, por competencia «involutiva», subvenciones agresivas y guerras de precios, con riesgo de multas y órdenes de rectificación [1]; en enero de 2026 el comité antimonopolio del Consejo de Estado abrió una evaluación del reparto de comida [40]. El 20-F cita además la exigencia de salario mínimo y seguridad social para los repartidores [1]. En Europa, la Comisión impuso a AliExpress una multa de 550 M EUR con la Ley de Servicios Digitales, provisionada en el trimestre a junio de 2026 [3].</w:t>
      </w:r>
    </w:p>
    <w:p>
      <w:pPr>
        <w:pStyle w:val="Heading2"/>
      </w:pPr>
      <w:r>
        <w:t xml:space="preserve">Tendencias y disrupción</w:t>
      </w:r>
    </w:p>
    <w:p>
      <w:pPr>
        <w:spacing w:after="100"/>
      </w:pPr>
      <w:r>
        <w:t xml:space="preserve">Hay tres tendencias. La primera es la convergencia del comercio electrónico y la entrega en 30 minutos: Alibaba, Meituan y JD presentan el comercio rápido como estrategia de largo plazo [31], y en el 2T26 la competencia pasa de la subvención a la eficiencia (Meituan vuelve al beneficio y JD reduce pérdidas) [35, 37]. La segunda es la IA: la nube china vuelve a crecer por encima del 20 % y Alibaba tiene el 37 % del mercado [28] y el 38,1 % de la nube de IA según Omdia [3]; la aplicación Qwen y los agentes de compra pueden reforzar Taobao o, si gana otro asistente, desintermediarlo. La tercera es el comercio en vídeo de Douyin, que según Goldman Sachs seguiría ganando cuota a Taobao y Tmall hasta 2027 [32]. Alibaba gana con la IA y pierde cuota en el comercio clásico.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comercio electrónico en China: unos 31 % del volumen de mercancía (estimación de Goldman Sachs para el 4T25, recogida por la prensa) [32]. 1.º en nube en China continental, con el 37 % en el 4T25 (Huawei 17 %, Tencent 10 %) [28]. En comercio rápido, 2.º detrás de Meituan, sin cuota pública verificada.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PDD Holdings (Pinduoduo, Temu)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PDD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431.846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2025 de 431.846 M RMB y beneficio operativo de 93.102 M RMB (−14 % frente a 108.423 M en 2024) [33]. Compite por precio bajo y con Temu fuera de China; cuota estimada del 19 %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JD.com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1.309.085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directa con logística propia. El beneficio operativo cae de 38.736 M RMB en 2024 a 2.774 M RMB en 2025 por el reparto de comida [34]. En el 2T26 la pérdida de nuevos negocios baja a 9.854 M RMB (14.777 M un año antes) y el margen de JD Retail es del 4,6 %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Meituan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3690.HK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364.855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reparto de comida y comercio rápido (Meituan Instashopping). Pérdida operativa de 25.041 M RMB en 2025 frente a 36.845 M de beneficio en 2024 [36]; en el 2T26 vuelve al beneficio operativo (2.691 M RMB) y el comercio local gana 5.668 M RMB (margen 7,9 %) [37].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Tencent (Tencent Cloud, Weixin)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0700.HK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751.800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2025 de 751.800 M RMB y beneficio operativo NIIF de 241.600 M RMB; capex de 79.200 M RMB [38]. Su nube tiene el 10 % del mercado chino y alcanzó rentabilidad a escala en 2025 [28, 38]; compite también en publicidad y minitiendas dentro de Weixin.</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Huawei Cloud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proveedor de nube en China (17 % en el 4T25), fuerte en administración y grandes industrias, con chips propios [28]. No cotiza ni publica cuentas de la nube por separado.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ByteDance (Douyin, Volcano Engine)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Comercio en vídeo y en directo, con un 24 % estimado del volumen de mercancía en el 4T25 [32]; su nube Volcano Engine creció más del 100 % en 2025 según IDC [29]. No cotiza.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Amazon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AMZN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5.013.534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Referencia mundial de comercio electrónico y nube (AWS), sin peso relevante en China. Ingresos 2025 de 716.924 M USD y beneficio operativo de 79.975 M USD [39]; en RMB, estimación propia al tipo implícito de 6,9931 RMB/USD a 31-dic-2025 que usa PDD en su 20-F (431.846 M RMB = 61.753 M USD) [33].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Taobao y Tmall son el mayor mercado minorista del mundo por volumen según Analysys [1]; el comercio rápido elevó la actividad de la aplicación Taobao y su CMR [2]. Pero Goldman Sachs estima que su cuota del volumen bajaría del 31 % al 28 % en 2027 mientras Douyin subiría al 26 % [16].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nulos para el comprador; algo mayores para el comercio (datos, publicidad) y para los clientes de la nube, que construyen sobre Qwen y Model Studio [1, 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Taobao, Tmall y 88VIP (unos 64 millones de socios) [2]; modelos Qwen de pesos abiertos (Qwen3.8-Max, 2,4 billones de parámetros)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escala no protege el margen ante subvenciones: el EBITA del comercio electrónico chino cayó un 44 % en el ejercicio 2026 [1]. En la nube, los chips propios de T-Head buscan mejor coste por inferencia [1,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nube china con el 37 % del mercado, más que Huawei y Tencent juntos [12]; capex de 122.021 M RMB en el ejercicio 2026 [1] y de 67.678 M RMB en un solo trimestre [2], que pocos pueden igualar.</w:t>
            </w:r>
          </w:p>
        </w:tc>
      </w:tr>
    </w:tbl>
    <w:p>
      <w:pPr>
        <w:spacing w:after="160" w:before="0"/>
      </w:pPr>
    </w:p>
    <w:p>
      <w:pPr>
        <w:pStyle w:val="Heading2"/>
      </w:pPr>
      <w:r>
        <w:t xml:space="preserve">Amenazas</w:t>
      </w:r>
    </w:p>
    <w:p>
      <w:pPr>
        <w:spacing w:after="100"/>
      </w:pPr>
      <w:r>
        <w:t xml:space="preserve">La amenaza principal es la </w:t>
      </w:r>
      <w:r>
        <w:rPr>
          <w:b/>
        </w:rPr>
        <w:t xml:space="preserve">guerra de subvenciones</w:t>
      </w:r>
      <w:r>
        <w:t xml:space="preserve"> si se reactiva: en el ejercicio 2026 restó casi 86.000 M RMB al EBITA del comercio electrónico chino (de 193.223 M a 107.509 M) [1]; en el 2T26 Meituan y JD ya reducen pérdidas [35, 37], pero la SAMR investiga el sector [1]. La segunda es la </w:t>
      </w:r>
      <w:r>
        <w:rPr>
          <w:b/>
        </w:rPr>
        <w:t xml:space="preserve">pérdida de cuota</w:t>
      </w:r>
      <w:r>
        <w:t xml:space="preserve"> frente a Douyin en el comercio en vídeo [32]. La tercera, que la IA cambie quién controla la búsqueda de productos: si el asistente dominante no es Qwen, Taobao pierde su posición de entrada. La cuarta es el </w:t>
      </w:r>
      <w:r>
        <w:rPr>
          <w:b/>
        </w:rPr>
        <w:t xml:space="preserve">coste de la carrera de la IA</w:t>
      </w:r>
      <w:r>
        <w:t xml:space="preserve">: el segmento de laboratorios y aplicaciones de IA perdió 13.861 M RMB en un trimestre [3]. Las restricciones de EE. UU. a los chips avanzados limitan la capacidad de la nube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376.844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509.711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717.289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150.308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853.062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868.687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941.168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996.347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1.023.670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100.199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105.904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Crecimiento anual compuesto FY2019-FY2026: ingresos </w:t>
      </w:r>
      <w:r>
        <w:rPr>
          <w:b/>
          <w:bCs/>
        </w:rPr>
        <w:t xml:space="preserve">15,3 %</w:t>
      </w:r>
      <w:r>
        <w:t xml:space="preserve">, EBITDA </w:t>
      </w:r>
      <w:r>
        <w:rPr>
          <w:b/>
          <w:bCs/>
        </w:rPr>
        <w:t xml:space="preserve">2,8 %</w:t>
      </w:r>
      <w:r>
        <w:t xml:space="preserve">, BPA </w:t>
      </w:r>
      <w:r>
        <w:rPr>
          <w:b/>
          <w:bCs/>
        </w:rPr>
        <w:t xml:space="preserve">4,0 %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N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pasan de 376.844 M RMB en FY2019 a 1.023.670 M en FY2026, pero el crecimiento se frena desde FY2022 (+2 % en FY2023, +3 % en FY2026) por la desaceleración del comercio en China y, en FY2026, por la salida de Sun Art e Intime: en perímetro comparable FY2026 crece un 11 % [2]. El margen operativo publicado cae del 14,1 % de FY2025 al 4,9 % de FY2026 porque los gastos comerciales suben de 144.021 a 245.023 M RMB con la entrada en el comercio rápido (Taobao Instant Commerce), la captación de usuarios de la app Qwen y la inversión en tecnología [1, 2]. El EBITA ajustado de la empresa baja un 56 %, a 76.416 M RMB; el de China E-commerce un 44 % (193.223 → 107.509 M) mientras la nube sube un 35 % (10.556 → 14.265 M) y AIDC casi alcanza el equilibrio (−15.137 → −2.051 M) [2]. El 1T FY2027 (jun-26) sigue igual: ingresos +9 %, EBITA ajustado −30 % por la pérdida de 13.861 M de AI Labs and Applications [3]. Años no comparables: FY2021 (multa antimonopolio de 18.228 M y consolidación de Sun Art) y FY2022 (deterioro de fondo de comercio de 25.141 M) [10, 11]. La partida de amortización de intangibles de FY2024 (21.592 M) incluye un deterioro de 12.089 M [8, 17].</w:t>
      </w:r>
    </w:p>
    <w:p>
      <w:pPr>
        <w:pStyle w:val="Heading2"/>
      </w:pPr>
      <w:r>
        <w:t xml:space="preserve">Ajustes y partidas no recurrentes</w:t>
      </w:r>
    </w:p>
    <w:p>
      <w:pPr>
        <w:spacing w:after="100"/>
      </w:pPr>
      <w:r>
        <w:t xml:space="preserve">Las cifras del cuadro son las publicadas en US GAAP. El beneficio neto es el atribuido a los accionistas ordinarios (tras la acreción de capital intermedio), el que usa la empresa para el BPA; el BPA y el DPA van por ADS (8 ordinarias) y las acciones en millones de ADS. El EBITDA es el EBIT publicado más la depreciación del inmovilizado y la amortización y deterioro de intangibles; no coincide con el «adjusted EBITDA» de la empresa (113.483 M en FY2026), que además suma pagos en acciones (11.180 M), deterioros del fondo de comercio y otros (10.007 M) y deterioros de inmovilizado [2]. En no recurrentes van los deterioros del fondo de comercio de cada año, la multa antimonopolio de FY2021 (18.228 M) y los «others» de la conciliación (provisiones puntuales) en FY2025-26 [1, 2, 11]. El BPA no GAAP de la empresa excluye además las plusvalías y minusvalías de inversiones, que en FY2026 suman 74.416 M a favor: por eso el BPA GAAP (44,00 RMB) supera al no GAAP (26,80 RMB) [2]. El LTM a jun-26 lleva 8.541 M de deterioros y provisiones (incluida la multa de la Comisión Europea por la DSA, 550 M EUR) [3]. El BPA de cada ejercicio es el publicado en los comunicados anuales [2, 7, 8, 9, 10, 11, 12] y el de los trimestres, en los trimestrales [2, 3, 4, 5, 6, 7]; el EBITDA trimestral del cuadro de trimestres es el «adjusted EBITDA» de la empresa, no el de la cuenta anual.</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236.503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280.154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236.454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247.652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247.795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284.843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243.380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268.953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1T FY2027 (20-ago-2026) la dirección volvió a poner la IA y el comercio rápido por delante del margen: el plan de 380.000 M RMB en tres años «se quedará corto», la nube crece un 45 % con margen EBITA del 12 % y los productos de IA llevan doce trimestres creciendo a tres cifras [3, 15]. El BPA no GAAP (8,52 RMB por ADS) cayó un 42 % y el flujo libre fue de −44.670 M; el segmento de laboratorios y aplicaciones de IA perdió 13.861 M de EBITA en el trimestre [3]. Desde este trimestre las subvenciones a comercios restan ingreso: el CMR cae un 7 % publicado y sube un 1 % comparable [3]. Tres días después la empresa colocó acciones nuevas por 80.000 M HKD [49].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965.076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333.211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492.257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1.312.985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337.729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358.981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-233.551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755.401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1.690.218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363.604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473.638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-324.485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937.470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1.695.553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328.812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-208.560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446.412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141.344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948.479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1.753.044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315.004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519.578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989.657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1.764.829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286.629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-267.197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511.080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-340.304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986.544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1.804.227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276.412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-282.478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374.313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230.703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1.009.858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1.909.570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264.361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-304.964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286.840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259.996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1.060.886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(FY2021: Sun Art consolidada desde octubre de 2020 tras comprar participación adicional por 3.600 M USD (24.100 M RMB) [13]: entra en ingresos, coste y balance a mitad de ejercicio.; FY2026: Venta de Sun Art (73,66 %, 9.698 M HKD) e Intime (7.400 M RMB), cerradas en FY2025: sin ellas los ingresos de FY2026 crecen un 11 % frente al 3 % publicado [1, 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sube de 141.344 M RMB en FY2022 a 259.996 M en FY2026 (convertibles de 2024 y 2025, canjeables de 2025), mientras el efectivo y las inversiones a corto bajan de 519.578 M (FY2023) a 286.840 M: la caja neta de ese perímetro se reduce a 26.844 M. Con las inversiones de tesorería a largo que la empresa cuenta como líquidas, la caja neta es de unos 38.000 M USD a marzo y 30.700 M USD a junio de 2026, según el CFO [15, 16]. La deuda es barata (bonos del 2,1 % al 5,6 %, convertibles al 0-0,5 %) y larga: el 56 % vence después de FY2031 [1]. El circulante pasa de 312.615 M de exceso de activo corriente en FY2023 a 134.371 M en FY2026 por el consumo de caja del capex y el comercio rápido; los pasivos acumulados y proveedores suben a 359.893 M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150.308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163.509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126.937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105.904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FY2019-FY2026: FCF </w:t>
      </w:r>
      <w:r>
        <w:rPr>
          <w:b/>
          <w:bCs/>
        </w:rPr>
        <w:t xml:space="preserve">856.466</w:t>
      </w:r>
      <w:r>
        <w:t xml:space="preserve">, conversión </w:t>
      </w:r>
      <w:r>
        <w:rPr>
          <w:b/>
          <w:bCs/>
        </w:rPr>
        <w:t xml:space="preserve">102 %</w:t>
      </w:r>
      <w:r>
        <w:t xml:space="preserve"> del beneficio neto; adquisiciones 77.461, dividendos 80.755, recompras 330.661.</w:t>
      </w:r>
    </w:p>
    <w:p>
      <w:pPr>
        <w:spacing w:after="100"/>
      </w:pPr>
      <w:r>
        <w:t xml:space="preserve">El flujo operativo cae de 231.786 M RMB en FY2021 a 76.213 M en FY2026 (−53 % solo en el último año) por las pérdidas del comercio rápido y la captación de usuarios de Qwen, y el capex (suelo, inmovilizado e intangibles) se multiplica por cuatro desde FY2024, de 32.929 a 126.937 M, por la infraestructura de IA [1, 2]. El flujo libre de la propia empresa pasa de +73.870 M en FY2025 a −46.609 M en FY2026 y −44.670 M solo en el 1T FY2027, con un capex trimestral de 67.678 M [2, 3]. La empresa no separa capex de mantenimiento y de crecimiento; estimación propia: la depreciación de FY2026 (34.963 M) es la referencia del mantenimiento, y el resto (unos 92.000 M) es expansión de la nube [1]. Años no comparables: hasta FY2020 el capex incluye los derechos de contenido audiovisual (12.836 M en FY2020), que desde FY2021 pasan al flujo operativo [13, 14]. La empresa paga los intereses dentro del flujo operativo (9.384 M en FY2026) y no tiene arrendamientos financieros significativos [1, 17]. Las compras de minoritarios (16.768 M en FY2026, 21.949 M en FY2025) van en financiación y no están en adquisiciones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Zhong Tian LLP (PwC ZT, Shanghái)</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también sobre el control interno (COSO 2013) a 31-mar-2026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FY2026: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Debilidad (0-3).</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FY2026: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PwC Zhong Tian audita desde FY2023 («since 2023»); antes lo hacía otra firma de la red PwC, que el 20-F llama «then independent registered public accounting firm» [1]. La opinión de FY2026 es limpia, sin salvedades, y declara eficaz el control interno; la cuestión clave de auditoría es el deterioro del fondo de comercio de dos unidades de «All others» [1]. El resultado contable depende mucho de partidas no operativas: en FY2026 los «intereses y rendimientos de inversiones» suman 87.512 M RMB (74.416 M de plusvalías y revalorizaciones de participadas), frente a un EBIT de 50.150 M, y por eso el beneficio GAAP supera al no GAAP [2]. Los pagos en acciones bajan de 50.120 M en FY2021 a 11.180 M en FY2026 (1,1 % de las ventas) [1, 17]. Hay deterioros del fondo de comercio casi todos los años (25.141 M en FY2022, 10.521 M en FY2024, 6.171 M en FY2025, 9.515 M en FY2026 y 4.458 M en el 1T FY2027) [1, 3, 8, 10]. Desde el 4T FY2026 parte de las subvenciones a comerciantes se registra como menos ingreso y no como gasto comercial: el CMR crece un 1 % publicado frente al 8 % comparable [2]. Los indicadores Altman, Piotroski y Beneish del motor se leen con cuidado: el balance lleva 657.000 M de participaciones e inversiones que no generan EBIT.</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GAAP inflado por revalorizaciones de inversiones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FY2026, 74.416 M RMB de plusvalías de participadas (venta de Trendyol GO y valor razonable) frente a un EBIT de 50.150 M; el BPA GAAP (44,00) supera al no GAAP (26,80)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recurrentes del fondo de comercio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ejercicios seguidos con deterioro, todos en negocios de «All others» y comercio físico (Sun Art, Intime) [1, 3,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presentación de las subvenciones a comerciantes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4T FY2026 (ene-mar 2026) van como menos ingreso del CMR; resta crecimiento de ingresos y mejora el margen sobre ventas frente a años anteriores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Segmentos cambiados dos veces en dos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Reorganización en el 1T FY2026 y de nuevo en el 1T FY2027; solo se reexpresa el trimestre comparable, lo que impide series largas por negocio [2, 3,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Auditor de un país con supervisión limitada del PCAOB</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PCAOB inspecciona China desde diciembre de 2022, pero el 20-F avisa de que podría volver a no hacerlo; PwC ZT fue sancionada en China en 2024 por otro cliente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549.645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593.321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693.737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758.973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761.155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758.203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848.175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1.013.182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247.378 M en FY2026 (el 25 % del capital invertido medio); ha subido más de un 5 % en 1 de 7 años: compras pequeñas. ROIC publicado 4,6 %; sin fondo de comercio, 6,1 %.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-0,2 % · </w:t>
      </w:r>
      <w:r>
        <w:rPr>
          <w:b/>
          <w:bCs/>
        </w:rPr>
        <w:t xml:space="preserve">WACC</w:t>
      </w:r>
      <w:r>
        <w:t xml:space="preserve">: 8,3 %.</w:t>
      </w:r>
    </w:p>
    <w:p>
      <w:pPr>
        <w:spacing w:after="100"/>
      </w:pPr>
      <w:r>
        <w:t xml:space="preserve">Alibaba no crea valor hoy: el ROIC del motor fue del 13,9 % en FY2025 y del 4,6 % en FY2026 frente a un WACC del 8,32 % (−3,7 puntos); sin el fondo de comercio, 6,1 %. El capital invertido incluye ≈ 657.000 M de participadas y valores que no dan EBIT [1]. Lo mueve el margen: el EBITA ajustado de comercio electrónico chino cayó un 44 % en FY2026 con ingresos del segmento +9 % [2]. El ROIC incremental es negativo: el capex de IA y las subvenciones del comercio rápido han llegado al EBIT antes que el rendimiento.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-207.975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-60.233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-268.208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Efectivo e inversiones a corto plazo de 286.840 M RMB a 31-mar-2026; «efectivo y otras inversiones líquidas» sin restricciones (incluye inversiones de tesorería a largo) de 520.824 M RMB a 31-mar-2026 y 474.505 M RMB a 30-jun-2026 [2, 3]. Línea revolving de 3.330 M USD sin disponer y otra de 3.170 M USD con unos 2.600 M USD sin usar, ambas hasta septiembre de 2028 [1]. Colocación de nuevas acciones en Hong Kong por 80.000 M HKD en agosto de 2026 [18].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arrendamientos financieros significativos: los operativos (21.726 M RMB de pasivo en FY2026) ya están en el EBITDA y no van a la deuda [1, 17]. Los bonos senior (118.210 M de principal) llevan cláusulas sobre garantías, fusiones y venta de activos, y la empresa las cumple; los préstamos bancarios a largo están garantizados en parte con inmuebles y derechos de uso de suelo (19.975 M) [1]. Los convertibles de 2024 (5.000 M USD, 2031, opción de venta en junio de 2029) y de 2025 (3.200 M USD, 2032, opción en septiembre de 2030) y los canjeables en acciones de Alibaba Health (12.000 M HKD, 2032, opción en julio de 2030) pueden diluir o pedir caja antes de su vencimiento [1]. Garantiza un préstamo de 6.500 M HKD de Cingleot (centro logístico del aeropuerto de Hong Kong; 5.500 M dispuestos) [1]. Compromisos de inversión contratados de 54.136 M RMB [1]. Capital intermedio (mezzanine) de 7.845 M [2]. Restricción a la distribución de activos netos de las filiales chinas de 344.580 M RMB [1]. Provisión de la multa de 550 M EUR de la Comisión Europea (DSA) en el 1T FY2027 [3].</w:t>
      </w:r>
    </w:p>
    <w:p>
      <w:pPr>
        <w:pStyle w:val="Heading1"/>
      </w:pPr>
      <w:r>
        <w:t xml:space="preserve">12. Asignación de capital</w:t>
      </w:r>
    </w:p>
    <w:p>
      <w:pPr>
        <w:pStyle w:val="Confianza"/>
        <w:spacing w:after="100"/>
      </w:pPr>
      <w:r>
        <w:t xml:space="preserve">Confianza: Media</w:t>
      </w:r>
    </w:p>
    <w:p>
      <w:pPr>
        <w:spacing w:after="100"/>
      </w:pPr>
      <w:r>
        <w:t xml:space="preserve">Dividendo anual ordinario de 1,05 USD por ADS para FY2026 (unos 2.500 M USD), sin extraordinario, frente a 2,00 USD en FY2025 (1,05 ordinario + 0,95 extraordinario) y 1,66 USD en FY2024 [1, 2]. El programa de recompra se amplió en febrero de 2024 en 25.000 M USD hasta marzo de 2027; en FY2026 solo se recompraron 73 millones de ordinarias por 1.000 M USD, frente a 86.662 M RMB en FY2025, y 162 M USD en el 1T FY2027 [1, 15]. La dirección dice que reparte el capital entre IA y nube, recompras y dividendos y que «ajustará las prioridades» [15]. En agosto de 2026 colocó nuevas acciones en Hong Kong por 80.000 M HKD [18], tras emitir convertibles en 2024 y 2025 y canjeables en 2025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Kaola (comercio de importación), 100 % comprado a NetEase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14,3 millones de ordinarias nuevas (316 M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datos de resultado separados en los documentos leídos [14].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Sun Art Retail (hipermercados), hasta el 67 % y después el 74 % con la oferta obligatoria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(3.600 M USD + 4.900 M HKD)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Vendida en FY2025 por 9.698 M HKD por el 73,66 %, con pérdida en la venta y deterioros previos del fondo de comercio [1, 13].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Moonshot AI (modelos de lenguaje), 36 % en acciones preferentes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Valorada por el método alternativo; sus modelos se ofrecen en la nube de Alibaba [1, 15].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Intime (grandes almacenes), venta del 99 %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(cobro en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en la venta registrada en FY2025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Trendyol GO (reparto local en Turquía), venta del 85 %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Desinversión (unos 700 M USD en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Plusvalía dentro de los rendimientos de inversiones de FY2026 [1].</w:t>
            </w:r>
          </w:p>
        </w:tc>
      </w:tr>
    </w:tbl>
    <w:p>
      <w:pPr>
        <w:spacing w:after="160" w:before="0"/>
      </w:pPr>
    </w:p>
    <w:p>
      <w:pPr>
        <w:spacing w:after="100"/>
      </w:pPr>
      <w:r>
        <w:t xml:space="preserve">Entre FY2022 y FY2025 la empresa devolvió al accionista unos 358.000 M RMB en recompras y dividendos (311.378 M en recompras), y las acciones diluidas bajaron de 2.748 millones de ADS en FY2021 a 2.415 millones en FY2025 [1, 7, 13]. En FY2026 cambió de rumbo: recompras de solo 7.638 M, capex de 126.937 M y emisión de convertibles, canjeables y, en agosto de 2026, 80.000 M HKD en acciones nuevas [1, 18]. Las compras de distribución física (Sun Art, Intime) acabaron vendidas con pérdidas y deterioros [1]. El historial reciente de inversión fuera del núcleo es pobre; la apuesta de la nube aún no tiene años de retorno que juzgar.</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C. Tsai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en 1999 y consejero desde el origen; director financiero hasta 2013 y vicepresidente ejecutivo hasta septiembre de 2023 [1]. Socio de continuidad de la Alibaba Partnership y consejero de Ant Group [1]. Su 1,5 % incluye 158 M de acciones de una fundación y de Parufam sin interés económico; en agosto de 2026 compró 1,44 M de acciones en mercado por unos 20,7 M USD [1, 47].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Eddie Yongming Wu</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director técnico en 1999; dirigió Alimama, la tecnología de Taobao y el negocio móvil [1]. Desde 2023 ha llevado el giro a la IA: plan de al menos 380.000 M RMB en tres años (febrero de 2025) e inversión en activo fijo de 126.063 M RMB en FY2026 frente a 85.972 M en FY2025 [2, 53]. Compró 350.000 acciones en mercado el 24-ago-2026 [47].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Toby Hong Xu</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Once años socio de PwC; entró en 2018 y fue director financiero adjunto de 2019 a 2022 [1]. Ha cerrado la venta de Sun Art (FY2025) e Intime (FY2026), los convertibles de 3.168 M USD de septiembre de 2025 y la colocación de 80.000 M HKD de agosto de 2026 [1, 49]. Vendió 332.550 acciones en 12 meses, en su mayoría junto a entregas de acciones [47].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 Michael Evans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(President)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Exvicepresidente de Goldman Sachs y presidente de sus operaciones en Asia; consejero desde 2014 y President desde agosto de 2015 [1]. Vendió 720.000 acciones (90.000 ADS) el 29-jun-2026 por unos 8,5 M USD; tras la venta declaró 28.000 acciones directas [47].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Fan Jiang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Alibaba E-commerce Business Group</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Fundador de Umeng (comprada por Alibaba); entró en 2013 y presidió Taobao, Tmall, Alimama y el comercio internacional (desde enero de 2022) [1]. Miembro de la Alibaba Partnership y de su comité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más de 650.000 M RMB (mayo de 2020)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717.289 M RMB (+41 %)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más de 930.000 M RMB (mayo de 2021); rebajada en noviembre de 2021 a un crecimiento del 20-23 % [11,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853.062 M RMB (+19 %): por debajo incluso de la guía rebajada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FY2025-FY2028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Invertir al menos 380.000 M RMB en nube e infraestructura de IA en tres años (24-feb-2025)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193.741 M RMB de inversión en activo fijo en los 15 meses de abril de 2025 a junio de 2026 (126.063 M en FY2026 y 67.678 M en el 1T FY2027), un 51 % del objetivo en el 42 % del plazo [2,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cúpula es estable: Joe Tsai preside y Eddie Wu es consejero delegado desde septiembre de 2023, y el director financiero lleva en el cargo desde 2022 [1]. No ha habido cambios de presidente ni de consejero delegado en los últimos 24 meses. La credibilidad de las cifras es limitada porque </w:t>
      </w:r>
      <w:r>
        <w:rPr>
          <w:b/>
        </w:rPr>
        <w:t xml:space="preserve">la empresa dejó de dar guía anual de ingresos en mayo de 2022</w:t>
      </w:r>
      <w:r>
        <w:t xml:space="preserve"> [10]. La última guía numérica (FY2022) se incumplió incluso después de rebajarla [10, 11, 52]. El único compromiso cuantitativo vigente es la inversión de 380.000 M RMB en IA, que va por delante del calendario [2, 3, 53]. La sucesión depende de la Alibaba Partnership (18 socios), que propone a la mayoría del consejo y tiene un comité de cinco miembros con Jack Ma, Tsai, Wu y Fan Jiang [1].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C. Tsai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(propuesto por la Alibaba Partnership)</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Gestión de capital (presidente),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Eddie Yongming Wu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(propuesto por la Alibaba Partnership)</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Gestión de capital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 Michael Evans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President (propuesto por la Alibaba Partnership)</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Gestión de capital, Cumplimiento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Maggie Wei Wu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no ejecutiva desde abril de 2025 (propuesta por la Alibaba Partnership; directora financiera hasta 2022)</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Gestión de capital,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Jerry Yang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(presidente), Nombramientos, Sostenibilidad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Wan Ling Martello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Weijian Shan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Irene Yun-Lien Lee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(presidenta), Cumplimiento y riesgos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Albert Kong Ping 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Retribuciones, Cumplimiento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Kabir Misra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 (independiente desde febrero de 2023; antes vinculado a SoftBank)</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 Cumplimiento y riesgos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también sobre el control interno (COSO 2013) a 31-mar-2026</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177,22 / ventas 179,56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JPMorgan Chase &amp; 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(custodia, gestión y préstamo de valores)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del 25-jun-2026; incluye un 3,03 % en préstamo de valores y declara un 2,73 % corto; 6,63 % tras la colocación [48].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aviso a HKEX antes de la colocación; 5,07 % tras ella [48].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Citigroup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(depositario de los ADS; 4,18 % en préstamo de valores)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5,06 % tras la colocación [48].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Compradores de la colocación de agosto de 2026</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Institucionales (al menos seis)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710 M de acciones a 112,70 HKD el 26-ago-2026; ninguno pasa a accionista significativo [48].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(conjunto)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 (Joe Tsai, 1,5 %)</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18-may-2026; en agosto de 2026 Tsai y Wu compraron 1,79 M de acciones [1, 47].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acciones propias a 5-ago-2026 ni a 30-sep-2026. Recompró 73 M de acciones por 1.000 M USD entre abril y agosto de 2025 y nada desde entonces; quedan 19.050 M USD del programa, vigente hasta marzo de 2027 [1, 44, 54].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Toby Xu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Sara Yu (directora jurídica)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21.472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25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Jane Jiang (directora de personas)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16.848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25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Toby Xu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175.054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25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 Jiang (consejero delegado de comercio electrónico)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13.579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25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Sara Yu (directora jurídica)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25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Jane Jiang (directora de personas)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 Michael Evans (President y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Joseph C. Tsai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Eddie Wu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25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Joseph C. Tsai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25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Toby Xu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103.046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25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Sara Yu (directora jurídica)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6.764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25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Jane Jiang (directora de personas)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Jane Jiang (directora de personas)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885.272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82,74</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495,42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430,83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Eddie Wu devengó 495,4 M RMB en FY2026 (320,1 M en FY2025): 4,4 M de sueldo y prestaciones, 60 M de bonus y 430,8 M de gasto contable por acciones, el 87 % del total [43]. El bonus sale de un fondo anual calculado como un porcentaje del </w:t>
      </w:r>
      <w:r>
        <w:rPr>
          <w:b/>
        </w:rPr>
        <w:t xml:space="preserve">beneficio operativo ajustado antes de impuestos</w:t>
      </w:r>
      <w:r>
        <w:t xml:space="preserve">. La comisión de retribuciones, formada solo por independientes, reparte ese fondo, y el sobrante queda para la Alibaba Partnership, que puede diferirlo [1]. Las acciones son RSU de entrega por tramos temporales: no se publican métricas de ROIC, TSR ni flujo de caja ni sus pesos [1]. No hay indemnizaciones más allá de las legales [1, 43]. Hay una política de recuperación (clawback) en los anexos del 20-F [1]. En las islas Caimán la retribución no se vota cada año. El único voto relacionado fue el plan de acciones de 2024: 95,0 % a favor y 93,2 % para el sublímite de proveedores de servicios [46].</w:t>
      </w:r>
    </w:p>
    <w:p>
      <w:pPr>
        <w:pStyle w:val="Heading2"/>
      </w:pPr>
      <w:r>
        <w:t xml:space="preserve">Operaciones vinculadas, estructura de control y defensas</w:t>
      </w:r>
    </w:p>
    <w:p>
      <w:pPr>
        <w:spacing w:after="100"/>
      </w:pPr>
      <w:r>
        <w:t xml:space="preserve">Hay una sola clase de acciones con un voto cada una, pero </w:t>
      </w:r>
      <w:r>
        <w:rPr>
          <w:b/>
        </w:rPr>
        <w:t xml:space="preserve">la Alibaba Partnership (18 socios, casi todos directivos) tiene el derecho exclusivo de proponer a la mayoría simple del consejo</w:t>
      </w:r>
      <w:r>
        <w:t xml:space="preserve">. Si sus candidatos no salen elegidos, puede nombrarlos provisionalmente. HKEX lo trata como una estructura de voto ponderado [1]. Cambiar ese derecho exige el 95 % de los votos presentes en la junta, y se mantiene aunque cambie el control [1]. Hoy ejerce cuatro de diez puestos, y seis consejeros son independientes [1]. El consejo está dividido en tres grupos que se renuevan por tercios [1]. Las filiales chinas se controlan mediante contratos con entidades de interés variable (VIE), cuyas participaciones tienen socios ciudadanos chinos [1]. Hay operaciones vinculadas con Ant Group (33 %; Alipay cobra los pagos) y con los fondos Yunfeng de Jack Ma [1]. El depositario cede a la empresa el voto de los ADS sin instrucciones: unos 297 M de ADS en 2026, que votó Eddie Wu a favor de todo [44].</w:t>
      </w:r>
    </w:p>
    <w:p>
      <w:pPr>
        <w:pStyle w:val="Heading2"/>
      </w:pPr>
      <w:r>
        <w:t xml:space="preserve">Señales de alerta</w:t>
      </w:r>
    </w:p>
    <w:p>
      <w:pPr>
        <w:pStyle w:val="ListParagraph"/>
        <w:numPr>
          <w:ilvl w:val="0"/>
          <w:numId w:val="2"/>
        </w:numPr>
        <w:spacing w:after="60"/>
      </w:pPr>
      <w:r>
        <w:t xml:space="preserve">El Departamento de Defensa de EE. UU. incluyó a Alibaba el 9-jun-2026 en su lista de empresas militares chinas (sección 1260H). La empresa lo considera un error y anunció acciones legales; la lista solo prohíbe las compras del propio Departamento [50].</w:t>
      </w:r>
    </w:p>
    <w:p>
      <w:pPr>
        <w:pStyle w:val="ListParagraph"/>
        <w:numPr>
          <w:ilvl w:val="0"/>
          <w:numId w:val="2"/>
        </w:numPr>
        <w:spacing w:after="60"/>
      </w:pPr>
      <w:r>
        <w:t xml:space="preserve">Demanda colectiva por fraude bursátil ante el tribunal federal del Distrito Sur de Nueva York (1:26-cv-06654, presentada el 4-ago-2026) contra Alibaba y Eddie Wu. El periodo va del 26-jun-2025 al 24-jun-2026. La demanda alega que se ocultó el encaje en la definición de la sección 1260H y cita un informe de prensa sobre el uso no autorizado de modelos de IA estadounidenses. Son alegaciones sin resolver [51].</w:t>
      </w:r>
    </w:p>
    <w:p>
      <w:pPr>
        <w:pStyle w:val="ListParagraph"/>
        <w:numPr>
          <w:ilvl w:val="0"/>
          <w:numId w:val="2"/>
        </w:numPr>
        <w:spacing w:after="60"/>
      </w:pPr>
      <w:r>
        <w:t xml:space="preserve">Rechazo creciente al auditor (PwC Zhong Tian y PwC Hong Kong): 28,7 % en contra en 2026 y 26,8 % en 2025, frente al 1,3 % de 2024. Sin los votos discrecionales del depositario, el rechazo sería de alrededor del 35 % en 2026 y del 33 % en 2025 (estimación propia: votos en contra entre las acciones presentes menos los ADS sin instrucciones × 8) [44, 45, 46].</w:t>
      </w:r>
    </w:p>
    <w:p>
      <w:pPr>
        <w:pStyle w:val="ListParagraph"/>
        <w:numPr>
          <w:ilvl w:val="0"/>
          <w:numId w:val="2"/>
        </w:numPr>
        <w:spacing w:after="60"/>
      </w:pPr>
      <w:r>
        <w:t xml:space="preserve">Dilución sin derechos de suscripción preferente. Colocación de 710 M de acciones nuevas (3,57 % del capital ampliado) a 112,70 HKD el 26-ago-2026, con un descuento del 3,6 % sobre el precio de referencia, para financiar la IA. Antes, convertibles de 3.168 M USD en septiembre de 2025 [48, 49]. Las recompras están paradas desde agosto de 2025 [1, 54].</w:t>
      </w:r>
    </w:p>
    <w:p>
      <w:pPr>
        <w:pStyle w:val="ListParagraph"/>
        <w:numPr>
          <w:ilvl w:val="0"/>
          <w:numId w:val="2"/>
        </w:numPr>
        <w:spacing w:after="60"/>
      </w:pPr>
      <w:r>
        <w:t xml:space="preserve">Ventas de directivos tras la subida: la directora de personas vendió 885.272 acciones (unos 12 M USD) el 30-sep-2026 y el President Michael Evans 720.000 acciones (unos 8,5 M USD) el 29-jun-2026. Del otro lado, el presidente y el consejero delegado compraron unos 25,7 M USD en agosto de 2026 [47].</w:t>
      </w:r>
    </w:p>
    <w:p>
      <w:pPr>
        <w:pStyle w:val="ListParagraph"/>
        <w:numPr>
          <w:ilvl w:val="0"/>
          <w:numId w:val="2"/>
        </w:numPr>
        <w:spacing w:after="60"/>
      </w:pPr>
      <w:r>
        <w:t xml:space="preserve">No hay consejero independiente coordinador, y la comisión de nombramientos solo elige a los consejeros que no propone la Alibaba Partnership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empresa no da guía anual desde mayo de 2022 [10]. Mensajes vigentes: inversión en IA y nube superior a los 380.000 M RMB comprometidos para 2026-29, comercio rápido rentable en FY2029 y nube con margen creciente [15, 16]. Última confirmación: 20-ago-2026.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1.120.609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earningsTrend a 27-oct-2026: BPA no GAAP diluido por ADS en RMB (30 analistas), ingresos (44 analistas) [56]; MarketScreener da ingresos de 1.120.742 M RMB y BPA de 35,31 RMB, este en base US GAAP [57]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1.262.088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earningsTrend a 27-oct-2026: BPA no GAAP por ADS (30 analistas), ingresos (44 analistas) [56]; MarketScreener: ingresos 1.262.229 M RMB, BPA US GAAP 54,39 RMB [57]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1.443.071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ingresos 1.443.071 M RMB; su BPA de 75,77 RMB es US GAAP y no se mezcla con el no GAAP de los otros años [57]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1.105.564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1.120.609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165.835</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1.205.064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1.262.088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204.861</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1.313.520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1.443.071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236.434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 1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1.242,00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639,90 – 1.601,20</w:t>
            </w:r>
          </w:p>
        </w:tc>
      </w:tr>
    </w:tbl>
    <w:p>
      <w:pPr>
        <w:spacing w:after="160" w:before="0"/>
      </w:pPr>
    </w:p>
    <w:p>
      <w:pPr>
        <w:pStyle w:val="Heading2"/>
      </w:pPr>
      <w:r>
        <w:t xml:space="preserve">Revisiones de estimaciones</w:t>
      </w:r>
    </w:p>
    <w:p>
      <w:pPr>
        <w:spacing w:after="100"/>
      </w:pPr>
      <w:r>
        <w:t xml:space="preserve">Las estimaciones de BPA no GAAP apenas se han movido en tres meses: FY2027e pasa de 44,81 a 44,45 RMB por ADS (−0,8 %) y FY2028e de 61,65 a 62,05 RMB (+0,6 %) [56]. El trimestre en curso (2T FY27, julio-septiembre) sube de 9,91 a 10,96 RMB. El 1T FY27 se cerró con un BPA no GAAP de 8,52 RMB por ADS, un 42 % menos que un año antes, por las pérdidas del comercio rápido y la subida de la inversión en nube [3]. El objetivo medio de 41 analistas es de 186,26 USD (1.242 RMB), con un rango de 95,96-240,13 USD [56]. MarketScreener publica el BPA en base US GAAP (44,00 RMB en FY2026, igual al diluido publicado [1]), por eso solo se usan sus ingresos.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-62,9 %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Rentabilidades del ADS en dólares, con dividendos, frente al SPY (S&amp;P 500) y al KWEB (internet chino) [55]. La caída máxima de cinco años, −62,9 %, va de noviembre de 2021 a octubre de 2022. La beta mensual de cinco años frente al S&amp;P 500 es 0,44, pero la semanal es 0,94 (cinco años) y 1,00 (dos años); frente al Hang Seng, la línea de Hong Kong (9988.HK) da 1,78 mensual y 2,07 semanal de dos años [55, 67]. La beta mensual frente al S&amp;P 500 infravalora el riesgo de una acción cuyo motor es el mercado chino. En 2026 la acción pierde un 31 %, casi igual que el KWEB (−31,9 %): el castigo es sobre todo del sector y del país, no solo de la empresa.</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 / -13,0 % / -24,4 % / -41,7 %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-44,3 % / +5,7 %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Sesión siguiente a los resultados del 1T FY27 (20-ago): BPA no GAAP de 8,52 RMB por ADS, −42 % interanual, y flujo de caja libre de −44.670 M RMB por el capex en nube de 67.678 M RMB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Colocación de 710 M de acciones nuevas a 112,70 HKD (80.000 M HKD, ≈3,7 % del capital) fijada el 23-ago y cerrada el 26-ago, para invertir en infraestructura de IA [19, 62]. Caída de la línea de Hong Kong [67].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caída de un mes en seis meses (hasta el 25-jun-2026; mínimo de 52 semanas el 26-jun, 91,99 USD) [55]. Causa concreta no documentada con fuente primaria en esta nota.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subida de un mes en seis meses (hasta el 3-ago-2026) [55]. Causa concreta no documentada con fuente primaria en esta nota.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juez federal de San José prohíbe aplicar la regla que veta al Pentágono contratar con empresas que hagan «lobby» para Alibaba; la empresa sigue en la lista 1260H, que recurre aparte. El ADS baja un 1,3 % antes de la apertura del 27-oct [75].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junta aprueba el mandato general para emitir hasta el 10 % del capital y recomprar otro 10 % [44]. Habitual en Hong Kong, pero tras la colocación de agosto deja abierta otra emisión.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colocación de 710 M de acciones nuevas a 112,70 HKD (80.000 M HKD; ≈ 3,6 % del capital) para centros de datos de IA [48, 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1T FY2027: BPA no GAAP 8,52 RMB por ADS (−42 %), flujo libre −44.670 M, capex 67.678 M (+75 %)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Joe Tsai y Eddie Wu compran ≈ 25,7 M USD en acciones; el presidente Evans y Jane Jiang venden ≈ 8,5 y 12 M USD (jun y sep) [47].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2026-06-09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Inclusión en la lista 1260H del Pentágono (empresas ligadas al ejército chino) y demanda colectiva en Nueva York (caso 1:26-cv-06654) [50, 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El ADS cae un 41,7 % en doce meses, un 24,4 % en seis y un 8,6 % en el último mes, un 21 % por debajo de su media de 200 sesiones (tendencia bajista) [55]. Los golpes documentados: la inclusión en la lista 1260H en junio, unos resultados del 1T FY2027 con el BPA no GAAP un 42 % por debajo y la colocación de 80.000 M HKD en agosto [3, 48, 50]. El fallo del 26-oct no saca a Alibaba de la lista. No hay colocación anunciada, pero el mandato del 10 % la permite. Los resultados del 2T FY2027 se esperan hacia el 24-nov (fecha estimada, sin confirmar) [76]: a más de 15 días, el contexto no obliga a esperar. Veredicto: no cambia (no hay compra que retrasar).</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Precios de cierre del ADS el último día de marzo de cada ejercicio (Yahoo [55]) pasados a RMB con el tipo de la Reserva Federal de ese día [59]. FY2026 se excluye para el PER de cierre: el BPA de ese año (26,80 RMB no GAAP; 44,00 RMB US GAAP) está hundido por las pérdidas del comercio rápido y no es representativo [1]. Con el BPA no GAAP diluido por ADS publicado, el PER de cierre pasó de 22,8 veces en FY2021 a 8,4 en FY2024; la regulación de 2021-2022 y la desaceleración del comercio cambiaron el múltiplo de forma estructural [1, 11, 12, 13].</w:t>
      </w:r>
    </w:p>
    <w:p>
      <w:pPr>
        <w:pStyle w:val="Heading1"/>
      </w:pPr>
      <w:r>
        <w:t xml:space="preserve">18. Comparables cotizados</w:t>
      </w:r>
    </w:p>
    <w:p>
      <w:pPr>
        <w:pStyle w:val="Confianza"/>
        <w:spacing w:after="100"/>
      </w:pPr>
      <w:r>
        <w:t xml:space="preserve">Confianza: Media</w:t>
      </w:r>
    </w:p>
    <w:p>
      <w:pPr>
        <w:spacing w:after="100"/>
      </w:pPr>
      <w:r>
        <w:t xml:space="preserve">Plataformas de comercio electrónico y de servicios por internet de China (PDD, JD, Meituan, Tencent, Baidu), que compiten con Alibaba por el gasto del consumidor, la publicidad, el comercio rápido y la nube, y tres plataformas extranjeras de comercio con logística o nube (Amazon, MercadoLibre, Sea). No se incluyen NetEase (juegos) ni Vipshop (demasiado pequeña). Todas las cifras salen de un solo proveedor (Yahoo Finance, 27-oct-2026), pasadas a RMB con el BCE del 26-oct [56, 58, 65]. El tipo de mercado (6,6681 RMB/USD) se usa en vez de la paridad central del CFETS (6,7162 el 26-oct [61]), que no es el tipo al que se negocia.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Alibaba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1.629.955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PDD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741.559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JD.com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227.293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Meituan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376.931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Tencent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2.948.297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Baidu</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17.915.602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MercadoLibre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UY</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564.113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Sea Limited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302.265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93.839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 / 10,0x / 15,8x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556,97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884,10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 / 13,3x / 18,8x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1.023,40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1.044.971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 / 1,2x / 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599,82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794,81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1.505,16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r>
    </w:tbl>
    <w:p>
      <w:pPr>
        <w:spacing w:after="160" w:before="0"/>
      </w:pPr>
    </w:p>
    <w:p>
      <w:pPr>
        <w:spacing w:after="100"/>
      </w:pPr>
      <w:r>
        <w:t xml:space="preserve">La mediana del PER de los próximos 12 meses es de 13,3x (10,9x solo las chinas: PDD 6,5x, JD 6,5x, Tencent 10,9x, Baidu 11,5x, Meituan 17,4x; Amazon 22,8x, MercadoLibre 31,6x, Sea 15,1x) [65]. Alibaba cotiza a 16,4x nuestro BPA no GAAP de FY2027e (15,0x el del consenso): por encima de las chinas por la nube, que crece al 45 %, y por debajo de Amazon. Usamos la mediana con peso del 20 %; no hay EBITDA homogéneo de los comparables.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Crecimiento del 8 % en FY2027 y del 9 % en FY2028-29, bajando al 3,5 % en FY2034. El 1T FY2027 creció un 9 % con la nube al +45 % y el comercio rápido al +45 %, y el comercio electrónico chino a la baja por las subvenciones contabilizadas como menor ingreso [3]. El consenso es más alto (+9,5 %, +12,6 % y +14,3 % en FY2027-29 [56, 57]). Rebajamos un punto todos los años frente al primer cálculo porque la prueba de sostenibilidad no pasa. Mercado: ventas en línea de bienes físicos en China +3,8 % en 2026 y nube china +26 % [21, 28].</w:t>
      </w:r>
    </w:p>
    <w:p>
      <w:pPr>
        <w:keepNext/>
        <w:spacing w:after="100"/>
      </w:pPr>
      <w:r>
        <w:rPr>
          <w:b/>
          <w:bCs/>
        </w:rPr>
        <w:t xml:space="preserve">Márgenes.</w:t>
      </w:r>
    </w:p>
    <w:p>
      <w:pPr>
        <w:spacing w:after="100"/>
      </w:pPr>
      <w:r>
        <w:t xml:space="preserve">Margen EBITDA (después de pagos en acciones, sin deterioros) del 9,8 % en FY2026; sube al 15 % en FY2027, 17 % en FY2028, 18 % en FY2029 y se queda en el 19 %. En FY2024-25 fue del 16,8-18,4 % en la misma base [1, 7]. No suponemos más: la nube tiene un margen EBITA del 12 % (Taobao/Tmall rondaba el 40 % antes de la guerra de subvenciones) y el comercio rápido no gana dinero hasta FY2029 según la empresa [3, 16].</w:t>
      </w:r>
    </w:p>
    <w:p>
      <w:pPr>
        <w:keepNext/>
        <w:spacing w:after="100"/>
      </w:pPr>
      <w:r>
        <w:rPr>
          <w:b/>
          <w:bCs/>
        </w:rPr>
        <w:t xml:space="preserve">Inversión y circulante.</w:t>
      </w:r>
    </w:p>
    <w:p>
      <w:pPr>
        <w:spacing w:after="100"/>
      </w:pPr>
      <w:r>
        <w:t xml:space="preserve">Capex del 22 % de las ventas en FY2027 (el 1T ya llevó 67.678 M, el 25 % de sus ventas [3]), 16 % en FY2028, 12 % en FY2029 y 7 % al final, por encima de una amortización que sube del 3,9 % de FY2026 al 7,5 % por los servidores de IA. Circulante negativo (−29,8 % de las ventas en FY2026 por los cobros antes de pagar a comercios [1]) que converge a −25 %.</w:t>
      </w:r>
    </w:p>
    <w:p>
      <w:pPr>
        <w:keepNext/>
        <w:spacing w:after="100"/>
      </w:pPr>
      <w:r>
        <w:rPr>
          <w:b/>
          <w:bCs/>
        </w:rPr>
        <w:t xml:space="preserve">Coste del capital.</w:t>
      </w:r>
    </w:p>
    <w:p>
      <w:pPr>
        <w:spacing w:after="100"/>
      </w:pPr>
      <w:r>
        <w:t xml:space="preserve">Flujos en RMB: tasa libre del bono chino a 10 años, 1,63 % (ChinaBond, 27-oct [60]); beta 1,0 (semanal de 2 y 5 años 0,94-1,00 [55]); prima de mercado del 5,5 %; prima adicional del 2,0 % (0,3 de país que el bono local no recoge + 1,7 de VIE y lista 1260H). Coste de los fondos propios del 9,13 %, deuda al 3 % con peso del 12 %: WACC del 8,32 %. Con la prima implícita del mercado (4,2 % [66]), el WACC baja al 7,2 %.</w:t>
      </w:r>
    </w:p>
    <w:p>
      <w:pPr>
        <w:keepNext/>
        <w:spacing w:after="100"/>
      </w:pPr>
      <w:r>
        <w:rPr>
          <w:b/>
          <w:bCs/>
        </w:rPr>
        <w:t xml:space="preserve">Valor terminal.</w:t>
      </w:r>
    </w:p>
    <w:p>
      <w:pPr>
        <w:spacing w:after="100"/>
      </w:pPr>
      <w:r>
        <w:t xml:space="preserve">Gordon con crecimiento del 1,1 %, por debajo de la tasa libre menos medio punto, como pide la coherencia de divisa, y en línea con la inflación esperada en China. El valor terminal pesa un 72 %; implica 8x el EBITDA.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1.105.564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1.205.064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1.313.520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236.434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1.405.467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1.489.795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1.564.284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1.626.856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309.103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1.683.796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319.921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114.498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117.866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175.206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100.650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2.452.552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3.199.212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515.016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1.354.669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1.869.685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460.378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2.538.038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1.040,90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0,1 %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0,6 %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1,1 %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1,6 %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2,1 %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931,82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963,73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1.000,06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1.264,14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1.356,24</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303.811 M (30 %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(ROIC 4,6 %)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 frente al 6,4 %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En parte: el capital nuevo tendría que rendir más de 1,25 veces el histórico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38,9 % (histórico: -0,2 %)</w:t>
            </w:r>
          </w:p>
        </w:tc>
      </w:tr>
    </w:tbl>
    <w:p>
      <w:pPr>
        <w:spacing w:after="160" w:before="0"/>
      </w:pPr>
    </w:p>
    <w:p>
      <w:pPr>
        <w:spacing w:after="100"/>
      </w:pPr>
      <w:r>
        <w:t xml:space="preserve">La proyección reinvierte el 30 % del NOPAT. Con el ROIC del último ejercicio (4,6 %), eso financia un crecimiento del 1,4 % anual, frente al 6,4 % de ingresos proyectado. Supone que el capital nuevo rinde un 38,9 %, frente a un ROIC incremental histórico del -0,2 %.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nube (+45 %) y comercio rápido (+45 %) [3]; precio: subidas de la nube; el comercio electrónico chino, casi plano por las subvenciones.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sigue por encima del 25 % (mercado +26 % [28]); el comercio electrónico con el consumo (≈ +4 %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el comercio rápido deja de subvencionar (rentable en FY2029 según la empresa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más madura y comercio electrónico con el consumo chino.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Convergencia al crecimiento nominal de China más la nube.</w:t>
            </w:r>
          </w:p>
        </w:tc>
      </w:tr>
    </w:tbl>
    <w:p>
      <w:pPr>
        <w:spacing w:after="160" w:before="0"/>
      </w:pPr>
    </w:p>
    <w:p>
      <w:pPr>
        <w:spacing w:after="100"/>
      </w:pPr>
      <w:r>
        <w:t xml:space="preserve">En parte. Taobao y Tmall siguen teniendo efectos de red (31 % del volumen de comercio electrónico chino frente a 24 % de Douyin y 19 % de PDD, estimación de Goldman [32]) y la nube es la primera de China con un 37 % de cuota [28]. Pero la prueba del motor falla: con el ROIC de FY2026 (4,6 %) la reinversión solo financia un 1,4 % de crecimiento frente al 6,4 % proyectado. Ese ROIC es el de un año de inversión extraordinaria y el capital del motor incluye ≈ 657.000 M de participadas y valores; casi todo el aumento del beneficio es recuperación de margen. Rebajamos un punto el crecimiento de todos los años y el margen final al 19 %. El ROIC sigue por debajo del WACC hasta que la IA rinda.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0,1 % (base: 6,4 %)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13,6 % (base: 19,0 %)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13,6 % (WACC: 8,3 %)</w:t>
            </w:r>
          </w:p>
        </w:tc>
      </w:tr>
    </w:tbl>
    <w:p>
      <w:pPr>
        <w:spacing w:after="160" w:before="0"/>
      </w:pPr>
    </w:p>
    <w:p>
      <w:pPr>
        <w:spacing w:after="100"/>
      </w:pPr>
      <w:r>
        <w:t xml:space="preserve">El DCF da 1.040,90 RMB por ADS (156,10 USD), un 55,7 % sobre el precio, con un WACC del 8,32 % y un valor terminal del 72 %. El DCF inverso dice que el precio descuenta un crecimiento de solo el 0,1 % anual en FY2027-34 con nuestro margen del 19 %, o un margen del 13,6 % con nuestro crecimiento: el mercado no paga casi nada por la recuperación. Pesa mucho el puente: 474.505 M de caja y tesorería, 457.417 M de participadas y valores (Ant Group incluida) a valor contable y 266.530 M de deuda [1, 3]; no recoge la caja consumida en julio-septiembre (con el capex del 1T, ≈ 17-20 RMB por ADS menos). La duda no es el crecimiento sino el margen y la caja libre, hoy negativa.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611,23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guerra del comercio rápido dura más allá de FY2029, PDD y Douyin siguen quitando cuota, la nube crece con márgenes bajos por Huawei y ByteDance, y la tensión con EE. UU. (lista 1260H) sube la prima de riesgo: 3 puntos menos de crecimiento y de margen y 1 punto más de WACC. Ya pasó en 2021-22.</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1.040,90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y el comercio rápido crecen al 25-45 % dos años, el comercio rápido deja de perder en FY2029 y el margen EBITDA vuelve al 19 % con el capex en el 7 % de las ventas.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1.356,24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de Alibaba (Qwen, chips propios) gana cuota y precio en la nube, el comercio rápido se consolida antes y el consumo chino se recupera con estímulos: 2 puntos más de crecimiento y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CNY) · precio actual 668,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975,07 CNY (+45,9 %).</w:t>
      </w:r>
    </w:p>
    <w:p>
      <w:pPr>
        <w:spacing w:after="100"/>
      </w:pPr>
      <w:r>
        <w:t xml:space="preserve">En el DCF, el bajista pierde un 8,6 % y el alcista gana un 102,9 %: asimetría muy favorable a largo plazo, porque la caja y las participadas sostienen el suelo. A 12 meses es al revés: con la regla común de múltiplos el bajista pierde un 57 % (8,0x, el mínimo de FY2024) y la ponderada solo da +9,0 %. La diferencia entre las dos lecturas es el múltiplo que el mercado pagará en un año.</w:t>
      </w:r>
    </w:p>
    <w:p>
      <w:pPr>
        <w:pStyle w:val="Heading1"/>
      </w:pPr>
      <w:r>
        <w:t xml:space="preserve">22. Suma de partes</w:t>
      </w:r>
    </w:p>
    <w:p>
      <w:pPr>
        <w:pStyle w:val="Confianza"/>
        <w:spacing w:after="100"/>
      </w:pPr>
      <w:r>
        <w:t xml:space="preserve">Confianza: Media</w:t>
      </w:r>
    </w:p>
    <w:p>
      <w:pPr>
        <w:spacing w:after="100"/>
      </w:pPr>
      <w:r>
        <w:t xml:space="preserve">No se hace: solo hay dos ejercicios de segmentos en la estructura del 20-F y la de este año cambió otra vez [1, 3]. Ant Group (33 %) y los valores estratégicos van a valor contable en el puente.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CNY) · precio actual 668,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975,07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1.210,98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668,48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671,82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975,07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958,16 CNY (+43,3 % sobre 668,48).</w:t>
      </w:r>
    </w:p>
    <w:p>
      <w:pPr>
        <w:spacing w:after="100"/>
      </w:pPr>
      <w:r>
        <w:t xml:space="preserve">DCF 50 %, escenarios 30 % y comparables 20 %. El DCF es el método más útil porque el beneficio de hoy no es representativo, pero depende de un margen que aún no se ve (19 %). Los comparables (solo PER) dan 535-1.023 RMB. El valor intrínseco ponderado es de 958,16 RMB (143,69 USD), +43,3 %; con la prima implícita del mercado, 1.089,25 RMB. Puente de la nota D a 30-jun-2026: la caja y tesorería líquida que define la empresa, deuda con convertibles y canjeables, participadas y valores estratégicos a valor contable y la colocación de agosto [1, 3, 62].</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288,00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(16.4x) ÷ 1.1 (tope: la mediana de 5 años, 12x,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773,31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1.240,20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+86,6 %</w:t>
            </w:r>
          </w:p>
        </w:tc>
      </w:tr>
    </w:tbl>
    <w:p>
      <w:pPr>
        <w:spacing w:after="160" w:before="0"/>
      </w:pPr>
    </w:p>
    <w:p>
      <w:pPr>
        <w:spacing w:after="100"/>
      </w:pPr>
      <w:r>
        <w:rPr>
          <w:b/>
          <w:bCs/>
        </w:rPr>
        <w:t xml:space="preserve">Objetivo a 12 meses (ponderado):</w:t>
      </w:r>
      <w:r>
        <w:t xml:space="preserve"> 721,10 CNY (108,14 USD) · rentabilidad +9,0 % (base +16,8 %) · señal Mantener.</w:t>
      </w:r>
    </w:p>
    <w:p>
      <w:pPr>
        <w:spacing w:after="100"/>
      </w:pPr>
      <w:r>
        <w:t xml:space="preserve">Para comparar, con la regla v2 (historia al cierre, mismo precio): 8,4x / 13,0x / 16,9x, -2,7 % Mantener; con el tope anterior del base (×1,3, 14-oct mediodía): 4,3 %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no GAAP queda por debajo del consenso: FY2027e 40,7 frente a 44,45 RMB (−8 %) y FY2028e 46,8 frente a 62,05 (−25 %) [56]. La diferencia es la amortización: suponemos que el capex de IA (≈ 243.000 M en FY2027) se amortiza en 5-6 años y sube la amortización del 3,9 % al 7,5 % de las ventas, y un margen final del 19 %. El objetivo medio de 41 analistas (1.242 RMB, 186 USD) equivale a ≈ 20x el BPA de FY2028e del consenso; la regla común no paga más de ≈ 15x porque la historia limpia FY2022-24 está en 8-13x.</w:t>
      </w:r>
    </w:p>
    <w:p>
      <w:pPr>
        <w:keepNext/>
        <w:spacing w:after="100"/>
      </w:pPr>
      <w:r>
        <w:rPr>
          <w:b/>
          <w:bCs/>
        </w:rPr>
        <w:t xml:space="preserve">Del valor intrínseco al objetivo a 12 meses.</w:t>
      </w:r>
    </w:p>
    <w:p>
      <w:pPr>
        <w:spacing w:after="100"/>
      </w:pPr>
      <w:r>
        <w:t xml:space="preserve">El valor intrínseco (958,16 RMB, 143,69 USD) queda un 33 % por encima del objetivo a 12 meses ponderado (721,10 RMB, 108,14 USD). El DCF dice que la acción está barata si el margen vuelve; la regla a 12 meses, que en un año el mercado probablemente no pagará más de 15x a un grupo con caja libre negativa, dilución y riesgo 1260H. Catalizadores: 2T FY2027 (≈ 24-nov) y 3T FY2027 (feb-2027), que deberían mostrar el suelo del EBITA.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24-nov-2026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FY2027 (julio-septiembre; fecha estimada)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tras la colocación; debe mostrar si el EBITA ajustado toca fondo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 contra la inclusión en la lista 1260H</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Salir de la lista bajaría la prima de riesgo del ADS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FY2027 (Singles Day)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CMR comparable y de la nube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Mandato de emisión del 10 % aprobado en septiembre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Otra colocación diluiría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FY2027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libre del año y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inversión en IA no rinde (&gt; 380.000 M RMB)</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−41 % sobre el valor intrínseco (bajista del DCF frente al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+45 % con margen EBITA del 12 %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EBITA de la nube &lt; 10 % o crecimiento &lt; 25 %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Guerra del comercio rápido más larga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 −25 %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Meituan vuelve al beneficio en el 2T26 y JD reduce pérdidas [35, 37]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EBITA de Alibaba E-commerce que no mejora en el 2T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 lista 1260H, veto a inversores de EE. UU. o exclusión de la cotización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a −40 % en el ADS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Cotización primaria en Hong Kong; fallo favorable del 26-oct</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Ley u orden que afecte a los inversores en empresas 1260H</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Estructura VIE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Jurídico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Hasta −100 %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Aceptada de hecho por el regulador chino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de la CSRC sobre VIE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frente a PDD y Douyin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del CMR y comercio rápido integrado en Taobao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CMR comparable &lt; 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Más dilución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por colocación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tesorería de 474.505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Uso del mandato del 10 % o convertibles nuevos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Consumo chino débil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Estímulos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en línea &lt; 3 % [21]</w:t>
            </w:r>
          </w:p>
        </w:tc>
      </w:tr>
    </w:tbl>
    <w:p>
      <w:pPr>
        <w:spacing w:after="160" w:before="0"/>
      </w:pPr>
    </w:p>
    <w:p>
      <w:pPr>
        <w:pStyle w:val="Heading2"/>
      </w:pPr>
      <w:r>
        <w:t xml:space="preserve">Pre-mortem</w:t>
      </w:r>
    </w:p>
    <w:p>
      <w:pPr>
        <w:spacing w:after="100"/>
      </w:pPr>
      <w:r>
        <w:t xml:space="preserve">Octubre de 2029: el ADS cotiza a 60 USD. La nube creció, pero Huawei y ByteDance hundieron los precios de la IA y los centros de datos se amortizaron a un ritmo que se comió el beneficio: el margen EBITDA del grupo no pasó del 14 %. El comercio rápido no fue rentable en FY2029 y Taobao siguió perdiendo cuota frente a Douyin. La caja libre siguió negativa, la empresa usó el mandato del 10 % y en 2027 EE. UU. limitó la inversión en empresas de la lista 1260H. Las señales estaban en el 1T FY2027: −44.670 M de caja libre, −13.861 M de EBITA en IA y una colocación tres días después.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BBB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HSI / HKQAA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r>
    </w:tbl>
    <w:p>
      <w:pPr>
        <w:spacing w:after="160" w:before="0"/>
      </w:pPr>
    </w:p>
    <w:p>
      <w:pPr>
        <w:pStyle w:val="Heading2"/>
      </w:pPr>
      <w:r>
        <w:t xml:space="preserve">Asuntos materiales</w:t>
      </w:r>
    </w:p>
    <w:p>
      <w:pPr>
        <w:spacing w:after="100"/>
      </w:pPr>
      <w:r>
        <w:t xml:space="preserve">Tres asuntos afectan a las cifras. </w:t>
      </w:r>
      <w:r>
        <w:rPr>
          <w:b/>
        </w:rPr>
        <w:t xml:space="preserve">Energía de los centros de datos</w:t>
      </w:r>
      <w:r>
        <w:t xml:space="preserve">: el plan de IA multiplica el consumo; Alibaba se compromete a la neutralidad de carbono en sus operaciones en 2030 y en el ejercicio 2026 sus emisiones netas de alcance 1 y 2 fueron de 2,296 millones de t, un 4,6 % menos, con un PUE medio de 1,187 en sus centros propios [20]. </w:t>
      </w:r>
      <w:r>
        <w:rPr>
          <w:b/>
        </w:rPr>
        <w:t xml:space="preserve">Condiciones de los repartidores</w:t>
      </w:r>
      <w:r>
        <w:t xml:space="preserve">: el 20-F cita el salario mínimo y la seguridad social de los repartidores como riesgo de coste [1]. </w:t>
      </w:r>
      <w:r>
        <w:rPr>
          <w:b/>
        </w:rPr>
        <w:t xml:space="preserve">Cumplimiento y seguridad de producto en plataformas</w:t>
      </w:r>
      <w:r>
        <w:t xml:space="preserve">: la Comisión Europea multó a AliExpress con 550 M EUR por la Ley de Servicios Digitales [3]. Las calificaciones son las que publica la empresa, sin fecha de emisión (fecha de consulta) [42].</w:t>
      </w:r>
    </w:p>
    <w:p>
      <w:pPr>
        <w:pStyle w:val="Heading2"/>
      </w:pPr>
      <w:r>
        <w:t xml:space="preserve">Controversias</w:t>
      </w:r>
    </w:p>
    <w:p>
      <w:pPr>
        <w:spacing w:after="100"/>
      </w:pPr>
      <w:r>
        <w:t xml:space="preserve">Agosto de 2026: provisión de 550 M EUR por la multa de la Comisión Europea a AliExpress por la Ley de Servicios Digitales [3]. Desde principios de 2026: examen de la SAMR a las plataformas de comercio rápido, Alibaba incluida, por subvenciones y guerra de precios, con posibles multas [1]; en enero de 2026, evaluación del comité antimonopolio del Consejo de Estado sobre el reparto de comida [40]. Julio de 2023: multa de 7.070 M RMB a Ant Group, participada, que redujo el resultado por puesta en equivalencia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Comercio rápido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pierde hoy el comercio rápido por pedido y qué hipótesis hay detrás de la rentabilidad en FY2029?</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causa principal de la caída del EBITA de comercio electrónico (−44 % en FY2026).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y margen de la nube supone el plan de inversión para pagarse en tres años, y cuánto más de 380.000 M RMB se invertirá?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ese dato el capex es un acto de fe.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usará el mandato de emisión del 10 %? ¿Cuándo vuelven las recompras (19.050 M USD sin usar)?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Dilución frente a devolución de caja.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 Group</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plan hay para el 33 % de Ant (salida a bolsa, venta)?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Está a valor contable en el puente.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Geopolítica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pasa con el recurso contra la lista 1260H y con el ADS si EE. UU. limita a los inversores?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binario sobre el ADS.</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Guba de Eastmoney (foro de 阿里巴巴-W, 09988.HK)</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Capitulación del pequeño inversor del Southbound: mensajes de pérdidas diarias, «史诗级狂跌», «港股废了» y peticiones de que la empresa recompre en vez de emitir; los pocos alcistas se agarran a la IA de pila completa (chips propios, Qwen) y al fallo judicial contra el Pentágono [69].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Guba de Eastmoney (días de la colocación y de los resultados)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hilos más comentados del 24-25 de agosto son de enfado con la colocación de 80.000 M HKD («败光我的好感», «向股东伸手»), con la guerra del reparto a domicilio y con las adquisiciones fallidas (Sun Art, Intime); una minoría defiende que el cómputo es «una renta que cobra 24 horas» [70].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($BABA)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Etiquetas casi empatadas (60 alcistas, 50 bajistas, el resto sin etiqueta), pero el ruido bajista lo ponen pocas cuentas que repiten «trampa de valor»; los alcistas razonados hacen suma de partes (la nube «gratis» con la caja neta) y operan opciones de compra a noviembre con el nivel de 100 USD como soporte [68].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Reddit (r/stocks)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hilos con análisis: uno lee que el mercado fija el precio justo en el de la colocación y que la inversión en cómputo se paga «a coste, no con prima»; otro alerta de las ventas en bloque ligadas a la persecución fiscal de los fideicomisos offshore de los fundadores [71, 72].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colaboradores)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titulares, conviven tesis alcistas (la nube «de un billón de RMB», el silicio propio, un 2T con mejora de margen en la nube) con «The Bulls Are Trapped» y la petición de revalorizar a la baja la participación en Ant [73].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LIHKG (财经台 y 时事台, Hong Kong)</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hilo de la colocación reúne 119 respuestas y una votación de 82 negativos frente a 16 positivos; en octubre el debate gira a la compra masiva de GPU de Nvidia y a un indicador técnico «sin tendencia» [74].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colocación de agosto y la falta de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en el hecho: 710 M de acciones nuevas (≈3,7 % del capital) a 112,70 HKD rompen cinco años de recompras, y la acción cotiza hoy por debajo de ese precio, con los compradores de la colocación en pérdidas. Exageran en el «robo»: la caja neta sigue siendo grande y la emisión financia inversión, no pérdidas [68, 69, 70, 71, 74].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y la nube como valor que el precio no recoge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es el segmento que más crece y mejora margen según el 1T FY2027, pero la inversión ha llevado la caja libre del trimestre a −44.670 M RMB; la tesis de «nube gratis» depende de que esa inversión rinda, sin cifras de retorno publicadas. A eso se suma la noticia de Cohere sobre Qwen, que toca a la confianza fuera de China [68, 73].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Comercio rápido, Meituan y Douyin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confirman en lo grueso: el EBITA de comercio electrónico cayó un 44 % en FY2026 por las subvenciones y la empresa no espera beneficio en comercio rápido antes de FY2029. La afirmación de foro de que el GMV de Douyin ya supera al de Taobao no se ha verificado y no se usa [69, 70].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 de Hong Kong y falta de estímulos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 la caída es del mercado: el Hang Seng Tech está en mínimos de dos años según los propios foros; hay que separarla con la sección de bolsa. Llama la atención que los mismos foros recojan compras netas del Southbound en Alibaba en días de caída: el dinero institucional chino compra mientras el particular capitula [68, 69].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de EE. UU.: lista 1260H y exclusión de bolsa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la lista del Pentágono en junio de 2026; el 27 de octubre circula en los foros la noticia de un fallo judicial a su favor, y aun así la acción bajó en preapertura: el mercado no lo trata como el factor principal. El fallo debe comprobarse en su fuente antes de usarlo [68, 69, 74].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Ant y los fideicomisos de los fundadores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que el análisis no recogía: una persecución fiscal de los fideicomisos offshore podría forzar ventas en bloque de accionistas fundadores. No hay dato de que afecte a Alibaba; queda como pregunta para la sección de gobierno [72, 73].</w:t>
            </w:r>
          </w:p>
        </w:tc>
      </w:tr>
    </w:tbl>
    <w:p>
      <w:pPr>
        <w:spacing w:after="160" w:before="0"/>
      </w:pPr>
    </w:p>
    <w:p>
      <w:pPr>
        <w:spacing w:after="100"/>
      </w:pPr>
      <w:r>
        <w:t xml:space="preserve">El sentimiento del particular es de capitulación, sobre todo en los foros chinos y de Hong Kong: el tono ha pasado de dividido en octubre a negativo, con pérdidas confesadas, insultos a la dirección y apuestas a nuevas caídas hacia la zona de 80-90 (en USD o HKD según el foro). Contradice a los analistas, que siguen en compra, y coincide con compras del Southbound institucional: es el patrón de suelo emocional, no una prueba de suelo en precio. Los foros aciertan en dos cosas que el informe debe pesar: la colocación rompió la confianza en la asignación de capital y la caja libre negativa hace que la tesis dependa del retorno de la IA. Aportan un riesgo nuevo, el fiscal de los fideicomisos de los fundadores. Catalizador vigilado: resultados del 2T FY2027 en noviembre.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29 controles correctos y 9 explicados. Fuentes: 76 (43 primarias); citas distintas en el texto: 74.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5.903 (¿operaciones interrumpidas?). Explicación: En US GAAP Alibaba presenta el resultado de las participadas por el método de la participación (Ant Group y otras) DESPUÉS del impuesto, así que BAI − impuestos − minoritarios no cuadra con el beneficio atribuido por esa partida (−5.097 M en FY2026); no es un error de datos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-6.714 (¿operaciones interrumpidas?). Explicación: En US GAAP Alibaba presenta el resultado de las participadas por el método de la participación (Ant Group y otras) DESPUÉS del impuesto, así que BAI − impuestos − minoritarios no cuadra con el beneficio atribuido por esa partida (−5.097 M en FY2026); no es un error de datos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BAI − impuestos − minoritarios = beneficio neto (FY2022)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-14.054 (¿operaciones interrumpidas?). Explicación: En US GAAP Alibaba presenta el resultado de las participadas por el método de la participación (Ant Group y otras) DESPUÉS del impuesto, así que BAI − impuestos − minoritarios no cuadra con el beneficio atribuido por esa partida (−5.097 M en FY2026); no es un error de datos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BAI − impuestos − minoritarios = beneficio neto (FY2023)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8.337 (¿operaciones interrumpidas?). Explicación: En US GAAP Alibaba presenta el resultado de las participadas por el método de la participación (Ant Group y otras) DESPUÉS del impuesto, así que BAI − impuestos − minoritarios no cuadra con el beneficio atribuido por esa partida (−5.097 M en FY2026); no es un error de datos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BAI − impuestos − minoritarios = beneficio neto (FY2024)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8.003 (¿operaciones interrumpidas?). Explicación: En US GAAP Alibaba presenta el resultado de las participadas por el método de la participación (Ant Group y otras) DESPUÉS del impuesto, así que BAI − impuestos − minoritarios no cuadra con el beneficio atribuido por esa partida (−5.097 M en FY2026); no es un error de datos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BAI − impuestos − minoritarios = beneficio neto (FY2025)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-5.327 (¿operaciones interrumpidas?). Explicación: En US GAAP Alibaba presenta el resultado de las participadas por el método de la participación (Ant Group y otras) DESPUÉS del impuesto, así que BAI − impuestos − minoritarios no cuadra con el beneficio atribuido por esa partida (−5.097 M en FY2026); no es un error de datos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BAI − impuestos − minoritarios = beneficio neto (FY2026)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-5.097 (¿operaciones interrumpidas?). Explicación: En US GAAP Alibaba presenta el resultado de las participadas por el método de la participación (Ant Group y otras) DESPUÉS del impuesto, así que BAI − impuestos − minoritarios no cuadra con el beneficio atribuido por esa partida (−5.097 M en FY2026); no es un error de datos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«En parte» (el capital nuevo tendría que rendir más de 1,25 veces el histórico):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38,9 % frente a un ROIC de 4,6 % y un incremental histórico de -0,2 %: crecimiento que la empresa no ha demostrado poder comprar. Explicación: El ROIC de FY2026 (4,6 %) es el de un año de inversión extraordinaria en comercio rápido y captación de usuarios de Qwen, y el capital invertido del motor incluye ≈ 657.000 M RMB de participadas y valores que no dan EBIT [1]. Casi todo el aumento del NOPAT proyectado es la vuelta del margen hacia el de FY2024-25 (EBITDA recurrente 16,8-18,4 %), no rendimiento del capital nuevo. Aun así rebajamos un punto el crecimiento de todos los años y el margen final se queda en el 19 % (el 14-oct suponía 21 %). Veredicto «En parte».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-29,8 % frente a -29,8 % real: genera una variación de circulante de -24.494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Tres búsquedas registradas (sentimiento · Xueqiu (雪球))</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hueco debe documentar tres intentos distintos antes de desistir. Explicación: Xueqiu bloquea el acceso automático (cortafuegos de Aliyun); se sustituyó por Guba de Eastmoney y LIHKG [69, 70, 74].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 fuentes (43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63, 64.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Agregador</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de la empresa (no dan consenso); 2) transcripciones de las conferencias del 4T FY2026 y 1T FY2027 (no lo mencionan); 3) sin fuente primaria de consenso previo por trimestre en el tiempo disponible (lo cubre el subagente de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crecimiento_pct de 2T25 y 3T25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del 2T y 3T FY2026 (solo dan el trimestre comparable, no su crecimiento); 2) XBRL anual (no trae trimestres); 3) no se descargaron los comunicados de FY2025 trimestrales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existencias FY2021 y FY2024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XBRL companyfacts (no etiqueta InventoryNet); 2) notas de «prepayments, receivables and other assets» de los 20-F de FY2020, FY2023 y FY2026 (dan FY2019-20, FY2022-23 y FY2025-26); 3) no se descargaron los 20-F de FY2022 y FY2025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y 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FY2026, notas 21-24 (no dan rating ni vida media); 2) comunicados de resultados; 3) cálculo a partir del calendario: el 54 % vence después de FY2031, pero sin vida media ponderada exacta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rating lo cubre otro subagente)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con cinco ejercicios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FY2026 y comunicado de FY2026 (estructura de FY2026 con FY2025 reexpresado); 2) comunicado de FY2025 (estructura anterior: Taobao y Tmall, Cainiao, Local Services, DME); 3) comunicado del 1T FY2027 (estructura nueva de cuatro segmentos, solo 1T FY2026 reexpresado)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FY2025-FY2026 en la estructura del 20-F; el 1T con la nueva estructura aparte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FY2026 (no desglosa ingresos por país); 2) nota de segmentos (solo por negocio); 3) estimación con el peso de AIDC en los ingresos de los segmentos antes de eliminaciones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tcac_previsto_pct (comercio electrónico de bienes físicos en China)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NBS: solo publica datos pasados; 2) búsqueda de previsiones de consultoras (eMarketer, Analysys): sin documento abierto; 3) derivarlo: solo hay previsión oficial para el comercio rápido (12,6 % anual 2026-30, Ministerio de Comercio) y para la nube (+26 % en 2026, Omdia), citadas en drivers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las plataformas: no publican GMV homogéneo; 2) estimación de Goldman Sachs del 4T25 vía prensa: Taotian 31 %, Douyin 24 %, PDD 19 %, JD 16 % (suma 90 % de cuatro, sin el quinto); 3) Kuaishou sin cuota encontrada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estructura «Concentrada» se apoya en el CR4 estimado del 90 % citado en Porter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Alibaba y Meituan en comercio rápido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resultados de Alibaba (solo «mantiene la cuota»); 2) resultados de Meituan y JD (no publican cuota); 3) prensa: solo estimaciones sin fuente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comportamiento del sector en 2008-09 y 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NBS 2021-2025 consultada; 2) no se descargaron 2008-2020; 3) sin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remuneracion_ceo.ratio_salario_medio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FY2026, Item 6.D (plantilla de 131.462 empleados, sin gasto de personal total); 2) informe anual de Hong Kong FY2026 (sin gasto de personal agregado); 3) derivarlo de las cuentas (el gasto de personal está repartido entre coste de ventas, desarrollo, ventas y administración y no se publica sumado)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voto_remuneracion_pct / voto_remuneracion_contra_pct (no hay voto consultivo sobre la retribución)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actas de las juntas de 2024, 2025 y 2026: no hay voto de retribución (islas Caimán); 2) se toma el único voto relacionado, el plan de acciones de 2024 (95,0 % a favor y 4,8 % en contra; sublímite 93,2 % y 6,6 %); 3) voto libre estimado restando los ADS que vota el depositario sin instrucciones (363 M × 8 acciones): 959,3 M en contra sobre 11.608,6 M de acciones = 8,3 %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de FY2023 a FY2026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resultados anuales de FY2022 y FY2026 (en mayo de 2022 deja de dar guía; FY2026 sin guía numérica); 2) resultados del 1T FY2027 (sin guía); 3) compromiso de inversión de 380.000 M RMB (febrero de 2025), incluido como única guía cuantitativa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empresa no da guía anual desde FY2023</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nombramiento de Fan Jiang como consejero delegado de Alibaba E-commerce Business Group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FY2026, Item 6.A (dice «currently», sin fecha); 2) informe anual de Hong Kong FY2026 (mismo texto); 3) no se ha buscado en prensa para no gastar búsquedas compartidas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entera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desinversiones propias en el 20-F FY2026 (Sun Art, Intime): precio de venta sin EBITDA ni ventas del perímetro vendido; 2) ofertas de plataformas de comercio y reparto (Prosus sobre Just Eat Takeaway, 2025: 20,30 EUR por acción, prima del 63 % sobre el cierre del 21-feb-2025, según el comunicado conjunto; sin múltiplo publicado en el comunicado); 3) prensa de operaciones chinas con múltiplo: no se encontró ninguna con EV/ventas o EV/EBITDA oficial dentro del tiempo de la nota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roic_pct y ev_ebitda_ntm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no da EBITDA de consenso ni ROIC; 2) MarketScreener: el EBITDA de consenso de las chinas puede incluir ganancias financieras (lecciones de China); 3) Stock Analysis no se consultó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no GAAP FY2029e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earningsTrend solo llega a FY2028; 2) MarketScreener da 75,77 RMB pero en US GAAP; 3) no hay otra fuente gratuita con el no GAAP de FY2029</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causa de los movimientos de junio y de julio-agosto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6-K de esos meses (sin hecho relevante que lo explique); 2) movimiento.mjs solo da la magnitud; 3) sin búsqueda de prensa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Xueqiu (雪球)</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09988 (WAF de Aliyun); 2) API de búsqueda de estados con cookie de la portada (devuelve el reto del WAF)</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Comentarios de Seeking Alpha y texto de los hilos de LIHKG y Reddit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artículos de Seeking Alpha (403 con captcha); 2) API de hilos de LIHKG (success 0); 3) RSS de comentarios de Reddit (429)</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usan titulares, votos y cuerpos de las entradas; tono por titulares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de mercado de Ant Group y de los valores estratégicos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FY2026 (nota de inversiones); 2) prensa sobre la valoración de Ant; 3) cotizaciones de las participadas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valor contable en el puente</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Alibaba Group, Form 20-F del ejercicio cerrado el 31-mar-2026 (estados financieros auditados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Alibaba Group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https://www.sec.gov/Archives/edgar/data/1577552/000119312526231755/baba-20260331.htm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Alibaba Group Announces March Quarter 2026 and Fiscal Year 2026 Results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Alibaba Group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https://www.sec.gov/Archives/edgar/data/1577552/000110465926060224/tm2614494d1_ex99-1.htm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Announces June Quarter 2026 Results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https://www.sec.gov/Archives/edgar/data/1577552/000110465926099220/tm2623667d1_ex99-1.htm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Announces December Quarter 2025 Results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https://www.sec.gov/Archives/edgar/data/1577552/000110465926032060/tm269353d1_ex99-1.htm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Announces September Quarter 2025 Results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https://www.sec.gov/Archives/edgar/data/1577552/000110465925115949/tm2532163d1_ex99-1.htm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Announces June Quarter 2025 Results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https://www.sec.gov/Archives/edgar/data/1577552/000110465925085638/tm2524743d1_ex99-1.htm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Announces March Quarter 2025 and Fiscal Year 2025 Results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https://www.sec.gov/Archives/edgar/data/1577552/000110465925049400/tm2515233d1_ex99-1.htm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Announces March Quarter 2024 and Fiscal Year 2024 Results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https://www.sec.gov/Archives/edgar/data/1577552/000110465924061145/tm2414429d1_ex99-1.htm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Announces March Quarter and Full Fiscal Year 2023 Results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https://www.sec.gov/Archives/edgar/data/1577552/000110465923062243/tm2316208d1_ex99-1.htm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Announces March Quarter and Full Fiscal Year 2022 Results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https://www.sec.gov/Archives/edgar/data/1577552/000110465922065269/tm2217018d1_ex99-1.htm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Announces March Quarter and Full Fiscal Year 2021 Results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https://www.sec.gov/Archives/edgar/data/1577552/000110465921065916/tm2116252d1_ex99-1.htm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Announces March Quarter and Full Fiscal Year 2020 Results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https://www.sec.gov/Archives/edgar/data/1577552/000110465920065398/a20-20766_1ex99d1.htm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Form 20-F del ejercicio cerrado el 31-mar-2023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https://www.sec.gov/Archives/edgar/data/1577552/000095017023033752/baba-20230331.htm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Form 20-F del ejercicio cerrado el 31-mar-2020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https://www.sec.gov/Archives/edgar/data/1577552/000110465920082409/baba-20200331x20f.htm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June Quarter 2026 Results Conference Call,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(web de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https://data.alibabagroup.com/ecms-files/1567773279/9a0e4864-83fe-4a69-aa1e-e5c14f5b2e73/EN%20Jun%202026%20Q%20-%20Alibaba%20Earnings%20Call.pdf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March Quarter 2026 and Full Fiscal Year 2026 Results Conference Call,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(web de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https://data.alibabagroup.com/ecms-files/1508695866/9e0f30c9-651f-41f9-a269-90db4b7d0dd7/EN%20Mar%202026%20Q%20-%20Alibaba%20Earnings%20Call.pdf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Hechos XBRL de los 20-F (companyfacts, CIK 1577552)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https://data.sec.gov/api/xbrl/companyfacts/CIK0001577552.json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6-K de 24-ago-2026: colocación de nuevas acciones en Hong Kong por 80.000 M HKD (anuncio y precio)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https://www.sec.gov/Archives/edgar/data/1577552/000119312526361715/project_turing_launch__p.htm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Announced Pricing of HK$80 Billion Placing of New Shares in Hong Kong (6-K, anexo 99.3)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https://www.sec.gov/Archives/edgar/data/1577552/000119312526361715/baba-ex99_3.htm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Alibaba Group Environmental, Social and Governance (ESG)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https://data.alibabagroup.com/ecms-files/1448640963/20a1c61b-37ec-413f-989c-9e249a270b1a/2026%20Alibaba%20Group%20Environmental%2C%20Social%20and%20Governance%EF%BC%88ESG%EF%BC%89Report.pdf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Retail Sales of Consumer Goods from January to September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Bureau of Statistics of China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https://www.stats.gov.cn/english/PressRelease/202610/t20261020_1965662.html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Retail Sales of Consumer Goods in 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Bureau of Statistics of China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https://www.stats.gov.cn/english/PressRelease/202601/t20260120_1962354.html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Retail Sales of Consumer Goods in December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Bureau of Statistics of China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https://www.stats.gov.cn/english/PressRelease/202501/t20250124_1958445.html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Retail Sales of Consumer Goods in December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Bureau of Statistics of China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https://www.stats.gov.cn/english/PressRelease/202402/t20240201_1947119.html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Retail Sales of Consumer Goods in December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Bureau of Statistics of China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https://www.stats.gov.cn/english/PressRelease/202301/t20230118_1892301.html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Retail Sales of Consumer Goods in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Bureau of Statistics of China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https://www.stats.gov.cn/english/PressRelease/202201/t20220118_1826503.html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Omdia: Mainland China's cloud infrastructure market accelerates to 24% growth in Q3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https://omdia.tech.informa.com/pr/2026/feb/mainland-chinas-cloud-infrastructure-market-accelerates-to-24percent-growth-in-q3-2025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Omdia: Mainland China cloud infrastructure spending rises 26% in Q4 2025, driven by AI and agent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https://omdia.tech.informa.com/pr/2026/apr/mainland-china-cloud-infrastructure-spending-rises-26percent-in-q4-2025-driven-by-ai-and-agent-growth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China's Public Cloud IaaS Market Growth Rebounds to 20% (IDC, China Public Cloud Services Market Tracker 2H25)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 (Stock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https://www.itiger.com/news/1111355220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商务部研究院：2026年我国即时零售规模将破万亿 (Informe de desarrollo del comercio rápido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Science and Technology Daily (Economic Information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https://www.stdaily.com/web/gdxw/2025-11/26/content_438019.html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破局 即时零售站在万亿市场门槛上</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Shanghai Securities News (vía 10jqka)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https://news.10jqka.com.cn/20251225/c673494273.shtml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Volúmenes de mercancía de Taotian, Pinduoduo, Douyin y JD y cuotas estimadas por Goldman Sachs para el 4T25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Sina Finance (Sohu Tech)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https://finance.sina.cn/2025-12-09/detail-inhahnvi2176549.d.html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PDD Holdings, Form 20-F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PDD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https://www.sec.gov/Archives/edgar/data/1737806/000110465926050727/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JD.com, Form 20-F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JD.com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https://www.sec.gov/Archives/edgar/data/1549802/000119312526157870/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JD.com Announces Second Quarter and Interim 2026 Results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JD.com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https://www.sec.gov/Archives/edgar/data/1549802/000119312526347753/d143720dex991.htm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Meituan, Announcement of the Results for the Year Ended December 31,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Meituan / 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https://www1.hkexnews.hk/listedco/listconews/sehk/2026/0326/2026032600964.pdf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Meituan, resultados del segundo trimestre y semestre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Meituan / 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https://www1.hkexnews.hk/listedco/listconews/sehk/2026/0828/2026082800435.pdf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Announces 2025 Annual and Fourth Quarter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 PR Newswire Asia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https://en.prnasia.com/releases/apac/tencent-announces-2025-annual-and-fourth-quarter-results-525781.shtml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https://www.sec.gov/Archives/edgar/data/1018724/000101872426000004/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Beijing tightens scrutiny of food delivery giants amid price wars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Caixin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https://www.caixinglobal.com/2026-01-10/beijing-tightens-scrutiny-of-food-delivery-giants-amid-price-wars-102402304.html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plots AI capex hike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Mobile World Live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https://www.mobileworldlive.com/ai-cloud/alibaba-plots-ai-capex-hike/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ESG Ratings &amp; Awards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https://www.alibabagroup.com/esg-resource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Hong Kong FY2026, nota 33: retribución individual de consejeros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https://www.sec.gov/Archives/edgar/data/1577552/000119312526274928/d133513dex991.pdf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las votaciones de la junta general de 2026 (22-sep-2026)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HKEX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https://www.sec.gov/Archives/edgar/data/1577552/000110465926109625/tm2625915d1_ex99-1.htm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las votaciones de la junta general de 2025 (25-sep-2025)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HKEX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https://www.sec.gov/Archives/edgar/data/1577552/000110465925093332/tm2526956d1_ex99-1.htm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las votaciones de la junta general de 2024 (22-ago-2024)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HKEX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https://www.sec.gov/Archives/edgar/data/1577552/000110465924092027/tm2422435d1_ex99-1.htm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Alibaba (38 presentaciones, de marzo a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https://www.sec.gov/cgi-bin/browse-edgar?action=getcompany&amp;CIK=0001577552&amp;type=4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Completion of Placing of New Shares under General Mandate (con la estructura accionarial según los avisos a HKEX)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HKEX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https://www.sec.gov/Archives/edgar/data/1577552/000119312526365894/baba-ex99_2.htm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Pricing of HK$80 Billion Placing of New Shares under General Mandate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HKEX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https://www.sec.gov/Archives/edgar/data/1577552/000119312526361715/baba-ex99_4.htm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Inclusion of Alibaba Group on the CMC List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HKEX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https://www.sec.gov/Archives/edgar/data/1577552/000110465926071542/tm2617210d1_ex99-1.htm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Class Action Complaint, caso 1:26-cv-06654 (S.D.N.Y.), contra Alibaba Group y Eddie Wu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Tribunal federal del Distrito Sur de Nueva York (copia en D&amp;O Diary)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https://www.dandodiary.com/wp-content/uploads/sites/893/2026/08/https-ecf-nysd-uscourts-gov-doc1-127140097301.pdf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trimestre a septiembre de 2021 (guía de FY2022 rebajada)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https://www.sec.gov/Archives/edgar/data/1577552/000110465921141204/tm2133400d1_ex99-1.htm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to Invest RMB380 billion in AI and Cloud Infrastructure Over Next Three Years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https://www.sec.gov/Archives/edgar/data/1577552/000110465925016348/tm257405d1_ex99-1.htm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mensual a HKEX de movimientos de valores,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HKEX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https://www.sec.gov/Archives/edgar/data/1577552/000110465926114191/tm2627183d1_6k.htm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BABA, SPY y KWEB: históricos diarios (precio, rango, volumen, rentabilidades, betas, volatilidad, caída máxima y cierres de marzo) con herramientas/bolsa.mjs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https://finance.yahoo.com/quote/BABA/history/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BABA: earningsTrend, financialData y recommendationTrend (consenso de BPA no GAAP por ADS e ingresos en RMB, objetivo y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https://finance.yahoo.com/quote/BABA/analysis/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Holding: finances (estimaciones FY2027-FY2029)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https://sa.marketscreener.com/quote/stock/ALIBABA-GROUP-HOLDING-LIM-17916677/finances/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26-oct-2026 (USD 1,1188; CNY 7,4603; HKD 8,7768)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DEXCHUS (yuanes por dólar) y DGS10 (Treasury a 10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Reserva Federal de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https://fred.stlouisfed.org/series/DEXCHUS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Curva de rendimientos de la deuda pública china (ChinaBond), 26 y 27-oct-2026: 10 años 1,6375 % y 1,6271 %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CFETS / China Central Depository &amp; Clearing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https://www.chinamoney.com.cn/ags/ms/cm-u-bk-currency/ClsYldCurvHis?lang=CN&amp;reference=1&amp;bondType=CYCC000&amp;startDate=2026-10-26&amp;endDate=2026-10-27&amp;termId=10&amp;pageNum=1&amp;pageSize=50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Paridad central USD/CNY, 20 a 27-oct-2026 (6,7162 el 26-oct; 6,7171 el 27-oct)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CFETS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https://www.chinamoney.com.cn/ags/ms/cm-u-bk-ccpr/CcprHisNew?startDate=2026-10-20&amp;endDate=2026-10-27&amp;currency=USD/CNY&amp;pageNum=1&amp;pageSize=10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Announced Completion of HK$80 Billion Placing of New Shares in Hong Kong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https://www.sec.gov/Archives/edgar/data/1577552/000119312526365894/baba-ex99_1.htm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Monthly Return for Equity Issuer, mes cerrado el 30-sep-2026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https://www.sec.gov/Archives/edgar/data/1577552/000110465926114191/tm2627183d1_ex99-1.htm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Monthly Return for Equity Issuer, mes cerrado el 31-mar-2026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https://www.sec.gov/Archives/edgar/data/1577552/000110465926040881/tm2611379d1_ex99-1.htm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PDD, JD, 3690.HK, 0700.HK, BIDU, AMZN, MELI y SE: price, financialData y earningsTrend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https://finance.yahoo.com/quote/PDD/analysis/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9988.HK y ^HSI: históricos diarios (betas, caídas diarias) con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https://finance.yahoo.com/quote/9988.HK/history/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$BABA (330 mensajes del 22 al 27 de octubre)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https://api.stocktwits.com/api/2/streams/symbol/BABA.json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阿里巴巴-W (09988) 股吧: listado de mensajes de septiembre y octubre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https://guba.eastmoney.com/list,hk09988.html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阿里巴巴-W (09988) 股吧: mensajes del 23 al 25 de agosto (resultados y colocación)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https://guba.eastmoney.com/list,hk09988_95.html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raised $10.2bn at an 8.4% discount, yet the stock remains at the placement price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r/stocks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https://www.reddit.com/r/stocks/comments/1w0wa2o/alibaba_raised_102bn_at_an_84_discount_yet_the/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BABA (Jack Ma) - holdings in offshore trust?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r/stocks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https://www.reddit.com/r/stocks/comments/1wndmyg/baba_jack_ma_holdings_in_offshore_trust/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(BABA): análisis y noticias (canal RSS; artículos del 8-sep al 14-oct)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https://seekingalpha.com/api/sa/combined/BABA.xml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LIHKG: hilos sobre Alibaba (colocación de 80.000 M HKD; pedidos de GPU)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LIHKG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https://lihkg.com/thread/4148249/page/1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wins court ruling against Pentagon restriction, but BABA stock dips premarket anyway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https://stocktwits.com/news-articles/markets/equity/alibaba-wins-court-ruling-against-pentagon-restriction-but-baba-stock-dips-premarket-anyway/cZUeRiqRBzw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earnings September quarter 2026 (fecha estimada, sin confirmar)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days.to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Agregador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https://days.to/alibaba-earnings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85,8 %</w:t>
      </w:r>
      <w:r>
        <w:t xml:space="preserve"> · Secciones con menos del 60 % de campos cubiertos: </w:t>
      </w:r>
      <w:r>
        <w:rPr>
          <w:b/>
          <w:bCs/>
        </w:rPr>
        <w:t xml:space="preserve">transacciones, riesgos</w:t>
      </w:r>
      <w:r>
        <w:t xml:space="preserve"> · Generado el 27 oct 2026.</w:t>
      </w:r>
    </w:p>
    <w:p>
      <w:pPr>
        <w:pStyle w:val="Nota"/>
        <w:spacing w:after="100"/>
      </w:pPr>
      <w:r>
        <w:t xml:space="preserve">Iteración nueva (la anterior es del 14-oct, hecha con extractos de búsqueda y confianza baja). Esta vez la red estaba abierta: cuentas del XBRL de la SEC (herramientas/cuentas.mjs) contrastadas con los 20-F de FY2020, FY2023 y FY2026 y los comunicados anuales y trimestrales de la empresa [1, 2, 3, 4, 5, 6, 7, 8, 9, 10, 11, 12, 13, 14, 15, 16, 17, 18]. Cuentas en RMB (US GAAP), ejercicio cerrado en marzo (FY2026 = abril de 2025 a marzo de 2026). La línea cotizada es el ADS de Nueva York (BABA, USD): 1 ADS = 8 acciones de Hong Kong (9988.HK). Todo va por ADS y en RMB: precio de 100,25 USD (cierre del 26-oct) × 6,6681 RMB por dólar (BCE cruzado, 26-oct [58]) = 668,48 RMB. ADS diluidos: 2.438,3 M (estimación de la nota D con la colocación de agosto). Corrección del informe anterior: la historia del PER y los escenarios van ahora en la MISMA base, el BPA no GAAP diluido por ADS que publica la empresa (el del 14-oct mezclaba publicado y ajustado). El ejercicio de la regla a 12 meses es FY2029e (el primero que cierra más de 18 meses después del corte; el 14-oct se usó FY2028e por error).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Alibaba Group Holding Limited (BABA)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668,48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(613,40 – 1.216,93)</c:v>
                </c:pt>
                <c:pt idx="1">
                  <c:v>Precio objetivo de los analistas (639,90 – 1.601,20)</c:v>
                </c:pt>
                <c:pt idx="2">
                  <c:v>Comparables: PER NTM (534,90 – 1.023,40)</c:v>
                </c:pt>
                <c:pt idx="3">
                  <c:v>DCF (WACC y g ± 0,5) (949,87 – 1.160,90)</c:v>
                </c:pt>
                <c:pt idx="4">
                  <c:v>Escenarios (bajista – alcista) (611,23 – 1.356,24)</c:v>
                </c:pt>
                <c:pt idx="5">
                  <c:v>DCF con la prima implícita del mercado (4,2 %)</c:v>
                </c:pt>
                <c:pt idx="6">
                  <c:v>Precio actual (668,48)</c:v>
                </c:pt>
              </c:strCache>
            </c:strRef>
          </c:cat>
          <c:val>
            <c:numRef>
              <c:f>Hoja1!$B$2:$B$8</c:f>
              <c:numCache>
                <c:formatCode>#,##0</c:formatCode>
                <c:ptCount val="7"/>
                <c:pt idx="0">
                  <c:v>613.4</c:v>
                </c:pt>
                <c:pt idx="1">
                  <c:v>639.9</c:v>
                </c:pt>
                <c:pt idx="2">
                  <c:v>534.9</c:v>
                </c:pt>
                <c:pt idx="3">
                  <c:v>949.87</c:v>
                </c:pt>
                <c:pt idx="4">
                  <c:v>611.23</c:v>
                </c:pt>
                <c:pt idx="5">
                  <c:v>1129.21</c:v>
                </c:pt>
                <c:pt idx="6">
                  <c:v>665.14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(613,40 – 1.216,93)</c:v>
                </c:pt>
                <c:pt idx="1">
                  <c:v>Precio objetivo de los analistas (639,90 – 1.601,20)</c:v>
                </c:pt>
                <c:pt idx="2">
                  <c:v>Comparables: PER NTM (534,90 – 1.023,40)</c:v>
                </c:pt>
                <c:pt idx="3">
                  <c:v>DCF (WACC y g ± 0,5) (949,87 – 1.160,90)</c:v>
                </c:pt>
                <c:pt idx="4">
                  <c:v>Escenarios (bajista – alcista) (611,23 – 1.356,24)</c:v>
                </c:pt>
                <c:pt idx="5">
                  <c:v>DCF con la prima implícita del mercado (4,2 %)</c:v>
                </c:pt>
                <c:pt idx="6">
                  <c:v>Precio actual (668,48)</c:v>
                </c:pt>
              </c:strCache>
            </c:strRef>
          </c:cat>
          <c:val>
            <c:numRef>
              <c:f>Hoja1!$C$2:$C$8</c:f>
              <c:numCache>
                <c:formatCode>#,##0</c:formatCode>
                <c:ptCount val="7"/>
                <c:pt idx="0">
                  <c:v>603.5300000000001</c:v>
                </c:pt>
                <c:pt idx="1">
                  <c:v>961.3000000000001</c:v>
                </c:pt>
                <c:pt idx="2">
                  <c:v>488.5</c:v>
                </c:pt>
                <c:pt idx="3">
                  <c:v>211.0300000000001</c:v>
                </c:pt>
                <c:pt idx="4">
                  <c:v>745.01</c:v>
                </c:pt>
                <c:pt idx="5">
                  <c:v>178.49</c:v>
                </c:pt>
                <c:pt idx="6">
                  <c:v>6.680000000000064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(CNY, millones)</a:t>
            </a:r>
          </a:p>
        </c:rich>
      </c:tx>
      <c:overlay val="0"/>
    </c:title>
    <c:autoTitleDeleted val="0"/>
    <c:plotArea>
      <c:layout/>
      <c:barChart>
        <c:barDir val="col"/>
        <c:grouping val="stacked"/>
        <c:varyColors val="0"/>
        <c:ser>
          <c:idx val="0"/>
          <c:order val="0"/>
          <c:tx>
            <c:strRef>
              <c:f>Hoja1!$B$1</c:f>
              <c:strCache>
                <c:ptCount val="1"/>
                <c:pt idx="0">
                  <c:v>Alibaba China E-commerce Group</c:v>
                </c:pt>
              </c:strCache>
            </c:strRef>
          </c:tx>
          <c:spPr>
            <a:solidFill>
              <a:srgbClr val="2A78D6"/>
            </a:solidFill>
            <a:ln w="12700">
              <a:solidFill>
                <a:srgbClr val="FFFFFF"/>
              </a:solidFill>
            </a:ln>
          </c:spPr>
          <c:invertIfNegative val="0"/>
          <c:cat>
            <c:strRef>
              <c:f>Hoja1!$A$2:$A$3</c:f>
              <c:strCache>
                <c:ptCount val="2"/>
                <c:pt idx="0">
                  <c:v>FY2025</c:v>
                </c:pt>
                <c:pt idx="1">
                  <c:v>FY2026</c:v>
                </c:pt>
              </c:strCache>
            </c:strRef>
          </c:cat>
          <c:val>
            <c:numRef>
              <c:f>Hoja1!$B$2:$B$3</c:f>
              <c:numCache>
                <c:formatCode>#,##0</c:formatCode>
                <c:ptCount val="2"/>
                <c:pt idx="0">
                  <c:v>508380</c:v>
                </c:pt>
                <c:pt idx="1">
                  <c:v>554217</c:v>
                </c:pt>
              </c:numCache>
            </c:numRef>
          </c:val>
        </c:ser>
        <c:ser>
          <c:idx val="1"/>
          <c:order val="1"/>
          <c:tx>
            <c:strRef>
              <c:f>Hoja1!$C$1</c:f>
              <c:strCache>
                <c:ptCount val="1"/>
                <c:pt idx="0">
                  <c:v>Alibaba International Digital Commerce (AIDC)</c:v>
                </c:pt>
              </c:strCache>
            </c:strRef>
          </c:tx>
          <c:spPr>
            <a:solidFill>
              <a:srgbClr val="EB6834"/>
            </a:solidFill>
            <a:ln w="12700">
              <a:solidFill>
                <a:srgbClr val="FFFFFF"/>
              </a:solidFill>
            </a:ln>
          </c:spPr>
          <c:invertIfNegative val="0"/>
          <c:cat>
            <c:strRef>
              <c:f>Hoja1!$A$2:$A$3</c:f>
              <c:strCache>
                <c:ptCount val="2"/>
                <c:pt idx="0">
                  <c:v>FY2025</c:v>
                </c:pt>
                <c:pt idx="1">
                  <c:v>FY2026</c:v>
                </c:pt>
              </c:strCache>
            </c:strRef>
          </c:cat>
          <c:val>
            <c:numRef>
              <c:f>Hoja1!$C$2:$C$3</c:f>
              <c:numCache>
                <c:formatCode>#,##0</c:formatCode>
                <c:ptCount val="2"/>
                <c:pt idx="0">
                  <c:v>132300</c:v>
                </c:pt>
                <c:pt idx="1">
                  <c:v>144170</c:v>
                </c:pt>
              </c:numCache>
            </c:numRef>
          </c:val>
        </c:ser>
        <c:ser>
          <c:idx val="2"/>
          <c:order val="2"/>
          <c:tx>
            <c:strRef>
              <c:f>Hoja1!$D$1</c:f>
              <c:strCache>
                <c:ptCount val="1"/>
                <c:pt idx="0">
                  <c:v>Cloud Intelligence Group</c:v>
                </c:pt>
              </c:strCache>
            </c:strRef>
          </c:tx>
          <c:spPr>
            <a:solidFill>
              <a:srgbClr val="1BAF7A"/>
            </a:solidFill>
            <a:ln w="12700">
              <a:solidFill>
                <a:srgbClr val="FFFFFF"/>
              </a:solidFill>
            </a:ln>
          </c:spPr>
          <c:invertIfNegative val="0"/>
          <c:cat>
            <c:strRef>
              <c:f>Hoja1!$A$2:$A$3</c:f>
              <c:strCache>
                <c:ptCount val="2"/>
                <c:pt idx="0">
                  <c:v>FY2025</c:v>
                </c:pt>
                <c:pt idx="1">
                  <c:v>FY2026</c:v>
                </c:pt>
              </c:strCache>
            </c:strRef>
          </c:cat>
          <c:val>
            <c:numRef>
              <c:f>Hoja1!$D$2:$D$3</c:f>
              <c:numCache>
                <c:formatCode>#,##0</c:formatCode>
                <c:ptCount val="2"/>
                <c:pt idx="0">
                  <c:v>118028</c:v>
                </c:pt>
                <c:pt idx="1">
                  <c:v>158132</c:v>
                </c:pt>
              </c:numCache>
            </c:numRef>
          </c:val>
        </c:ser>
        <c:ser>
          <c:idx val="3"/>
          <c:order val="3"/>
          <c:tx>
            <c:strRef>
              <c:f>Hoja1!$E$1</c:f>
              <c:strCache>
                <c:ptCount val="1"/>
                <c:pt idx="0">
                  <c:v>Todos los demás</c:v>
                </c:pt>
              </c:strCache>
            </c:strRef>
          </c:tx>
          <c:spPr>
            <a:solidFill>
              <a:srgbClr val="EDA100"/>
            </a:solidFill>
            <a:ln w="12700">
              <a:solidFill>
                <a:srgbClr val="FFFFFF"/>
              </a:solidFill>
            </a:ln>
          </c:spPr>
          <c:invertIfNegative val="0"/>
          <c:cat>
            <c:strRef>
              <c:f>Hoja1!$A$2:$A$3</c:f>
              <c:strCache>
                <c:ptCount val="2"/>
                <c:pt idx="0">
                  <c:v>FY2025</c:v>
                </c:pt>
                <c:pt idx="1">
                  <c:v>FY2026</c:v>
                </c:pt>
              </c:strCache>
            </c:strRef>
          </c:cat>
          <c:val>
            <c:numRef>
              <c:f>Hoja1!$E$2:$E$3</c:f>
              <c:numCache>
                <c:formatCode>#,##0</c:formatCode>
                <c:ptCount val="2"/>
                <c:pt idx="0">
                  <c:v>338347</c:v>
                </c:pt>
                <c:pt idx="1">
                  <c:v>254367</c:v>
                </c:pt>
              </c:numCache>
            </c:numRef>
          </c:val>
        </c:ser>
        <c:ser>
          <c:idx val="4"/>
          <c:order val="4"/>
          <c:tx>
            <c:strRef>
              <c:f>Hoja1!$F$1</c:f>
              <c:strCache>
                <c:ptCount val="1"/>
                <c:pt idx="0">
                  <c:v>Eliminaciones y no asignado</c:v>
                </c:pt>
              </c:strCache>
            </c:strRef>
          </c:tx>
          <c:spPr>
            <a:solidFill>
              <a:srgbClr val="E87BA4"/>
            </a:solidFill>
            <a:ln w="12700">
              <a:solidFill>
                <a:srgbClr val="FFFFFF"/>
              </a:solidFill>
            </a:ln>
          </c:spPr>
          <c:invertIfNegative val="0"/>
          <c:cat>
            <c:strRef>
              <c:f>Hoja1!$A$2:$A$3</c:f>
              <c:strCache>
                <c:ptCount val="2"/>
                <c:pt idx="0">
                  <c:v>FY2025</c:v>
                </c:pt>
                <c:pt idx="1">
                  <c:v>FY2026</c:v>
                </c:pt>
              </c:strCache>
            </c:strRef>
          </c:cat>
          <c:val>
            <c:numRef>
              <c:f>Hoja1!$F$2:$F$3</c:f>
              <c:numCache>
                <c:formatCode>#,##0</c:formatCode>
                <c:ptCount val="2"/>
                <c:pt idx="0">
                  <c:v>-100708</c:v>
                </c:pt>
                <c:pt idx="1">
                  <c:v>-87216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Alibaba China E-commerce Group</c:v>
                </c:pt>
                <c:pt idx="1">
                  <c:v>Alibaba International Digital Commerce (AIDC)</c:v>
                </c:pt>
                <c:pt idx="2">
                  <c:v>Cloud Intelligence Group</c:v>
                </c:pt>
                <c:pt idx="3">
                  <c:v>Todos los demás</c:v>
                </c:pt>
                <c:pt idx="4">
                  <c:v>Eliminaciones y no asignado</c:v>
                </c:pt>
              </c:strCache>
            </c:strRef>
          </c:cat>
          <c:val>
            <c:numRef>
              <c:f>Hoja1!$B$2:$B$6</c:f>
              <c:numCache>
                <c:formatCode>General</c:formatCode>
                <c:ptCount val="5"/>
                <c:pt idx="0">
                  <c:v>54.1</c:v>
                </c:pt>
                <c:pt idx="1">
                  <c:v>14.1</c:v>
                </c:pt>
                <c:pt idx="2">
                  <c:v>15.4</c:v>
                </c:pt>
                <c:pt idx="3">
                  <c:v>24.8</c:v>
                </c:pt>
                <c:pt idx="4">
                  <c:v>-8.5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China (estimación propia: segmentos salvo AIDC)</c:v>
                </c:pt>
                <c:pt idx="1">
                  <c:v>Internacional (AIDC)</c:v>
                </c:pt>
              </c:strCache>
            </c:strRef>
          </c:cat>
          <c:val>
            <c:numRef>
              <c:f>Hoja1!$B$2:$B$3</c:f>
              <c:numCache>
                <c:formatCode>0"%"</c:formatCode>
                <c:ptCount val="2"/>
                <c:pt idx="0">
                  <c:v>85.9</c:v>
                </c:pt>
                <c:pt idx="1">
                  <c:v>14.1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RMB (ventas en línea de bienes físicos, NBS))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c:formatCode>
                <c:ptCount val="5"/>
                <c:pt idx="0">
                  <c:v>10804200</c:v>
                </c:pt>
                <c:pt idx="1">
                  <c:v>11964200</c:v>
                </c:pt>
                <c:pt idx="2">
                  <c:v>13017400</c:v>
                </c:pt>
                <c:pt idx="3">
                  <c:v>13081600</c:v>
                </c:pt>
                <c:pt idx="4">
                  <c:v>13092300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5</c:v>
                </c:pt>
                <c:pt idx="1">
                  <c:v>4</c:v>
                </c:pt>
                <c:pt idx="2">
                  <c:v>3</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Alibaba</c:v>
                </c:pt>
                <c:pt idx="1">
                  <c:v>PDD Holdings (Pinduoduo, Temu)</c:v>
                </c:pt>
                <c:pt idx="2">
                  <c:v>JD.com</c:v>
                </c:pt>
                <c:pt idx="3">
                  <c:v>Meituan</c:v>
                </c:pt>
                <c:pt idx="4">
                  <c:v>Tencent (Tencent Cloud, Weixin)</c:v>
                </c:pt>
                <c:pt idx="5">
                  <c:v>Huawei Cloud</c:v>
                </c:pt>
                <c:pt idx="6">
                  <c:v>ByteDance (Douyin, Volcano Engine)</c:v>
                </c:pt>
                <c:pt idx="7">
                  <c:v>Amazon</c:v>
                </c:pt>
              </c:strCache>
            </c:strRef>
          </c:cat>
          <c:val>
            <c:numRef>
              <c:f>Hoja1!$B$2:$B$9</c:f>
              <c:numCache>
                <c:formatCode>0.0"%"</c:formatCode>
                <c:ptCount val="8"/>
                <c:pt idx="0">
                  <c:v>5.9</c:v>
                </c:pt>
                <c:pt idx="1">
                  <c:v>21.6</c:v>
                </c:pt>
                <c:pt idx="2">
                  <c:v>0.2</c:v>
                </c:pt>
                <c:pt idx="3">
                  <c:v>-6.9</c:v>
                </c:pt>
                <c:pt idx="4">
                  <c:v>32.1</c:v>
                </c:pt>
                <c:pt idx="7">
                  <c:v>11.2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2</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(CNY,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FY2019</c:v>
                </c:pt>
                <c:pt idx="1">
                  <c:v>FY2020</c:v>
                </c:pt>
                <c:pt idx="2">
                  <c:v>FY2021</c:v>
                </c:pt>
                <c:pt idx="3">
                  <c:v>FY2022</c:v>
                </c:pt>
                <c:pt idx="4">
                  <c:v>FY2023</c:v>
                </c:pt>
                <c:pt idx="5">
                  <c:v>FY2024</c:v>
                </c:pt>
                <c:pt idx="6">
                  <c:v>FY2025</c:v>
                </c:pt>
                <c:pt idx="7">
                  <c:v>FY2026</c:v>
                </c:pt>
                <c:pt idx="8">
                  <c:v>FY2027e</c:v>
                </c:pt>
                <c:pt idx="9">
                  <c:v>FY2028e</c:v>
                </c:pt>
                <c:pt idx="10">
                  <c:v>FY2029e</c:v>
                </c:pt>
                <c:pt idx="11">
                  <c:v>FY2030e</c:v>
                </c:pt>
                <c:pt idx="12">
                  <c:v>FY2031e</c:v>
                </c:pt>
                <c:pt idx="13">
                  <c:v>FY2032e</c:v>
                </c:pt>
                <c:pt idx="14">
                  <c:v>FY2033e</c:v>
                </c:pt>
                <c:pt idx="15">
                  <c:v>FY2034e</c:v>
                </c:pt>
              </c:strCache>
            </c:strRef>
          </c:cat>
          <c:val>
            <c:numRef>
              <c:f>Hoja1!$B$2:$B$17</c:f>
              <c:numCache>
                <c:formatCode>#,##0</c:formatCode>
                <c:ptCount val="16"/>
                <c:pt idx="0">
                  <c:v>376844</c:v>
                </c:pt>
                <c:pt idx="1">
                  <c:v>509711</c:v>
                </c:pt>
                <c:pt idx="2">
                  <c:v>717289</c:v>
                </c:pt>
                <c:pt idx="3">
                  <c:v>853062</c:v>
                </c:pt>
                <c:pt idx="4">
                  <c:v>868687</c:v>
                </c:pt>
                <c:pt idx="5">
                  <c:v>941168</c:v>
                </c:pt>
                <c:pt idx="6">
                  <c:v>996347</c:v>
                </c:pt>
                <c:pt idx="7">
                  <c:v>1023670</c:v>
                </c:pt>
                <c:pt idx="8">
                  <c:v>1105564</c:v>
                </c:pt>
                <c:pt idx="9">
                  <c:v>1205064</c:v>
                </c:pt>
                <c:pt idx="10">
                  <c:v>1313520</c:v>
                </c:pt>
                <c:pt idx="11">
                  <c:v>1405467</c:v>
                </c:pt>
                <c:pt idx="12">
                  <c:v>1489795</c:v>
                </c:pt>
                <c:pt idx="13">
                  <c:v>1564284</c:v>
                </c:pt>
                <c:pt idx="14">
                  <c:v>1626856</c:v>
                </c:pt>
                <c:pt idx="15">
                  <c:v>1683796</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FY2019</c:v>
                </c:pt>
                <c:pt idx="1">
                  <c:v>FY2020</c:v>
                </c:pt>
                <c:pt idx="2">
                  <c:v>FY2021</c:v>
                </c:pt>
                <c:pt idx="3">
                  <c:v>FY2022</c:v>
                </c:pt>
                <c:pt idx="4">
                  <c:v>FY2023</c:v>
                </c:pt>
                <c:pt idx="5">
                  <c:v>FY2024</c:v>
                </c:pt>
                <c:pt idx="6">
                  <c:v>FY2025</c:v>
                </c:pt>
                <c:pt idx="7">
                  <c:v>FY2026</c:v>
                </c:pt>
                <c:pt idx="8">
                  <c:v>FY2027e</c:v>
                </c:pt>
                <c:pt idx="9">
                  <c:v>FY2028e</c:v>
                </c:pt>
                <c:pt idx="10">
                  <c:v>FY2029e</c:v>
                </c:pt>
                <c:pt idx="11">
                  <c:v>FY2030e</c:v>
                </c:pt>
                <c:pt idx="12">
                  <c:v>FY2031e</c:v>
                </c:pt>
                <c:pt idx="13">
                  <c:v>FY2032e</c:v>
                </c:pt>
                <c:pt idx="14">
                  <c:v>FY2033e</c:v>
                </c:pt>
                <c:pt idx="15">
                  <c:v>FY2034e</c:v>
                </c:pt>
              </c:strCache>
            </c:strRef>
          </c:cat>
          <c:val>
            <c:numRef>
              <c:f>Hoja1!$C$2:$C$17</c:f>
              <c:numCache>
                <c:formatCode>#,##0</c:formatCode>
                <c:ptCount val="16"/>
                <c:pt idx="0">
                  <c:v>82629</c:v>
                </c:pt>
                <c:pt idx="1">
                  <c:v>125719</c:v>
                </c:pt>
                <c:pt idx="2">
                  <c:v>145883</c:v>
                </c:pt>
                <c:pt idx="3">
                  <c:v>131896</c:v>
                </c:pt>
                <c:pt idx="4">
                  <c:v>141223</c:v>
                </c:pt>
                <c:pt idx="5">
                  <c:v>168807</c:v>
                </c:pt>
                <c:pt idx="6">
                  <c:v>183610</c:v>
                </c:pt>
                <c:pt idx="7">
                  <c:v>100199</c:v>
                </c:pt>
                <c:pt idx="8">
                  <c:v>165835</c:v>
                </c:pt>
                <c:pt idx="9">
                  <c:v>204861</c:v>
                </c:pt>
                <c:pt idx="10">
                  <c:v>236434</c:v>
                </c:pt>
                <c:pt idx="11">
                  <c:v>260011</c:v>
                </c:pt>
                <c:pt idx="12">
                  <c:v>283061</c:v>
                </c:pt>
                <c:pt idx="13">
                  <c:v>297214</c:v>
                </c:pt>
                <c:pt idx="14">
                  <c:v>309103</c:v>
                </c:pt>
                <c:pt idx="15">
                  <c:v>319921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45.1</c:v>
                </c:pt>
                <c:pt idx="1">
                  <c:v>44.6</c:v>
                </c:pt>
                <c:pt idx="2">
                  <c:v>41.3</c:v>
                </c:pt>
                <c:pt idx="3">
                  <c:v>36.8</c:v>
                </c:pt>
                <c:pt idx="4">
                  <c:v>36.7</c:v>
                </c:pt>
                <c:pt idx="5">
                  <c:v>37.7</c:v>
                </c:pt>
                <c:pt idx="6">
                  <c:v>40</c:v>
                </c:pt>
                <c:pt idx="7">
                  <c:v>39.8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21.9</c:v>
                </c:pt>
                <c:pt idx="1">
                  <c:v>24.7</c:v>
                </c:pt>
                <c:pt idx="2">
                  <c:v>20.3</c:v>
                </c:pt>
                <c:pt idx="3">
                  <c:v>15.5</c:v>
                </c:pt>
                <c:pt idx="4">
                  <c:v>16.3</c:v>
                </c:pt>
                <c:pt idx="5">
                  <c:v>17.9</c:v>
                </c:pt>
                <c:pt idx="6">
                  <c:v>18.4</c:v>
                </c:pt>
                <c:pt idx="7">
                  <c:v>9.8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0">
                  <c:v>15.1</c:v>
                </c:pt>
                <c:pt idx="1">
                  <c:v>18.1</c:v>
                </c:pt>
                <c:pt idx="2">
                  <c:v>15</c:v>
                </c:pt>
                <c:pt idx="3">
                  <c:v>11.1</c:v>
                </c:pt>
                <c:pt idx="4">
                  <c:v>11.9</c:v>
                </c:pt>
                <c:pt idx="5">
                  <c:v>13.2</c:v>
                </c:pt>
                <c:pt idx="6">
                  <c:v>15.3</c:v>
                </c:pt>
                <c:pt idx="7">
                  <c:v>5.9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Hoja1!$E$2:$E$9</c:f>
              <c:numCache>
                <c:formatCode>0"%"</c:formatCode>
                <c:ptCount val="8"/>
                <c:pt idx="0">
                  <c:v>23.2</c:v>
                </c:pt>
                <c:pt idx="1">
                  <c:v>29.3</c:v>
                </c:pt>
                <c:pt idx="2">
                  <c:v>21</c:v>
                </c:pt>
                <c:pt idx="3">
                  <c:v>7.3</c:v>
                </c:pt>
                <c:pt idx="4">
                  <c:v>8.3</c:v>
                </c:pt>
                <c:pt idx="5">
                  <c:v>8.5</c:v>
                </c:pt>
                <c:pt idx="6">
                  <c:v>13</c:v>
                </c:pt>
                <c:pt idx="7">
                  <c:v>10.3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2T25</c:v>
                </c:pt>
                <c:pt idx="1">
                  <c:v>3T25</c:v>
                </c:pt>
                <c:pt idx="2">
                  <c:v>4T25</c:v>
                </c:pt>
                <c:pt idx="3">
                  <c:v>1T26</c:v>
                </c:pt>
                <c:pt idx="4">
                  <c:v>2T26</c:v>
                </c:pt>
                <c:pt idx="5">
                  <c:v>3T26</c:v>
                </c:pt>
                <c:pt idx="6">
                  <c:v>4T26</c:v>
                </c:pt>
                <c:pt idx="7">
                  <c:v>1T27</c:v>
                </c:pt>
              </c:strCache>
            </c:strRef>
          </c:cat>
          <c:val>
            <c:numRef>
              <c:f>Hoja1!$B$2:$B$9</c:f>
              <c:numCache>
                <c:formatCode>0.0"%"</c:formatCode>
                <c:ptCount val="8"/>
                <c:pt idx="2">
                  <c:v>7</c:v>
                </c:pt>
                <c:pt idx="3">
                  <c:v>2</c:v>
                </c:pt>
                <c:pt idx="4">
                  <c:v>5</c:v>
                </c:pt>
                <c:pt idx="5">
                  <c:v>2</c:v>
                </c:pt>
                <c:pt idx="6">
                  <c:v>3</c:v>
                </c:pt>
                <c:pt idx="7">
                  <c:v>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2T25</c:v>
                </c:pt>
                <c:pt idx="1">
                  <c:v>3T25</c:v>
                </c:pt>
                <c:pt idx="2">
                  <c:v>4T25</c:v>
                </c:pt>
                <c:pt idx="3">
                  <c:v>1T26</c:v>
                </c:pt>
                <c:pt idx="4">
                  <c:v>2T26</c:v>
                </c:pt>
                <c:pt idx="5">
                  <c:v>3T26</c:v>
                </c:pt>
                <c:pt idx="6">
                  <c:v>4T26</c:v>
                </c:pt>
                <c:pt idx="7">
                  <c:v>1T27</c:v>
                </c:pt>
              </c:strCache>
            </c:strRef>
          </c:cat>
          <c:val>
            <c:numRef>
              <c:f>Hoja1!$C$2:$C$9</c:f>
              <c:numCache>
                <c:formatCode>0.0"%"</c:formatCode>
                <c:ptCount val="8"/>
                <c:pt idx="6">
                  <c:v>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13</c:v>
                </c:pt>
                <c:pt idx="1">
                  <c:v>14</c:v>
                </c:pt>
                <c:pt idx="2">
                  <c:v>14</c:v>
                </c:pt>
                <c:pt idx="3">
                  <c:v>14</c:v>
                </c:pt>
                <c:pt idx="4">
                  <c:v>14</c:v>
                </c:pt>
                <c:pt idx="5">
                  <c:v>12</c:v>
                </c:pt>
                <c:pt idx="6">
                  <c:v>11</c:v>
                </c:pt>
                <c:pt idx="7">
                  <c:v>13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15</c:v>
                </c:pt>
                <c:pt idx="1">
                  <c:v>19</c:v>
                </c:pt>
                <c:pt idx="3">
                  <c:v>20</c:v>
                </c:pt>
                <c:pt idx="4">
                  <c:v>19</c:v>
                </c:pt>
                <c:pt idx="6">
                  <c:v>12</c:v>
                </c:pt>
                <c:pt idx="7">
                  <c:v>11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0">
                  <c:v>208</c:v>
                </c:pt>
                <c:pt idx="1">
                  <c:v>209</c:v>
                </c:pt>
                <c:pt idx="2">
                  <c:v>226</c:v>
                </c:pt>
                <c:pt idx="3">
                  <c:v>184</c:v>
                </c:pt>
                <c:pt idx="4">
                  <c:v>183</c:v>
                </c:pt>
                <c:pt idx="5">
                  <c:v>185</c:v>
                </c:pt>
                <c:pt idx="6">
                  <c:v>203</c:v>
                </c:pt>
                <c:pt idx="7">
                  <c:v>213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(CNY,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101332</c:v>
                </c:pt>
                <c:pt idx="1">
                  <c:v>135221</c:v>
                </c:pt>
                <c:pt idx="2">
                  <c:v>188601</c:v>
                </c:pt>
                <c:pt idx="3">
                  <c:v>89435</c:v>
                </c:pt>
                <c:pt idx="4">
                  <c:v>165400</c:v>
                </c:pt>
                <c:pt idx="5">
                  <c:v>149664</c:v>
                </c:pt>
                <c:pt idx="6">
                  <c:v>77537</c:v>
                </c:pt>
                <c:pt idx="7">
                  <c:v>-50724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87600</c:v>
                </c:pt>
                <c:pt idx="1">
                  <c:v>149263</c:v>
                </c:pt>
                <c:pt idx="2">
                  <c:v>150308</c:v>
                </c:pt>
                <c:pt idx="3">
                  <c:v>61959</c:v>
                </c:pt>
                <c:pt idx="4">
                  <c:v>72509</c:v>
                </c:pt>
                <c:pt idx="5">
                  <c:v>79741</c:v>
                </c:pt>
                <c:pt idx="6">
                  <c:v>129470</c:v>
                </c:pt>
                <c:pt idx="7">
                  <c:v>105904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8.6</c:v>
                </c:pt>
                <c:pt idx="1">
                  <c:v>13.6</c:v>
                </c:pt>
                <c:pt idx="2">
                  <c:v>12.8</c:v>
                </c:pt>
                <c:pt idx="3">
                  <c:v>7.5</c:v>
                </c:pt>
                <c:pt idx="4">
                  <c:v>11.2</c:v>
                </c:pt>
                <c:pt idx="5">
                  <c:v>12.7</c:v>
                </c:pt>
                <c:pt idx="6">
                  <c:v>13.9</c:v>
                </c:pt>
                <c:pt idx="7">
                  <c:v>4.6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8.3</c:v>
                </c:pt>
                <c:pt idx="1">
                  <c:v>8.3</c:v>
                </c:pt>
                <c:pt idx="2">
                  <c:v>8.3</c:v>
                </c:pt>
                <c:pt idx="3">
                  <c:v>8.3</c:v>
                </c:pt>
                <c:pt idx="4">
                  <c:v>8.3</c:v>
                </c:pt>
                <c:pt idx="5">
                  <c:v>8.3</c:v>
                </c:pt>
                <c:pt idx="6">
                  <c:v>8.3</c:v>
                </c:pt>
                <c:pt idx="7">
                  <c:v>8.3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0">
                  <c:v>17.8</c:v>
                </c:pt>
                <c:pt idx="1">
                  <c:v>23.9</c:v>
                </c:pt>
                <c:pt idx="2">
                  <c:v>17.8</c:v>
                </c:pt>
                <c:pt idx="3">
                  <c:v>6.6</c:v>
                </c:pt>
                <c:pt idx="4">
                  <c:v>7.5</c:v>
                </c:pt>
                <c:pt idx="5">
                  <c:v>8.1</c:v>
                </c:pt>
                <c:pt idx="6">
                  <c:v>13</c:v>
                </c:pt>
                <c:pt idx="7">
                  <c:v>10.2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0.0"x"</c:formatCode>
                <c:ptCount val="8"/>
                <c:pt idx="0">
                  <c:v>-0.71</c:v>
                </c:pt>
                <c:pt idx="1">
                  <c:v>-1.86</c:v>
                </c:pt>
                <c:pt idx="2">
                  <c:v>-2.22</c:v>
                </c:pt>
                <c:pt idx="3">
                  <c:v>-2.31</c:v>
                </c:pt>
                <c:pt idx="4">
                  <c:v>-2.54</c:v>
                </c:pt>
                <c:pt idx="5">
                  <c:v>-2.02</c:v>
                </c:pt>
                <c:pt idx="6">
                  <c:v>-0.78</c:v>
                </c:pt>
                <c:pt idx="7">
                  <c:v>-0.27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(CNY,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FY2027</c:v>
                </c:pt>
                <c:pt idx="1">
                  <c:v>FY2028</c:v>
                </c:pt>
                <c:pt idx="2">
                  <c:v>FY2029</c:v>
                </c:pt>
                <c:pt idx="3">
                  <c:v>FY2030</c:v>
                </c:pt>
                <c:pt idx="4">
                  <c:v>FY2031</c:v>
                </c:pt>
                <c:pt idx="5">
                  <c:v>FY2032+</c:v>
                </c:pt>
              </c:strCache>
            </c:strRef>
          </c:cat>
          <c:val>
            <c:numRef>
              <c:f>Hoja1!$B$2:$B$7</c:f>
              <c:numCache>
                <c:formatCode>#,##0</c:formatCode>
                <c:ptCount val="6"/>
                <c:pt idx="0">
                  <c:v>28224</c:v>
                </c:pt>
                <c:pt idx="1">
                  <c:v>19070</c:v>
                </c:pt>
                <c:pt idx="2">
                  <c:v>13249</c:v>
                </c:pt>
                <c:pt idx="3">
                  <c:v>10420</c:v>
                </c:pt>
                <c:pt idx="4">
                  <c:v>44222</c:v>
                </c:pt>
                <c:pt idx="5">
                  <c:v>145536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(CNY,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35434</c:v>
                </c:pt>
                <c:pt idx="1">
                  <c:v>14536</c:v>
                </c:pt>
                <c:pt idx="2">
                  <c:v>19137</c:v>
                </c:pt>
                <c:pt idx="3">
                  <c:v>4087</c:v>
                </c:pt>
                <c:pt idx="4">
                  <c:v>1204</c:v>
                </c:pt>
                <c:pt idx="5">
                  <c:v>2204</c:v>
                </c:pt>
                <c:pt idx="6">
                  <c:v>-353</c:v>
                </c:pt>
                <c:pt idx="7">
                  <c:v>1212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0</c:v>
                </c:pt>
                <c:pt idx="1">
                  <c:v>0</c:v>
                </c:pt>
                <c:pt idx="2">
                  <c:v>0</c:v>
                </c:pt>
                <c:pt idx="3">
                  <c:v>0</c:v>
                </c:pt>
                <c:pt idx="4">
                  <c:v>0</c:v>
                </c:pt>
                <c:pt idx="5">
                  <c:v>17946</c:v>
                </c:pt>
                <c:pt idx="6">
                  <c:v>29077</c:v>
                </c:pt>
                <c:pt idx="7">
                  <c:v>33732</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0">
                  <c:v>10872</c:v>
                </c:pt>
                <c:pt idx="1">
                  <c:v>0</c:v>
                </c:pt>
                <c:pt idx="2">
                  <c:v>773</c:v>
                </c:pt>
                <c:pt idx="3">
                  <c:v>61225</c:v>
                </c:pt>
                <c:pt idx="4">
                  <c:v>74746</c:v>
                </c:pt>
                <c:pt idx="5">
                  <c:v>88745</c:v>
                </c:pt>
                <c:pt idx="6">
                  <c:v>86662</c:v>
                </c:pt>
                <c:pt idx="7">
                  <c:v>7638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Dominical</c:v>
                </c:pt>
                <c:pt idx="2">
                  <c:v>Independiente</c:v>
                </c:pt>
              </c:strCache>
            </c:strRef>
          </c:cat>
          <c:val>
            <c:numRef>
              <c:f>Hoja1!$B$2:$B$4</c:f>
              <c:numCache>
                <c:formatCode>0</c:formatCode>
                <c:ptCount val="3"/>
                <c:pt idx="0">
                  <c:v>3</c:v>
                </c:pt>
                <c:pt idx="1">
                  <c:v>1</c:v>
                </c:pt>
                <c:pt idx="2">
                  <c:v>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JPMorgan Chase &amp; Co.</c:v>
                </c:pt>
                <c:pt idx="1">
                  <c:v>BlackRock, Inc.</c:v>
                </c:pt>
                <c:pt idx="2">
                  <c:v>Citigroup Inc.</c:v>
                </c:pt>
                <c:pt idx="3">
                  <c:v>Compradores de la colocación de agosto de 2026</c:v>
                </c:pt>
                <c:pt idx="4">
                  <c:v>Consejeros y directivos (conjunto)</c:v>
                </c:pt>
                <c:pt idx="5">
                  <c:v>Autocartera</c:v>
                </c:pt>
              </c:strCache>
            </c:strRef>
          </c:cat>
          <c:val>
            <c:numRef>
              <c:f>Hoja1!$B$2:$B$7</c:f>
              <c:numCache>
                <c:formatCode>0.0"%"</c:formatCode>
                <c:ptCount val="6"/>
                <c:pt idx="0">
                  <c:v>6.88</c:v>
                </c:pt>
                <c:pt idx="1">
                  <c:v>5.26</c:v>
                </c:pt>
                <c:pt idx="2">
                  <c:v>5.25</c:v>
                </c:pt>
                <c:pt idx="3">
                  <c:v>3.57</c:v>
                </c:pt>
                <c:pt idx="4">
                  <c:v>1.9</c:v>
                </c:pt>
                <c:pt idx="5">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c:v>
                </c:pt>
                <c:pt idx="1">
                  <c:v>96.4</c:v>
                </c:pt>
                <c:pt idx="2">
                  <c:v>-20.5</c:v>
                </c:pt>
                <c:pt idx="3">
                  <c:v>54.7</c:v>
                </c:pt>
                <c:pt idx="4">
                  <c:v>9.7</c:v>
                </c:pt>
                <c:pt idx="5">
                  <c:v>-49</c:v>
                </c:pt>
                <c:pt idx="6">
                  <c:v>-25.8</c:v>
                </c:pt>
                <c:pt idx="7">
                  <c:v>-10.8</c:v>
                </c:pt>
                <c:pt idx="8">
                  <c:v>11.8</c:v>
                </c:pt>
                <c:pt idx="9">
                  <c:v>75.8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Hoja1!$B$2:$B$10</c:f>
              <c:numCache>
                <c:formatCode>0.0"x"</c:formatCode>
                <c:ptCount val="9"/>
                <c:pt idx="1">
                  <c:v>39.6</c:v>
                </c:pt>
                <c:pt idx="2">
                  <c:v>28.3</c:v>
                </c:pt>
                <c:pt idx="3">
                  <c:v>26.7</c:v>
                </c:pt>
                <c:pt idx="4">
                  <c:v>12.9</c:v>
                </c:pt>
                <c:pt idx="5">
                  <c:v>11.5</c:v>
                </c:pt>
                <c:pt idx="6">
                  <c:v>6.5</c:v>
                </c:pt>
                <c:pt idx="7">
                  <c:v>12.2</c:v>
                </c:pt>
                <c:pt idx="8">
                  <c:v>21.1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Hoja1!$C$2:$C$10</c:f>
              <c:numCache>
                <c:formatCode>0.0"x"</c:formatCode>
                <c:ptCount val="9"/>
                <c:pt idx="0">
                  <c:v>12.9</c:v>
                </c:pt>
                <c:pt idx="1">
                  <c:v>12.9</c:v>
                </c:pt>
                <c:pt idx="2">
                  <c:v>12.9</c:v>
                </c:pt>
                <c:pt idx="3">
                  <c:v>12.9</c:v>
                </c:pt>
                <c:pt idx="4">
                  <c:v>12.9</c:v>
                </c:pt>
                <c:pt idx="5">
                  <c:v>12.9</c:v>
                </c:pt>
                <c:pt idx="6">
                  <c:v>12.9</c:v>
                </c:pt>
                <c:pt idx="7">
                  <c:v>12.9</c:v>
                </c:pt>
                <c:pt idx="8">
                  <c:v>12.9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(CNY,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FY2027e</c:v>
                </c:pt>
                <c:pt idx="1">
                  <c:v>FY2028e</c:v>
                </c:pt>
                <c:pt idx="2">
                  <c:v>FY2029e</c:v>
                </c:pt>
                <c:pt idx="3">
                  <c:v>FY2030e</c:v>
                </c:pt>
                <c:pt idx="4">
                  <c:v>FY2031e</c:v>
                </c:pt>
                <c:pt idx="5">
                  <c:v>FY2032e</c:v>
                </c:pt>
                <c:pt idx="6">
                  <c:v>FY2033e</c:v>
                </c:pt>
                <c:pt idx="7">
                  <c:v>FY2034e</c:v>
                </c:pt>
              </c:strCache>
            </c:strRef>
          </c:cat>
          <c:val>
            <c:numRef>
              <c:f>Hoja1!$B$2:$B$9</c:f>
              <c:numCache>
                <c:formatCode>#,##0</c:formatCode>
                <c:ptCount val="8"/>
                <c:pt idx="0">
                  <c:v>-74565</c:v>
                </c:pt>
                <c:pt idx="1">
                  <c:v>6755</c:v>
                </c:pt>
                <c:pt idx="2">
                  <c:v>68756</c:v>
                </c:pt>
                <c:pt idx="3">
                  <c:v>100235</c:v>
                </c:pt>
                <c:pt idx="4">
                  <c:v>130034</c:v>
                </c:pt>
                <c:pt idx="5">
                  <c:v>147013</c:v>
                </c:pt>
                <c:pt idx="6">
                  <c:v>171821</c:v>
                </c:pt>
                <c:pt idx="7">
                  <c:v>175206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(CNY,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515016</c:v>
                </c:pt>
                <c:pt idx="1">
                  <c:v>1354669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(CNY) · precio actual 668,48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611.23</c:v>
                </c:pt>
                <c:pt idx="1">
                  <c:v>1040.9</c:v>
                </c:pt>
                <c:pt idx="2">
                  <c:v>1356.24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668,48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(613,40 – 1.216,93)</c:v>
                </c:pt>
                <c:pt idx="1">
                  <c:v>Precio objetivo de los analistas (639,90 – 1.601,20)</c:v>
                </c:pt>
                <c:pt idx="2">
                  <c:v>Comparables: PER NTM (534,90 – 1.023,40)</c:v>
                </c:pt>
                <c:pt idx="3">
                  <c:v>DCF (WACC y g ± 0,5) (949,87 – 1.160,90)</c:v>
                </c:pt>
                <c:pt idx="4">
                  <c:v>Escenarios (bajista – alcista) (611,23 – 1.356,24)</c:v>
                </c:pt>
                <c:pt idx="5">
                  <c:v>DCF con la prima implícita del mercado (4,2 %)</c:v>
                </c:pt>
                <c:pt idx="6">
                  <c:v>Precio actual (668,48)</c:v>
                </c:pt>
              </c:strCache>
            </c:strRef>
          </c:cat>
          <c:val>
            <c:numRef>
              <c:f>Hoja1!$B$2:$B$8</c:f>
              <c:numCache>
                <c:formatCode>#,##0</c:formatCode>
                <c:ptCount val="7"/>
                <c:pt idx="0">
                  <c:v>613.4</c:v>
                </c:pt>
                <c:pt idx="1">
                  <c:v>639.9</c:v>
                </c:pt>
                <c:pt idx="2">
                  <c:v>534.9</c:v>
                </c:pt>
                <c:pt idx="3">
                  <c:v>949.87</c:v>
                </c:pt>
                <c:pt idx="4">
                  <c:v>611.23</c:v>
                </c:pt>
                <c:pt idx="5">
                  <c:v>1129.21</c:v>
                </c:pt>
                <c:pt idx="6">
                  <c:v>665.14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(613,40 – 1.216,93)</c:v>
                </c:pt>
                <c:pt idx="1">
                  <c:v>Precio objetivo de los analistas (639,90 – 1.601,20)</c:v>
                </c:pt>
                <c:pt idx="2">
                  <c:v>Comparables: PER NTM (534,90 – 1.023,40)</c:v>
                </c:pt>
                <c:pt idx="3">
                  <c:v>DCF (WACC y g ± 0,5) (949,87 – 1.160,90)</c:v>
                </c:pt>
                <c:pt idx="4">
                  <c:v>Escenarios (bajista – alcista) (611,23 – 1.356,24)</c:v>
                </c:pt>
                <c:pt idx="5">
                  <c:v>DCF con la prima implícita del mercado (4,2 %)</c:v>
                </c:pt>
                <c:pt idx="6">
                  <c:v>Precio actual (668,48)</c:v>
                </c:pt>
              </c:strCache>
            </c:strRef>
          </c:cat>
          <c:val>
            <c:numRef>
              <c:f>Hoja1!$C$2:$C$8</c:f>
              <c:numCache>
                <c:formatCode>#,##0</c:formatCode>
                <c:ptCount val="7"/>
                <c:pt idx="0">
                  <c:v>603.5300000000001</c:v>
                </c:pt>
                <c:pt idx="1">
                  <c:v>961.3000000000001</c:v>
                </c:pt>
                <c:pt idx="2">
                  <c:v>488.5</c:v>
                </c:pt>
                <c:pt idx="3">
                  <c:v>211.0300000000001</c:v>
                </c:pt>
                <c:pt idx="4">
                  <c:v>745.01</c:v>
                </c:pt>
                <c:pt idx="5">
                  <c:v>178.49</c:v>
                </c:pt>
                <c:pt idx="6">
                  <c:v>6.680000000000064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