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 O. Smith Corporation</w:t>
      </w:r>
    </w:p>
    <w:p>
      <w:pPr>
        <w:spacing w:after="60"/>
        <w:rPr>
          <w:color w:val="52514E"/>
          <w:sz w:val="22"/>
          <w:szCs w:val="22"/>
        </w:rPr>
      </w:pPr>
      <w:r>
        <w:rPr>
          <w:color w:val="52514E"/>
          <w:sz w:val="22"/>
          <w:szCs w:val="22"/>
        </w:rPr>
        <w:t xml:space="preserve">AOS · New York Stock Exchange (NYSE) · ISIN US8318652091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56,56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55,24 USD · mercado 62,35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+0,2 % · mercado +12,7 %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7.727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O. Smith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AOS / US8318652091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Milwaukee, Wisconsin (EE. UU.) · 1874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www.aosmith.com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56,56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54,16 – 81,87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 M acciones y 91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55,24 USD</w:t>
      </w:r>
      <w:r>
        <w:t xml:space="preserve"> frente a 56,56 · con la prima implícita del mercado: 62,35 (+10,2 %) · Rentabilidad total esperada a 12 meses </w:t>
      </w:r>
      <w:r>
        <w:rPr>
          <w:b/>
          <w:bCs/>
        </w:rPr>
        <w:t xml:space="preserve">+0,2 %</w:t>
      </w:r>
      <w:r>
        <w:t xml:space="preserve"> · Alcista / bajista +6,5 % / -23,0 %</w:t>
      </w:r>
    </w:p>
    <w:p>
      <w:pPr>
        <w:spacing w:after="100"/>
      </w:pPr>
      <w:r>
        <w:rPr>
          <w:b/>
        </w:rPr>
        <w:t xml:space="preserve">La recomendación y por qué.</w:t>
      </w:r>
      <w:r>
        <w:t xml:space="preserve"> Mantener, con convicción media. El valor objetivo es de 55,24 USD frente a 56,56: un potencial del −2,3 % y una rentabilidad total esperada del 0,2 % con el dividendo, con una asimetría de 0,28 veces (alcista +6,5 %, bajista −23,0 %). Con la prima que hoy pide el mercado (4,2 %), el valor sube a 62,35 USD y la rentabilidad total al 12,7 %, aún por debajo del 15 % que exige comprar. Las dos reglas dan Mantener: el precio ya paga un negocio excelente que no crece.</w:t>
      </w:r>
    </w:p>
    <w:p>
      <w:pPr>
        <w:spacing w:after="100"/>
      </w:pPr>
      <w:r>
        <w:rPr>
          <w:b/>
        </w:rPr>
        <w:t xml:space="preserve">El negocio.</w:t>
      </w:r>
      <w:r>
        <w:t xml:space="preserve"> Es el primer fabricante de calentadores de agua de Norteamérica, un mercado de reposición (80-85 % de la demanda) con ROIC del 30,7 %, tres veces su WACC del 10,46 %, y un margen de segmento del 24,4 % en Norteamérica [1, 28]. El foso es estrecho y estable: canal mayorista, marcas y escala. Su punto débil es que el volumen no crece: 9,24 M de calentadores residenciales enviados en EE. UU. en 2020 y 9,28 M en 2025; todo el crecimiento es precio [22, 24].</w:t>
      </w:r>
    </w:p>
    <w:p>
      <w:pPr>
        <w:spacing w:after="100"/>
      </w:pPr>
      <w:r>
        <w:rPr>
          <w:b/>
        </w:rPr>
        <w:t xml:space="preserve">Sector y ciclo.</w:t>
      </w:r>
      <w:r>
        <w:t xml:space="preserve"> El sector está en contracción: los envíos caen un 4,0 % hasta julio [23]. La norma del DOE obliga a usar bomba de calor en los eléctricos desde mayo de 2029 [25]: sube el precio medio, pero abre la puerta a fabricantes de climatización. China, el 18 % de las ventas en 2025, cae un 28 % en moneda local y está en revisión estratégica [1, 16].</w:t>
      </w:r>
    </w:p>
    <w:p>
      <w:pPr>
        <w:spacing w:after="100"/>
      </w:pPr>
      <w:r>
        <w:rPr>
          <w:b/>
        </w:rPr>
        <w:t xml:space="preserve">Finanzas.</w:t>
      </w:r>
      <w:r>
        <w:t xml:space="preserve"> Las ventas llevan tres años planas (3.853 M en 2023, 3.830 M en 2025) y la guía de 2026 se ha recortado dos veces [1, 16]. La caja es excelente: 4.363 M de flujo libre en la década, el 105 % del beneficio, y una deuda neta ajustada de 462 M (0,6 veces el EBITDA) tras pagar 470 M por Leonard Valve, a 13,7 veces el EBITDA [96].</w:t>
      </w:r>
    </w:p>
    <w:p>
      <w:pPr>
        <w:spacing w:after="100"/>
      </w:pPr>
      <w:r>
        <w:rPr>
          <w:b/>
        </w:rPr>
        <w:t xml:space="preserve">Equipo y gobierno.</w:t>
      </w:r>
      <w:r>
        <w:t xml:space="preserve"> Resta algo. El trust de la familia Smith tiene el 67,9 % del voto con el 18,9 % del capital y elige 6 de los 10 consejeros [42]. La cúpula es nueva: primer ejecutivo desde 2025 y presidente desde julio, y directora financiera de fuera del sector [48, 49]. La guía se cumplió en tres de los últimos seis años [10, 14, 56, 57, 58, 59, 60].</w:t>
      </w:r>
    </w:p>
    <w:p>
      <w:pPr>
        <w:spacing w:after="100"/>
      </w:pPr>
      <w:r>
        <w:rPr>
          <w:b/>
        </w:rPr>
        <w:t xml:space="preserve">Valoración.</w:t>
      </w:r>
      <w:r>
        <w:t xml:space="preserve"> El DCF da 53,34 USD; los comparables, 61,49 (EV/EBITDA) y 57,88 (PER); la suma de partes, 58,27; los escenarios, 52,62. A 10,8 veces el EBITDA, frente a una media de 14,9 en la década, parece barata, pero el DCF inverso dice que el precio descuenta un crecimiento del 5,1 % anual en 2027-2032, frente a nuestro 3,6 % y al 4,0 % del consenso. El descuento frente a su historia se debe al Tesoro al 5,28 %, no al pesimismo [72]. Nuestras cifras están un 2-3 % por debajo del EBITDA del consenso [65].</w:t>
      </w:r>
    </w:p>
    <w:p>
      <w:pPr>
        <w:spacing w:after="100"/>
      </w:pPr>
      <w:r>
        <w:rPr>
          <w:b/>
        </w:rPr>
        <w:t xml:space="preserve">Riesgos y catalizadores.</w:t>
      </w:r>
      <w:r>
        <w:t xml:space="preserve"> El mayor riesgo es una recesión de la vivienda como la de 2019-2020 (bajista, −23,0 %); cada punto de margen EBITDA vale un 5,8 % y medio punto de WACC, un 6,5 %. China pesa poco en el valor (unos 2,15 USD por acción). Catalizadores: resultados del 3T26 y decisión sobre China el 29 de octubre, y guía de 2027 a finales de enero [71].</w:t>
      </w:r>
    </w:p>
    <w:p>
      <w:pPr>
        <w:spacing w:after="100"/>
      </w:pPr>
      <w:r>
        <w:rPr>
          <w:b/>
        </w:rPr>
        <w:t xml:space="preserve">Qué cambiaría la decisión.</w:t>
      </w:r>
      <w:r>
        <w:t xml:space="preserve"> Compraríamos por debajo de 55,41 USD y venderíamos por encima de 65,90. Pasaríamos a Comprar si los envíos de AHRI vuelven a crecer con el margen de Norteamérica por encima del 24 %, o si la guía de 2027 apunta a un BPA de al menos 4,10 USD. Pasaríamos a Vender si el margen ajustado de Norteamérica baja del 22 %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55,24 USD</w:t>
      </w:r>
      <w:r>
        <w:t xml:space="preserve"> (-2,3 % sobre 56,56; rentabilidad total esperada +0,2 %) · con la prima implícita del mercado: 62,35 (+10,2 %)</w:t>
      </w:r>
    </w:p>
    <w:p>
      <w:pPr>
        <w:spacing w:after="100"/>
      </w:pPr>
      <w:r>
        <w:t xml:space="preserve">A. O. Smith es el primer fabricante de calentadores de agua de Norteamérica, un mercado en el que el 80-85 % de la demanda es reposición de equipos rotos [1, 28]. Ese mercado le da un ROIC del 30,7 % y una conversión de beneficio en caja del 105 % en la década, que ha devuelto en dividendos (más de 30 años seguidos de subidas) y recompras [1, 9]. Lo que no le da es volumen: los envíos de la industria están en 9,2-9,9 M de unidades desde 2020, y el crecimiento de la última década ha sido precio [22, 24].</w:t>
      </w:r>
    </w:p>
    <w:p>
      <w:pPr>
        <w:spacing w:after="100"/>
      </w:pPr>
      <w:r>
        <w:t xml:space="preserve">A 56,56 USD el mercado paga 10,8 veces el EBITDA y 15,8 veces el beneficio de los últimos doce meses, por debajo del mínimo de los cierres de la década (11,2 y 16,6 veces). El DCF inverso dice otra cosa: con nuestro margen, el precio descuenta un crecimiento del 5,1 % anual en 2027-2032, más que el 4,0 % de la década y que el consenso. El múltiplo bajo refleja el Tesoro al 5,28 % y tres años sin crecer, no un mercado que se equivoque [72].</w:t>
      </w:r>
    </w:p>
    <w:p>
      <w:pPr>
        <w:spacing w:after="100"/>
      </w:pPr>
      <w:r>
        <w:t xml:space="preserve">Para comprar hay que creer una de dos cosas: que la norma de bombas de calor de 2029 subirá el precio medio de forma duradera sin ceder cuota a la climatización, o que el mercado aceptará una prima de riesgo baja de forma permanente; con ella el valor sube a 62,35 USD. Ninguna de las dos se puede verificar antes del 3T26, cuando la empresa dirá qué hace con China [71].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 -23,0 %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 frente a 10,5 %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frente a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55,41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55,41 y 65,90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65,90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55,41 USD sin cambio en las cifras, pasaríamos a Comprar.</w:t>
      </w:r>
    </w:p>
    <w:p>
      <w:pPr>
        <w:pStyle w:val="ListParagraph"/>
        <w:numPr>
          <w:ilvl w:val="0"/>
          <w:numId w:val="2"/>
        </w:numPr>
        <w:spacing w:after="60"/>
      </w:pPr>
      <w:r>
        <w:t xml:space="preserve">Si el precio supera los 65,90 USD, pasaríamos a Vender.</w:t>
      </w:r>
    </w:p>
    <w:p>
      <w:pPr>
        <w:pStyle w:val="ListParagraph"/>
        <w:numPr>
          <w:ilvl w:val="0"/>
          <w:numId w:val="2"/>
        </w:numPr>
        <w:spacing w:after="60"/>
      </w:pPr>
      <w:r>
        <w:t xml:space="preserve">Si el margen ajustado de Norteamérica baja del 22 % dos trimestres seguidos (24,4 % en el 2T26), pasaríamos a Vender.</w:t>
      </w:r>
    </w:p>
    <w:p>
      <w:pPr>
        <w:pStyle w:val="ListParagraph"/>
        <w:numPr>
          <w:ilvl w:val="0"/>
          <w:numId w:val="2"/>
        </w:numPr>
        <w:spacing w:after="60"/>
      </w:pPr>
      <w:r>
        <w:t xml:space="preserve">Si la guía de 2027 apunta a un BPA de al menos 4,10 USD con los envíos de AHRI creciendo, pasaríamos a Comprar.</w:t>
      </w:r>
    </w:p>
    <w:p>
      <w:pPr>
        <w:pStyle w:val="ListParagraph"/>
        <w:numPr>
          <w:ilvl w:val="0"/>
          <w:numId w:val="2"/>
        </w:numPr>
        <w:spacing w:after="60"/>
      </w:pPr>
      <w:r>
        <w:t xml:space="preserve">Si la salida de China cuesta caja o garantías por encima de 200 M, revisaríamos el valor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 O. Smith ha tocado fondo: 14,2 veces el beneficio esperado y 15,8 veces el de los últimos doce meses, por debajo del mínimo de la década, con un consenso que espera un crecimiento del 4,0 % en 2027 y 2028, un margen EBITDA que sube al 21,4 % y un precio objetivo medio de 69,91 USD (5 comprar, 6 mantener, 2 vender) [65, 69].</w:t>
      </w:r>
    </w:p>
    <w:p>
      <w:pPr>
        <w:keepNext/>
        <w:spacing w:after="100"/>
      </w:pPr>
      <w:r>
        <w:rPr>
          <w:b/>
          <w:bCs/>
        </w:rPr>
        <w:t xml:space="preserve">Lo que creemos nosotros.</w:t>
      </w:r>
    </w:p>
    <w:p>
      <w:pPr>
        <w:spacing w:after="100"/>
      </w:pPr>
      <w:r>
        <w:t xml:space="preserve">El múltiplo bajo no es una oportunidad: con un Tesoro al 5,28 % y un beneficio plano desde 2023, el precio ya pide un 5,1 % de crecimiento anual. Proyectamos un 3,6 % y un margen del 21,0 %, en línea con el máximo histórico, y un EBITDA un 2-3 % inferior al consenso.</w:t>
      </w:r>
    </w:p>
    <w:p>
      <w:pPr>
        <w:keepNext/>
        <w:spacing w:after="100"/>
      </w:pPr>
      <w:r>
        <w:rPr>
          <w:b/>
          <w:bCs/>
        </w:rPr>
        <w:t xml:space="preserve">Por qué podemos tener razón.</w:t>
      </w:r>
    </w:p>
    <w:p>
      <w:pPr>
        <w:spacing w:after="100"/>
      </w:pPr>
      <w:r>
        <w:t xml:space="preserve">Porque el volumen del sector lleva cinco años plano y en 2026 cae [22, 23]; porque la guía se ha cumplido en tres de seis años y se ha recortado dos veces en 2026 [10, 15]; y porque la reestructuración que la empresa ajusta se repite casi todos los años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ROIC del 30,7 %</w:t>
      </w:r>
      <w:r>
        <w:t xml:space="preserve">, tres veces el WACC, todos los años desde 2016.</w:t>
      </w:r>
    </w:p>
    <w:p>
      <w:pPr>
        <w:pStyle w:val="ListParagraph"/>
        <w:numPr>
          <w:ilvl w:val="0"/>
          <w:numId w:val="2"/>
        </w:numPr>
        <w:spacing w:after="60"/>
      </w:pPr>
      <w:r>
        <w:rPr>
          <w:b/>
        </w:rPr>
        <w:t xml:space="preserve">Caja excelente</w:t>
      </w:r>
      <w:r>
        <w:t xml:space="preserve">: 4.363 M de flujo libre en 2016-2025, el 105 % del beneficio, y una rentabilidad por flujo libre del 8,3 %.</w:t>
      </w:r>
    </w:p>
    <w:p>
      <w:pPr>
        <w:pStyle w:val="ListParagraph"/>
        <w:numPr>
          <w:ilvl w:val="0"/>
          <w:numId w:val="2"/>
        </w:numPr>
        <w:spacing w:after="60"/>
      </w:pPr>
      <w:r>
        <w:rPr>
          <w:b/>
        </w:rPr>
        <w:t xml:space="preserve">Balance holgado</w:t>
      </w:r>
      <w:r>
        <w:t xml:space="preserve">: deuda neta de 0,6 veces el EBITDA incluso tras pagar 470 M por Leonard Valve.</w:t>
      </w:r>
    </w:p>
    <w:p>
      <w:pPr>
        <w:pStyle w:val="ListParagraph"/>
        <w:numPr>
          <w:ilvl w:val="0"/>
          <w:numId w:val="2"/>
        </w:numPr>
        <w:spacing w:after="60"/>
      </w:pPr>
      <w:r>
        <w:rPr>
          <w:b/>
        </w:rPr>
        <w:t xml:space="preserve">Mínimos de valoración de la década</w:t>
      </w:r>
      <w:r>
        <w:t xml:space="preserve">: 10,8 veces el EBITDA frente a una media de 14,9.</w:t>
      </w:r>
    </w:p>
    <w:p>
      <w:pPr>
        <w:pStyle w:val="ListParagraph"/>
        <w:numPr>
          <w:ilvl w:val="0"/>
          <w:numId w:val="2"/>
        </w:numPr>
        <w:spacing w:after="60"/>
      </w:pPr>
      <w:r>
        <w:rPr>
          <w:b/>
        </w:rPr>
        <w:t xml:space="preserve">Mercado de reposición</w:t>
      </w:r>
      <w:r>
        <w:t xml:space="preserve">: el 80-85 % de la demanda no depende de la obra nueva [28].</w:t>
      </w:r>
    </w:p>
    <w:p>
      <w:pPr>
        <w:pStyle w:val="Heading2"/>
      </w:pPr>
      <w:r>
        <w:t xml:space="preserve">En contra</w:t>
      </w:r>
    </w:p>
    <w:p>
      <w:pPr>
        <w:pStyle w:val="ListParagraph"/>
        <w:numPr>
          <w:ilvl w:val="0"/>
          <w:numId w:val="2"/>
        </w:numPr>
        <w:spacing w:after="60"/>
      </w:pPr>
      <w:r>
        <w:rPr>
          <w:b/>
        </w:rPr>
        <w:t xml:space="preserve">Sin crecimiento</w:t>
      </w:r>
      <w:r>
        <w:t xml:space="preserve">: ventas de 3.853 M en 2023 y 3.830 M en 2025; el volumen del sector, plano desde 2020 [1, 22].</w:t>
      </w:r>
    </w:p>
    <w:p>
      <w:pPr>
        <w:pStyle w:val="ListParagraph"/>
        <w:numPr>
          <w:ilvl w:val="0"/>
          <w:numId w:val="2"/>
        </w:numPr>
        <w:spacing w:after="60"/>
      </w:pPr>
      <w:r>
        <w:rPr>
          <w:b/>
        </w:rPr>
        <w:t xml:space="preserve">El precio pide más de lo que da la historia</w:t>
      </w:r>
      <w:r>
        <w:t xml:space="preserve">: un 5,1 % de crecimiento anual frente al 4,0 % de la década.</w:t>
      </w:r>
    </w:p>
    <w:p>
      <w:pPr>
        <w:pStyle w:val="ListParagraph"/>
        <w:numPr>
          <w:ilvl w:val="0"/>
          <w:numId w:val="2"/>
        </w:numPr>
        <w:spacing w:after="60"/>
      </w:pPr>
      <w:r>
        <w:rPr>
          <w:b/>
        </w:rPr>
        <w:t xml:space="preserve">China a la deriva</w:t>
      </w:r>
      <w:r>
        <w:t xml:space="preserve">: de 1.070 M de ventas en 2018 a 690 M en 2025, y −28 % en el 2T26 [1, 16].</w:t>
      </w:r>
    </w:p>
    <w:p>
      <w:pPr>
        <w:pStyle w:val="ListParagraph"/>
        <w:numPr>
          <w:ilvl w:val="0"/>
          <w:numId w:val="2"/>
        </w:numPr>
        <w:spacing w:after="60"/>
      </w:pPr>
      <w:r>
        <w:rPr>
          <w:b/>
        </w:rPr>
        <w:t xml:space="preserve">Asimetría mala</w:t>
      </w:r>
      <w:r>
        <w:t xml:space="preserve">: bajista −23,0 % frente a un alcista del +6,5 %.</w:t>
      </w:r>
    </w:p>
    <w:p>
      <w:pPr>
        <w:pStyle w:val="ListParagraph"/>
        <w:numPr>
          <w:ilvl w:val="0"/>
          <w:numId w:val="2"/>
        </w:numPr>
        <w:spacing w:after="60"/>
      </w:pPr>
      <w:r>
        <w:rPr>
          <w:b/>
        </w:rPr>
        <w:t xml:space="preserve">Gobierno con control familiar y cúpula nueva</w:t>
      </w:r>
      <w:r>
        <w:t xml:space="preserve">: 67,9 % del voto con el 18,9 % del capital; dos cambios de cúpula en 24 meses [42].</w:t>
      </w:r>
    </w:p>
    <w:p>
      <w:pPr>
        <w:pStyle w:val="Heading2"/>
      </w:pPr>
      <w:r>
        <w:t xml:space="preserve">Qué tiene que pasar para que la tesis funcione</w:t>
      </w:r>
    </w:p>
    <w:p>
      <w:pPr>
        <w:spacing w:after="100"/>
      </w:pPr>
      <w:r>
        <w:t xml:space="preserve">La tesis depende de que el precio siga cubriendo el acero mientras el volumen no crece. La señal de que no se cumple es el margen ajustado de Norteamérica: estaba en el 24,4 % en el 2T26 [16]; por debajo del 22 % dos trimestres seguidos, el precio habría dejado de compensar el coste o se estaría cediendo cuota. La segunda señal son los envíos mensuales de AHRI: −4,0 % hasta julio [23].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precio cubre el acero y los aranceles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residenciales de AHRI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(enero-julio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o &gt;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volumen del mercado de reposición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China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Decisión del 29-oct-2026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perímetro del grupo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de la guía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Consenso 4,08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3,90 o ≥ 4,10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2026 es el suelo [65].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 de la próxima compra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Leonard Valve 13,7x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Disciplina en la asignación de capital [96].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 / 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 14,2x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Charles J. Smith abrió en 1874 un taller mecánico en Milwaukee que creció haciendo piezas de bicicleta y, desde 1899, bastidores de automóvil de acero prensado: hacia 1910 era el mayor fabricante de bastidores de Norteamérica [41]. En 1936 patentó el revestimiento de vidrio del tanque de acero, base del calentador de agua moderno [41]. La empresa diversificó en motores eléctricos, tuberías y silos, y entre 1997 y 2011 se deshizo de todo eso (automoción en 1997, motores eléctricos a Regal Beloit en 2011) para quedarse con el agua [41]. Las compras de State Industries (2001), GSW-American Water Heater (2006) y Lochinvar (2011) la hicieron líder en Norteamérica; China (desde 1995) e India (2008) le dieron crecimiento, y desde 2016 compra empresas de tratamiento de agua [1, 41]. La familia Smith mantiene el control con el 67,8 % del voto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J. Smith funda un taller mecánico en Milwaukee (Wisconsin)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Patenta el revestimiento de vidrio del tanque de acero; empieza a fabricar calentadores residenciales tres años después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China con tres sociedades conjuntas; en 1998 compra la parte del socio en calentadores y abre fábrica en Nanjing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 la automoción, su negocio original, tras 98 años: vende los bastidores a Tower Automotive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State Industries y casi duplica su negocio de calentadores, con entrada en el canal minorista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GSW (Canadá) y American Water Heater, la mayor adquisición de su historia hasta entonces, y se convierte en líder de Norteamérica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vender en India; fabrica allí calentadores desde 2010 y purificadores desde 2015 [1,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los motores eléctricos a Regal Beloit y compra Lochinvar, fabricante de calderas de condensación de alta eficiencia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tratamiento de agua de Norteamérica con Aquasana, seguida de Hague (2017), Water-Right (2019), Master Water (2021), Atlantic Filter (2022) y Water Tec (2023)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Pureit a Unilever (≈ 125 M USD), purificadores en India y el sur de Asia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tercer trimestre abre una evaluación estratégica de su negocio en China, con alianzas y otras alternativas; sigue abierta en julio de 2026 [6,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Leonard Valve (válvulas de control de temperatura del agua) por 470 M USD, financiada con un préstamo bancario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 O. Smith fabrica calentadores de agua, calderas y equipos de tratamiento de agua. En 2025 Norteamérica supuso el 78 % de las ventas: calentadores residenciales y comerciales de gas, eléctricos, de bomba de calor e instantáneos (2.460 M USD), calderas Lochinvar (281 M USD) y tratamiento de agua (243 M USD) [1]. Vende a través de unos 800 mayoristas independientes de fontanería con las marcas A. O. Smith y State, del canal minorista (cuatro de las seis mayores cadenas de bricolaje, con exclusiva en Lowe's) y, en calderas, de representantes de fabricante [1]. El 22 % restante es Resto del Mundo: China (690 M USD; calentadores, purificadores de ósmosis inversa y cocina en ≈ 8.700 puntos de venta), India con Pureit y Europa [1]. Tiene 23 fábricas en Norteamérica (13 estados de EE. UU., Canadá y México) y 5 fuera, con 11.500 empleados, 4.200 de ellos en China [1]. Desde enero de 2026 suma Leonard Valve, con ≈ 70 M USD de ventas previstas [6].</w:t>
      </w:r>
    </w:p>
    <w:p>
      <w:pPr>
        <w:pStyle w:val="Heading2"/>
      </w:pPr>
      <w:r>
        <w:t xml:space="preserve">Cómo gana dinero</w:t>
      </w:r>
    </w:p>
    <w:p>
      <w:pPr>
        <w:spacing w:after="100"/>
      </w:pPr>
      <w:r>
        <w:t xml:space="preserve">La mayor parte de la demanda de EE. UU. es reposición de equipos averiados: la dirección la sitúa en el 80-85 % del sector [28], lo que da un volumen estable (9,2-9,8 millones de calentadores residenciales al año desde 2020 [22, 24]) y poco ligado a la obra nueva. Es un negocio de ciclo corto, sin cartera de pedidos [1]. El margen depende sobre todo del precio frente al acero: AOS subió precios en el primer semestre de 2025 y el margen bruto pasó del 38,1 % al 38,8 % [1]; en el 2T26 el acero costó ≈ 20 % más y el margen ajustado de Norteamérica bajó 100 puntos básicos hasta el 24,4 %, a la espera de otra subida del 4-7 % [6, 21, 28]. Las subidas anunciadas adelantan compras, lo que desplaza ventas entre trimestres [6]. Norteamérica gana un 24,4 % sobre ventas y Resto del Mundo un 8,7 % (2025), que cae al 5,2 % en el 2T26 por China [1, 21].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Alta concentración: los cinco primeros clientes fueron el 41 % de las ventas de 2025 y los dos mayores de Norteamérica compraron 599,7 M USD (16 %) y 467,8 M USD (12 %) [1]. Son grandes mayoristas de fontanería y cadenas minoristas, sin contratos de larga duración que publique la empresa; parte de los clientes acepta contractualmente precios ligados al acero [1]. El poder de precio está demostrado: con aranceles y acero al alza, las ventas de Norteamérica subieron en 2025 por precio pese a menos unidades residenciales, y el margen del segmento pasó del 24,0 % al 24,4 % [1]. El coste fue cuota: AOS reconoce que rindió por debajo del mercado en el primer semestre de 2025 al limitar las compras anticipadas antes de su subida de mayo [20]. En China cobra por adelantado a parte de los distribuidores (34,2 M USD de depósitos a cierre de 2025) y ha cerrado el programa de financiación de distribuidores con un proveedor logístico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calentadores de agua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frente a 2024: el precio compensó menos volumen residencial mayorista. La empresa dice que la gran mayoría de su mercado es reposición, sin dar el porcentaje en el 10-K; la reposición de calentadores residenciales del sector quedó plana en 2025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calderas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En el 2T26 crecieron un 21 % y la empresa espera +6-8 % en 2026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tratamiento de agua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Negocio armado con siete compras desde 2016; reestructurado en 2024 (6,3 M) y otra vez en 2026 (22,6 M)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terceros en China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 (2024: −5,2 % en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la empresa solo dio la caída en moneda local del segmento entero (−4 %); en 2025 fue −4 % en el 1T y −12 % en el 3T [11, 13]. Ventas de China en USD: 1.070,4 M en 2018, 791,9 M en 2024 y 689,5 M en 2025; la empresa prevé una caída de dos cifras bajas en 2026 y revisa alternativas estratégicas desde julio de 2025 [1, 5, 6,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India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Pureit, comprada en el 4T24, aportó 54 M de ventas en 2025; el crecimiento orgánico de India fue del 13 % en el 3T25 y del 18 % en el 4T25 [9,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Aportación de Leonard Valve a las ventas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unos 70 M en 2026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Subidas de precio anunciadas en calentadores y calderas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(abril de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al acero y otros insumos; en vigor desde final del 2T26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calentadores de agua de EE. UU. y Canadá, residenciales y comerciales, donde AOS hace 2.460 M USD de sus 3.830 M de ventas de 2025 [1]; se completa con calderas de condensación comerciales (281 M USD) y tratamiento de agua doméstico (243 M USD) en Norteamérica, y con calentadores, purificadores y cocina en China (690 M USD) [1]. Para el tamaño se usan las unidades que envían los fabricantes a EE. UU. según la asociación sectorial AHRI (calentadores de acumulación de gas y eléctricos; no incluye los instantáneos) [22, 23, 24], estadística completa y gratuita. La cifra en dólares de Arizton [29] se da solo como contraste porque mide un perímetro más estrecho: 3.450 M USD en 2023 es incompatible con que AOS facture 2.460 M USD solo en calentadores norteamericanos con una cuota que la propia empresa califica de líder. El crecimiento previsto (6,7 % anual, en valor) es el de Arizton.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millones de calentadores residenciales de acumulación enviados en EE. UU. en 2025 (4,25 M de gas y 5,03 M eléctricos) y 248.873 comerciales [22]; en valor, ≈ 3.450 M USD en 2023 según Arizton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calentadores residenciales de acumulación (gas y eléctricos) enviados en EE. UU.)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Reposición del parque instalado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es el 80-85 % de la demanda del sector según la dirección [28]; los envíos residenciales se mueven en una banda estrecha: 9,24 M en 2020, 9,85 M en 2021 y 9,28 M en 2025 [22,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nueva residencial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residencial nueva cayó en 2025 y AOS prevé menos viviendas terminadas en 2026 [1]; los envíos residenciales caen un 4,0 % hasta julio de 2026 (gas −2,5 %, eléctricos −5,2 %) [23] y la empresa espera un descenso de un dígito bajo en el año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Normas de eficiencia del DOE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 comercial exige condensación en gas y adelantó compras: el sector comercial creció ≈ 5 % en 2025 [1]; la residencial de 2029 obliga a bomba de calor en eléctricos de más de 35 galones, con un sobrecoste de equipos de ≈ 2.623 M USD al año según el DOE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coste del acero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AOS subió precios en el primer semestre de 2025 y otra vez un 4-7 % al final del 2T26; el acero costó ≈ 20 % más en el 2T26 y ≈ 15 % más en el conjunto de 2026 [6,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China y fin de subvenciones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AOS en China cayeron un 12 % en moneda local en 2025 y un 28 % en el 2T26 tras el fin de las subvenciones a electrodomésticos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los incentivos fiscales a la eficiencia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crédito 25C, que cubría las bombas de calor para agua, no se aplica a equipos instalados desde el 1 de enero de 2026 [27]; la dirección dice que la adopción de la bomba de calor depende de normas y ayudas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Arizton cita a AOS, Bradford White y Rheem como los tres grandes [29], que suben precios a la par (AOS: subidas en 2025 y del 4-7 % en 2026 [6]); pero el canal mayorista residencial pierde peso frente al minorista y los fabricantes asiáticos de instantáneos (Rinnai, Navien) presionan [1,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clientes son el 41 % de las ventas de AOS y los dos mayores, el 28 %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acero es la principal materia prima y se traslada con retraso; para algunas piezas hay pocos proveedores [1]. En el 2T26 el acero subió ≈ 20 %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eficiencia, red de mayoristas e instaladores y escala fabril: solo la norma residencial de 2029 obliga a la industria a invertir ≈ 240 M USD en conversión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 instantáneo y la bomba de calor ganan peso; AOS los fabrica, pero su propio 10-K señala nuevos competidores precisamente en esas dos tecnologías [1].</w:t>
            </w:r>
          </w:p>
        </w:tc>
      </w:tr>
    </w:tbl>
    <w:p>
      <w:pPr>
        <w:spacing w:after="160" w:before="0"/>
      </w:pPr>
    </w:p>
    <w:p>
      <w:pPr>
        <w:pStyle w:val="Heading2"/>
      </w:pPr>
      <w:r>
        <w:t xml:space="preserve">Ciclo</w:t>
      </w:r>
    </w:p>
    <w:p>
      <w:pPr>
        <w:spacing w:after="100"/>
      </w:pPr>
      <w:r>
        <w:t xml:space="preserve">Los envíos residenciales de AHRI caen un 4,0 % hasta julio de 2026 [23] y AOS rebajó en julio su previsión del sector a un descenso de un dígito bajo [6]; el comercial queda plano tras el adelanto de compras de 2025 [6]. La reposición amortigua los ciclos: en 2021, con la vivienda al alza, los envíos subieron un 6,6 % [24], y en 2025 apenas variaron [22]. Desde 2020 el valor del mercado ha crecido por precio, no por volumen.</w:t>
      </w:r>
    </w:p>
    <w:p>
      <w:pPr>
        <w:pStyle w:val="Heading2"/>
      </w:pPr>
      <w:r>
        <w:t xml:space="preserve">Regulación</w:t>
      </w:r>
    </w:p>
    <w:p>
      <w:pPr>
        <w:spacing w:after="100"/>
      </w:pPr>
      <w:r>
        <w:t xml:space="preserve">La norma del DOE para calentadores residenciales (89 FR 37778, 6 de mayo de 2024) obliga desde el 6 de mayo de 2029 a usar bomba de calor en los eléctricos de acumulación de más de 35 galones y sube la eficiencia de los de gas de 20-55 galones; excluye los de gas instantáneos [25, 30]. No consta que se haya aplazado; la de instantáneos de gas (diciembre de 2024) vio retrasada su entrada en vigor hasta mayo de 2025 [31]. La norma comercial, que exige condensación en gas desde el 6 de octubre de 2026, no se aplicará hasta octubre de 2027 (declaración del DOE de 24 de abril de 2026), con un recurso de la American Gas Association ante el Supremo y una petición para llevarla a 2030 [6, 26]. La ley de julio de 2025 (One Big Beautiful Bill) eliminó el crédito 25C desde 2026 [27]. Tras anularse los aranceles de emergencia, los que los sustituyen costarán algo más a AOS, según su directora financiera [28].</w:t>
      </w:r>
    </w:p>
    <w:p>
      <w:pPr>
        <w:pStyle w:val="Heading2"/>
      </w:pPr>
      <w:r>
        <w:t xml:space="preserve">Tendencias y disrupción</w:t>
      </w:r>
    </w:p>
    <w:p>
      <w:pPr>
        <w:spacing w:after="100"/>
      </w:pPr>
      <w:r>
        <w:t xml:space="preserve">Electrificación con bomba de calor y gas instantáneo de condensación son las tecnologías que crecen; AOS lanzó en 2024 un instantáneo de diseño y fabricación propios (ADAPT) y bombas de calor comerciales (VERITUS) [1] y amplió capacidad en Juárez (México) [1]. El canal minorista gana cuota a los mayoristas [28]. El tratamiento de agua se apoya en las normas sobre PFAS y la sustitución de tuberías de plomo [1]. En China, Haier y Midea compiten con ecosistemas conectados y precio, y el consumidor se desplaza a gamas más baratas y al comercio electrónico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de calentadores de agua de Norteamérica, con cuota líder en residencial y en comercial según la propia empresa, que no publica la cifra [1]. Lochinvar es una de las marcas líderes de calderas residenciales y comerciales [1]. En China dice estar entre los líderes en valor en calentadores y purificadores de ósmosis inversa, con ventas que cayeron de 835 M USD en 2023 a 690 M USD en 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Rheem (Paloma Rheem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principal en calentadores, con calefacción y climatización; privada. Su matriz Paloma declaraba 674.900 M JPY de ventas en 2021, última cifra que publica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Bradford White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AOS la cita entre sus competidores principales en calentadores [1].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Rinnai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5947.T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de AOS en Norteamérica y China [1], fuerte en calentadores instantáneos de gas. Ejercicio a marzo de 2026: 470.392 M JPY de ventas y 50.282 M JPY de resultado de explotación [38], convertidos a 159,5 JPY/USD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Ariston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Calentadores y calefacción, sobre todo en Europa; en América solo 270 M EUR. 2025: 2.707,1 M EUR y EBIT de 178,2 M EUR (7,1 % ajustado) [32], a 1,175 USD/EUR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Válvulas, control de flujo y calefacción; el comparable cotizado más cercano de Leonard Valve. 2025: 2.438,5 M USD y 448,1 M USD de resultado de explotación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en tratamiento de agua residencial en EE. UU. [1], además de bombas y piscina. 2025: 4.176,0 M USD y 857,5 M USD de resultado de explotación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residencial y comercial vendida por el mismo canal de instaladores; no compite en calentadores de agua, solo sirve de referencia de márgenes. 2025: 5.195,3 M USD y 1.041,5 M USD de resultado de explotación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y bombas de calor; no encaja como competidor en calentadores y su tamaño es seis veces el de AOS. 2025: 21.747 M USD y 2.172 M USD de resultado de explotación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Fluidra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FDR.MC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Equipos de piscina; solo coincide en calentadores de piscina y spa, una línea menor de AOS [1]. 2025: 2.183,7 M EUR y EBIT de 309,3 M EUR [37], a 1,175 USD/EUR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propiamente dichos; la red de ≈ 800 mayoristas y de instaladores refuerza la distribución, no el valor del producto para cada usuario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es urgente y la decide el instalador, que repite la marca que conoce y tiene en el almacén; para el usuario final cambiar de marca no cuesta nada. AOS perdió cuota en el primer semestre de 2025 al limitar las compras anticipadas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A. O. Smith, State, American y Lochinvar y exclusiva en Lowe's [1]; la empresa dice no depender de ninguna patente concreta [1]. En China la marca premium no ha frenado una caída del 28 % en el 2T26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segmento en Norteamérica del 24,4 % en 2025 [1], frente al 10,7 % de explotación de Rinnai [21] y el 6,6 % de Ariston [15]; 23 fábricas en la región y producción en México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maduro de ≈ 9,3 millones de unidades al año sin crecimiento desde 2020 [5, 7], repartido entre tres grandes fabricantes [12]: un entrante no recuperaría la inversión (solo la norma de 2029 exige ≈ 240 M USD de conversión a la industria [8]).</w:t>
            </w:r>
          </w:p>
        </w:tc>
      </w:tr>
    </w:tbl>
    <w:p>
      <w:pPr>
        <w:spacing w:after="160" w:before="0"/>
      </w:pPr>
    </w:p>
    <w:p>
      <w:pPr>
        <w:pStyle w:val="Heading2"/>
      </w:pPr>
      <w:r>
        <w:t xml:space="preserve">Amenazas</w:t>
      </w:r>
    </w:p>
    <w:p>
      <w:pPr>
        <w:spacing w:after="100"/>
      </w:pPr>
      <w:r>
        <w:t xml:space="preserve">Tres riesgos con probabilidad media. Primero, la tecnología: los instantáneos de gas y las bombas de calor, donde AOS no es líder, abren la puerta a fabricantes asiáticos (Rinnai, Navien) y a los de climatización; la norma de 2029 los empuja en eléctricos [1, 25]. Segundo, el canal: dos clientes son el 28 % de las ventas y el minorista gana peso frente al mayorista, donde AOS es más fuerte [1, 28]. Tercero, China: la caída del 28 % en el 2T26 y la evaluación estratégica en curso pueden acabar en venta o alianza con efecto contable [6, 28].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2016-2025: ingresos </w:t>
      </w:r>
      <w:r>
        <w:rPr>
          <w:b/>
          <w:bCs/>
        </w:rPr>
        <w:t xml:space="preserve">4,0 %</w:t>
      </w:r>
      <w:r>
        <w:t xml:space="preserve">, EBITDA </w:t>
      </w:r>
      <w:r>
        <w:rPr>
          <w:b/>
          <w:bCs/>
        </w:rPr>
        <w:t xml:space="preserve">5,2 %</w:t>
      </w:r>
      <w:r>
        <w:t xml:space="preserve">, BPA </w:t>
      </w:r>
      <w:r>
        <w:rPr>
          <w:b/>
          <w:bCs/>
        </w:rPr>
        <w:t xml:space="preserve">8,5 %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2.685,9 M en 2016 a 3.830,2 M en 2025, con dos fases: hasta 2018 tiraron China y Norteamérica; desde 2021 crece solo Norteamérica (1.743,2 M en 2016, 2.984,2 M en 2025), sobre todo por precio tras la inflación del acero, mientras China cae de 1.070,4 M en 2018 a 689,5 M en 2025 [1, 5]. Las compras aportan poco a las ventas (Giant, Pureit y desde 2026 Leonard Valve, unos 70 M al año) [1, 3, 6].</w:t>
      </w:r>
    </w:p>
    <w:p>
      <w:pPr>
        <w:spacing w:after="100"/>
      </w:pPr>
      <w:r>
        <w:t xml:space="preserve">El margen bruto bajó del 41,5 % de 2016 al 37,0 % de 2021 por el coste del acero, que la empresa repercute con retraso, y se recuperó al 38,8 % en 2025 [1, 3]. Los gastos comerciales y generales bajaron del 24,7 % de las ventas en 2016 al 19,8 % en 2025 [1, 7]. La caída de China, con margen de segmento del 8,7 % frente al 24,4 % de Norteamérica, mejora la mezcla del grupo [1].</w:t>
      </w:r>
    </w:p>
    <w:p>
      <w:pPr>
        <w:spacing w:after="100"/>
      </w:pPr>
      <w:r>
        <w:t xml:space="preserve">Años no comparables: 2017 lleva un cargo fiscal único por la reforma de EE. UU. (0,47 USD por acción) [4]; 2022, la liquidación del plan de pensiones (417,3 M antes de impuestos), que va por debajo del EBIT en otros gastos [2].</w:t>
      </w:r>
    </w:p>
    <w:p>
      <w:pPr>
        <w:pStyle w:val="Heading2"/>
      </w:pPr>
      <w:r>
        <w:t xml:space="preserve">Ajustes y partidas no recurrentes</w:t>
      </w:r>
    </w:p>
    <w:p>
      <w:pPr>
        <w:spacing w:after="100"/>
      </w:pPr>
      <w:r>
        <w:t xml:space="preserve">Cifras publicadas en US GAAP. EBIT = beneficio bruto menos gastos comerciales y generales menos reestructuración y deterioros; los otros ingresos y gastos (pensiones, rendimiento de la caja, sentencias) van al resultado financiero. </w:t>
      </w:r>
      <w:r>
        <w:rPr>
          <w:b/>
        </w:rPr>
        <w:t xml:space="preserve">La reestructuración se deja dentro del EBITDA en todos los años</w:t>
      </w:r>
      <w:r>
        <w:t xml:space="preserve"> porque se repite: 6,7 M en 2018 (traslado de Renton), 7,7 M en 2020, 4,3 M en 2022, 18,8 M en 2023 (sobre todo el deterioro por la venta de Turquía), 17,6 M en 2024 (China y tratamiento de agua) y 22,6 M en el LTM (tratamiento de agua de Norteamérica, 12,4 M de ellos deterioro) [1, 2, 3, 5, 6]. La empresa sí los excluye de su BPA ajustado, que por eso queda por encima del contable casi todos los años (3,73 frente a 3,63 USD en 2024). Bajo el EBIT quedan la liquidación del plan de pensiones de 2022 (417,3 M) y una sentencia cobrada ese año (11,5 M) [2]. El LTM a jun-26 incluye seis meses de Leonard Valve (32 M de ventas) y 6,8 M de costes de la compra; no hay cifras pro forma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BPA es el ajustado y el EBITDA el publicado: el del 4T24 lleva 17,6 M de reestructuración y el del 2T26, 22,6 M [10, 16]. Frente al consenso previo de BPA recogido por MarketBeat, AOS falló en el 4T24 (0,85 frente a 0,90 USD) y en el 1T26 (0,85 frente a 0,94) y batió en los demás; en el 3T24 la empresa había rebajado su previsión el 11 de octubre y el consenso ya lo recogía [9, 19].</w:t>
      </w:r>
    </w:p>
    <w:p>
      <w:pPr>
        <w:spacing w:after="100"/>
      </w:pPr>
      <w:r>
        <w:t xml:space="preserve">En la conferencia del 1T26 la dirección recortó el BPA ajustado de 2026 a 3,70-4,00 USD por China (−17 % en moneda local) y por el temporal que dañó la planta de Ashland City (unos 0,04 USD por acción), supuso un acero un 15 % más caro y anunció la reestructuración de tratamiento de agua, con margen objetivo del 15 % en 2026 [15, 18]. En la del 2T26 el tono empeoró: la previsión bajó a 3,70-3,85 USD, más cerca del extremo bajo; el sector residencial de EE. UU. caería hasta dos cifras bajas; la subida de precios se retrasó un mes para no perder cuota, y el tercer trimestre será el más flojo [16, 17]. Cambió el director financiero: Carrie Anderson sustituye a Chuck Lauber [17].</w:t>
      </w:r>
    </w:p>
    <w:p>
      <w:pPr>
        <w:spacing w:after="100"/>
      </w:pPr>
      <w:r>
        <w:t xml:space="preserve">Los analistas preguntaron sobre todo por China, el adelanto de compras antes de las subidas y los márgenes del segundo semestre. La dirección evitó concretar: dijo que en China «todas las opciones siguen sobre la mesa» y que dará una conclusión en la próxima conferencia, no cuantificó el adelanto de compras ni el efecto de los aranceles y no comentó los precios de la competencia [17,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Aquasana (tratamiento de agua, EE. UU.), consolidada desde el 8-ago-16.; 2017: Hague Quality Water (descalcificadores, EE. UU.), consolidada desde el 5-sep-17.; 2019: Water-Right (tratamiento de agua, EE. UU.), consolidada desde el 8-abr-19.; 2021: Giant Factories (calentadores, Canadá), consolidada desde el 19-oct-21: entra entera en el balance y solo dos meses y medio en la cuenta (22,9 M de ventas).; 2024: Pureit (purificadores, India), comprada a Unilever en el 4T24 por 124,6 M: entra en el balance y casi nada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empresa ha vivido casi siempre con caja neta: a 31-dic-25 tenía 193,2 M de caja y valores frente a 155,0 M de deuda [1]. La compra de Leonard Valve, pagada con un préstamo a plazo de 470 M a SOFR + 0,88 % (4,5 % en el 2T26) con vencimiento único en enero de 2029, llevó la deuda a 637,5 M y la deuda neta a 456,2 M a 30-jun-26 [6, 8]. El fondo de comercio y los intangibles suben de 1.072,9 M a 1.504,2 M en seis meses [6].</w:t>
      </w:r>
    </w:p>
    <w:p>
      <w:pPr>
        <w:spacing w:after="100"/>
      </w:pPr>
      <w:r>
        <w:t xml:space="preserve">El circulante se infló en 2021-2022 (existencias de 300,1 M en 2020 a 516,4 M en 2022) por la escasez de acero y componentes, y aún no ha vuelto: 479,3 M en 2025, con proveedores en 504,1 M, el nivel más bajo de la serie 2016-2025 [1, 2]. El calendario de vencimientos es el de la nota de deuda a 31-dic-25 más el préstamo de 470 M en 2029; el coste de la deuda de 2025 (7,8 %) está inflado por comisiones y por el uso intraanual de papel comercial, y el coste marginal es el 4,5 % del préstamo nuevo.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4.363</w:t>
      </w:r>
      <w:r>
        <w:t xml:space="preserve">, conversión </w:t>
      </w:r>
      <w:r>
        <w:rPr>
          <w:b/>
          <w:bCs/>
        </w:rPr>
        <w:t xml:space="preserve">105 %</w:t>
      </w:r>
      <w:r>
        <w:t xml:space="preserve"> del beneficio neto; adquisiciones 619, dividendos 1.536, recompras 2.604.</w:t>
      </w:r>
    </w:p>
    <w:p>
      <w:pPr>
        <w:spacing w:after="100"/>
      </w:pPr>
      <w:r>
        <w:t xml:space="preserve">La conversión de beneficio en caja es alta: el flujo libre de 2025 fue de 546,0 M, el 100 % del beneficio neto, ayudado por un ajuste fiscal único por un cambio de ley en EE. UU. [14]. El año malo fue 2022 (flujo operativo de 391,4 M), por la acumulación de existencias y más impuestos pagados (175,4 M frente a 131,2 M en 2021) [2, 7]. En el 1S26 el flujo operativo subió un 42 % hasta 253,8 M [6].</w:t>
      </w:r>
    </w:p>
    <w:p>
      <w:pPr>
        <w:spacing w:after="100"/>
      </w:pPr>
      <w:r>
        <w:t xml:space="preserve">El capex es bajo, del 2 % de las ventas (70,8 M en 2025, 108,0 M en 2024, el año de más inversión) [1]. La empresa no separa mantenimiento y crecimiento; como estimación propia, la depreciación del inmovilizado material de 2025 (85,1 M de amortizaciones menos 14,8 M de intangibles = 70,3 M) iguala el capex, así que casi todo sería mantenimiento [1, 7]. Las compras se pagan con caja o deuda, nunca con acciones; los intereses pagados van en el flujo de explotación (13,5 M en 2025) [1,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(Milwaukee)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la empresa desde 1917 y emitió una opinión favorable sobre las cuentas de 2025 y sobre el control interno; la única cuestión clave de auditoría es la provisión de garantías (209,7 M), por la incertidumbre de las tasas de reclamación a muchos años [1]. Las existencias de EE. UU. se valoran por LIFO (reserva de 55,8 M a 31-dic-25), lo que deja el beneficio algo por debajo de FIFO cuando sube el acero [1, 6]. La remuneración en acciones es pequeña (13,8 M en 2025, el 2,5 % del beneficio neto) [1]. No hay capitalización de I+D: los 95,0 M de 2025 se cargan a resultados [1]. Nunca ha deteriorado fondo de comercio [7]; los deterioros han sido de activos concretos (Turquía en 2023, tratamiento de agua en 2024 y 2026) [1, 6]. La diferencia entre resultado contable y fiscal es estable, con un tipo efectivo del 23-24 % salvo 2017 (reforma fiscal) y 2022 (liquidación de pensiones) [1, 2, 4]. El flujo operativo supera al beneficio casi todos los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109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&amp; Young desde 1917: independencia formal intacta, pero sin rotación de firma en más de un siglo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cargos en nueve años (2018, 2020, 2023, 2024 y 2026), dos de ellos en el mismo negocio de tratamiento de agua de Norteamérica; ajustarlos todos sube el BPA ajustado de forma recurrente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deterioro en China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en moneda local −12 % en 2025 y −28 % en el 2T26, con una revisión de alternativas abierta desde julio de 2025; los activos de largo plazo en China eran 193,6 M a 31-dic-25 [1, 6,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garantías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140,9 M en 2016 a 209,7 M en 2025 (del 5,2 % al 5,5 % de las ventas); es la cuestión clave de auditoría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2025 ayudado por un efecto fiscal único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atribuye parte de la mejora del flujo de 2025 a un cambio de ley fiscal que no se repite [14].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32,5 % · </w:t>
      </w:r>
      <w:r>
        <w:rPr>
          <w:b/>
          <w:bCs/>
        </w:rPr>
        <w:t xml:space="preserve">WACC</w:t>
      </w:r>
      <w:r>
        <w:t xml:space="preserve">: 10,5 %.</w:t>
      </w:r>
    </w:p>
    <w:p>
      <w:pPr>
        <w:spacing w:after="100"/>
      </w:pPr>
      <w:r>
        <w:rPr>
          <w:b/>
        </w:rPr>
        <w:t xml:space="preserve">A. O. Smith crea valor todos los años de la serie.</w:t>
      </w:r>
      <w:r>
        <w:t xml:space="preserve"> El ROIC después de impuestos fue del 30,7 % en 2025, tres veces el WACC del 10,46 %, y no bajó del 25,6 % ni en 2020. El 43,8 % de 2022 está inflado por el efecto fiscal de la liquidación de pensiones. Lo que lo ha subido es la rotación, no el margen: de 0,93 veces en 2016 a 1,18 en 2023-2024, porque las subidas de precio tras la inflación del acero hicieron crecer las ventas sobre el mismo capital [1]. El ROIC incremental de la década es del 32,5 %. La compra de Leonard Valve cambia la foto: 470 M sobre un capital invertido de unos 1.810 M, por un negocio de unos 70 M de ventas [61, 96]; estimación propia: el ROIC del grupo baja hacia el 25 % en 2026. Sigue por encima de Watts (19,2 %), Pentair (14,0 %) y Lennox (26,4 %), y cerca de Masco (30,8 %) [85, 86, 87, 89].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181,3 M a 30-jun-26 (193,2 M con valores negociables a 31-dic-25) y una línea de crédito comprometida de 500 M, ampliable a 1.000 M, que vence el 23-ago-29 y respalda el papel comercial [1,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citado en sus documentos de la SEC; no tiene bonos cotizados.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la línea de 500 M y el préstamo de 470 M exigen deuda neta / (deuda neta + patrimonio) máxima de 0,60 (0,65 tras compras grandes) y cobertura de intereses mínima de 3,0 veces; a 30-jun-26 la primera ronda 0,20 (estimación propia: 456,2 M de deuda neta frente a 1.841,9 M de patrimonio), con holgura amplia [6, 8]. Garantías de producto: 209,7 M a 31-dic-25 (75,0 M a corto plazo) y 213,6 M a 30-jun-26; es la partida clave de auditoría [1, 6]. Pensiones: el plan de prestación definida se liquidó en 2022 (417,3 M de cargo) y queda un pasivo de 7,4 M [1, 2]. Arrendamientos operativos: 47,9 M, fuera de la deuda [1]. Hay litigios ordinarios por responsabilidad de producto, amianto y medio ambiente, sin provisión material declarada [1]. Reestructuración pendiente de pago: 10,5 M a 30-jun-26 [6].</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el negocio, compras que amplíen la plataforma de agua, dividendo creciente y recompras con el resto [1]. El dividendo se ha pagado 86 años seguidos y ha subido 32 años seguidos hasta 2024 y otro 6 % en el 4T25 [9]; 1,38 USD por acción en 2025 y 0,36 USD trimestrales desde enero de 2026 [1, 14]. Las recompras sumaron 400,8 M en 2025 (5,9 millones de acciones a 67,44 USD de media); en 2026 el objetivo pasó de 200 M a 300 M, con 162,4 M ejecutados en el 1S26 [1, 6, 14, 16]. La deuda se usa de forma táctica: préstamo de 470 M para Leonard Valve, sin bonos [6,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Aquasana (filtros de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negocio de tratamiento de agua de Norteamérica, que facturó 243,1 M en 2025 tras seis compras más; ese negocio se reestructuró en 2024 y 2026 con deterioros de activos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Hague Quality Water (descalcificadores,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tratamiento de agua de Norteamérica; sin deterioro de fondo de comercio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Water-Right (tratamiento de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tratamiento de agua de Norteamérica; el negocio creció de 141,4 M en 2019 a 243,1 M en 2025, con márgenes que motivaron dos reestructuraciones [1,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Giant Factories (calentadores de agua,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Añadió capacidad y distribución en Canadá; sin deterioros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Pureit (purificadores de agua, India), comprada a Unilever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54 M de ventas en 2025; 120,3 M del precio fueron fondo de comercio e intangibles [1,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 Valve (válvulas y control de temperatura del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a plazo de 470 M a tres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para juzgar: 32 M de ventas en el 1S26 y unos 70 M previstos en 2026, es decir, unas 6,7 veces ventas; la empresa valora la operación en 412 M netos de beneficios fiscales [1, 6].</w:t>
            </w:r>
          </w:p>
        </w:tc>
      </w:tr>
    </w:tbl>
    <w:p>
      <w:pPr>
        <w:spacing w:after="160" w:before="0"/>
      </w:pPr>
    </w:p>
    <w:p>
      <w:pPr>
        <w:spacing w:after="100"/>
      </w:pPr>
      <w:r>
        <w:rPr>
          <w:b/>
        </w:rPr>
        <w:t xml:space="preserve">Buena devolviendo caja, mediocre invirtiéndola fuera del núcleo.</w:t>
      </w:r>
      <w:r>
        <w:t xml:space="preserve"> De 2016 a 2025 generó 4.363 M de flujo libre, el 105 % del beneficio, y devolvió 4.140 M: 1.536 M en dividendos y 2.604 M en recompras, que bajaron las acciones diluidas de 176,8 M a 141,9 M [1, 7]. Pero las recompras no han sido baratas: las de 2025 se hicieron a 67,44 USD de media, un 19 % por encima del precio actual [1]. Las compras dicen menos: tratamiento de agua de Norteamérica suma seis compras desde 2016 (Aquasana, Hague, Water-Right…) y factura 243,1 M, con reestructuraciones en 2024 y 2026 y un margen objetivo del 15 %, la mitad del de calentadores [1, 6, 18]. China, la gran apuesta de la década pasada, ha pasado de 1.070 M de ventas en 2018 a 690 M en 2025 y está en revisión [1]. Leonard Valve, la mayor compra de su historia, costó 13,7 veces el EBITDA de 2026 (12 veces neto de la ventaja fiscal) y se pagó con deuda [96].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M. Shafer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(desde el 1-jul-26) y primer ejecutivo (desde el 1-jul-25)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marzo de 2024 como presidente y director de operaciones tras más de veinte años en 3M (presidente de la división de automoción y aeroespacial 2020-2024, director de estrategia en 2019 y responsable de la Gran China 2016-2018), con etapas previas en McKinsey y Ford [42, 47, 48]. En su primer año completo al frente, el BPA diluido de 2025 fue récord, 3,85 USD (+6 %), dentro de la guía, y cerró la compra de Leonard Valve por 470 M USD en enero de 2026 [14, 61]; la guía de 2026 ya se ha recortado dos veces, de 3,85-4,15 USD a 3,70-3,85 USD ajustado [14, 15, 16]. A 31-dic-25 no tenía acciones en propiedad, solo 71.690 unidades restringidas (0,05 % del capital)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 Anderson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The Campbell's Company (enero de 2023 a octubre de 2025) y de Integra LifeSciences (2019-2023), con puestos financieros previos en Dover y Delphi; empezó como ingeniera en General Motors [49]. Entró el 1-jul-26 para sustituir a Charles T. Lauber, que se jubila tras siete años en el cargo y 27 en la empresa [1, 49]. Aún no tiene historial medible en A. O. Smith.</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Wheeler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hasta el 1-jul-26 y primer ejecutivo 2018-2025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1994 como jefe regional de ventas; fue primer ejecutivo de 2018 a junio de 2025, presidente del consejo desde 2020 y presidente ejecutivo de julio de 2025 a julio de 2026, y sigue como consejero [47, 48]. Con él, el BPA diluido pasó de 2,58 USD (2018) a 3,63 USD (2024), con la guía de BPA cumplida en dos de los cinco ejercicios de 2020 a 2024 [10, 56, 57, 58, 59, 60]. Tenía 100.647 acciones y 482.270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T. Lauber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hasta el 1-jul-26 (en transición hasta su jubilación)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2019, antes responsable de estrategia y desarrollo corporativo (2013-2019) y director financiero de la división de calentadores de agua (2006-2012) [1]. Tenía 39.852 acciones y 121.805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F. Stern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desarrollo corporativo, estrategia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secretario general y jefe de los servicios jurídicos hasta octubre de 2025, cuando pasó a dirigir desarrollo corporativo y estrategia; le sustituyó en lo jurídico Paul J. Jones, antes en Harley-Davidson y Marquette University [1, 50]. Tenía 96.284 acciones y 118.215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D.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y uno de los tres fideicomisarios del Smith Family Voting Trust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 de producto en Strattec Security de 1997 a 2019 y antiguo empleado de la compañía; fideicomisario del trust familiar desde 2019, junto con sus primos Bruce M. y Robert L. Smith [42]. A título propio tiene 274.452 acciones Class A (1,06 % de la clase) y 131.971 comunes; no se le atribuyen las del trust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2,40-2,50 USD, sin contar el efecto del coronavirus en China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2,12 USD (2,16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2,40-2,50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3,02 USD, récord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3,35-3,55 USD (sin la liquidación del plan de pensiones)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3,14 USD (1,51 USD contable)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3,15-3,45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3,69 USD (3,81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3,90-4,15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3,63 USD (3,73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3,60-3,90 USD y ventas de 3.800-3.900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3,85 USD y ventas de 3.830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3,85-4,15 USD y ventas de 3.900-4.020 M USD (enero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rebajada en abril a 3,60-3,90 USD (3,70-4,00 USD ajustado) por China, y en julio a 3,60-3,75 USD (3,70-3,85 USD ajustado), con ventas de 3.900-3.950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es irregular: de 2020 a 2025 cumplió tres años y falló tres, y en 2022 y 2024 el BPA quedó un 7-10 % por debajo del punto medio [10, 14, 56, 57, 58, 59, 60]. 2026 va camino de otro incumplimiento, con dos recortes en seis meses por China y por el calentador residencial [15, 16]. El relevo ha sido ordenado y por dentro: Shafer llegó como director de operaciones en 2024, asumió el puesto de primer ejecutivo en julio de 2025 y la presidencia en julio de 2026 [47, 48]. Pero la cúpula se ha renovado casi entera en dos años: primer ejecutivo, presidente, directora financiera, jefe jurídico, director de tecnología y director digital, estos dos con pasado en 3M, como Shafer [1, 49, 50]. La nueva directora financiera viene de fuera del sector. Es un equipo sin historial propio que hereda un negocio chino en revisión [14].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M. Shafer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Wheeler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hasta el 1-jul-26)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fideicomisario del Smith Family Voting Trust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L. Mapes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(auditoría hasta abril de 2026); elegido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Todd W. Fister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Owens Corning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Victoria M. Holt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primera ejecutiva de Proto Labs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 personal y retribuciones; elegida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M. Larsen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Illinois Tool Works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Ilham Kadri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primera ejecutiva de Syensqo y Solvay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elegida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Lois M. Martin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directora financiera de Mortenson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elegida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Aaron W. Saak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primer ejecutivo de Crane NXT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elegido por la acción común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0,11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Family Voting Trust (familia Smith)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familiar: 25.077.373 acciones Class A (96,96 % de la clase) y 1.078.313 comunes; 67,9 % de los votos en asuntos generales y elige 6 de 10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Class A sin cambios en 2024-2025; comunes de 1.093.579 a 1.078.313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D. Smith (a título propio, fuera del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Smith: 274.452 Class A (1,06 % de la clase) y 131.971 comunes; 0,8 %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(Vanguard Capital Management y 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15.428.387 comunes, 13,7 % de la clase común a 31-mar-26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11,6 % de la común (dic-24) al 12,6 % (sep-25) y al 13,7 % (mar-26), ya repartido en dos entidades tras la reorganización de sus presentaciones [42, 43, 53, 54,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activo: 11.749.074 comunes, 10,7 % de la clase común a 31-jul-26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compra: del 5,1 % de la común (dic-25) al 7,1 % (mar-26), 9,3 % (jun-26) y 10,7 % (jul-26) [42,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6.951.534 comunes, 6,0 % de la clase común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8,2 % de la común (dic-24) al 6,0 % (jun-25)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5.911.986 comunes, 5,2 % de la clase común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6,0 % de la común (dic-24) al 5,2 % (dic-25) [42, 43,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52.337.402 comunes y 130.380 Class A emitidas y no en circulación (porcentaje sobre las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305,8 M USD en 2024 y objetivo de ~400 M USD en 2025; en julio de 2026 subió un 50 % el objetivo de recompra del año [16, 42,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274.452 Class A y 439.355 comunes en propiedad, más 445.029 unidades restringidas y 789.650 opciones ejercitables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compras en mercado en los últimos 12 meses [42, 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Darrell W. Schuh (vicepresidente sénior; presidente de Lochinvar)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Darrell W. Schuh (vicepresidente sénior; presidente de Lochinvar)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Shafer devengó 4,96 M USD en 2025: 0,97 M de fijo, 1,07 M de variable anual y 2,68 M en acciones; anualizado, 5,16 M y 115 veces el empleado mediano (153 veces con Wheeler en 2024) [42, 43]. Wheeler, presidente ejecutivo, cobró 8,50 M USD [42]. El variable anual depende en un 80 % del EBIT y en un 20 % de las ventas, y en 2025 se cumplió al 98,3 % [42]. El largo plazo es un 50 % de acciones restringidas con un suelo de ROE medio, un 35 % de efectivo ligado al ROIC de tres años (el de 2023-2025 pagó el 122,1 %) y un 15 % de acciones ligadas a metas ambientales [42]. Hay cláusula de recuperación más amplia que la legal; la indemnización del primer ejecutivo es de 24 meses de fijo y variable objetivo, 36 con cambio de control [42]. </w:t>
      </w:r>
      <w:r>
        <w:rPr>
          <w:b/>
        </w:rPr>
        <w:t xml:space="preserve">El 5,7 % en contra de 2025 fue un 20,3 % sobre el capital libre presente</w:t>
      </w:r>
      <w:r>
        <w:t xml:space="preserve"> (estimación propia: votos en contra entre los votos presentes menos los de la Class A y los de las comunes de la familia, que votan a favor; la común vale 1/10 de voto); en 2024 fue un 12,0 % y en 2026 un 8,5 % [42, 44, 45, 46].</w:t>
      </w:r>
    </w:p>
    <w:p>
      <w:pPr>
        <w:pStyle w:val="Heading2"/>
      </w:pPr>
      <w:r>
        <w:t xml:space="preserve">Operaciones vinculadas, estructura de control y defensas</w:t>
      </w:r>
    </w:p>
    <w:p>
      <w:pPr>
        <w:spacing w:after="100"/>
      </w:pPr>
      <w:r>
        <w:rPr>
          <w:b/>
        </w:rPr>
        <w:t xml:space="preserve">La familia Smith controla A. O. Smith con el 19 % del capital.</w:t>
      </w:r>
      <w:r>
        <w:t xml:space="preserve"> La Class A tiene un voto por acción en asuntos generales, frente a 1/10 de la común, y elige por separado dos tercios del consejo (6 de 10) [42]. El Smith Family Voting Trust, con tres fideicomisarios primos entre sí, tiene el 97 % de la Class A y el 67,9 % de los votos; dura hasta 2039 y se renueva por periodos de 30 años [42]. Es controlled company según la NYSE, aunque no usa la exención [42]. La extinción pactada en 2009 impide emitir Class A, la convierte si sale de la familia y le quita los dos tercios del consejo si baja del 12,5 % de las acciones (hoy, 18,7 %) [42]. Los minoritarios protestan donde pueden: Kadri tuvo un 52 % de votos retenidos en 2026 y el consejo rechazó su dimisión [44]. No hay operaciones vinculadas declaradas [42].</w:t>
      </w:r>
    </w:p>
    <w:p>
      <w:pPr>
        <w:pStyle w:val="Heading2"/>
      </w:pPr>
      <w:r>
        <w:t xml:space="preserve">Señales de alerta</w:t>
      </w:r>
    </w:p>
    <w:p>
      <w:pPr>
        <w:pStyle w:val="ListParagraph"/>
        <w:numPr>
          <w:ilvl w:val="0"/>
          <w:numId w:val="2"/>
        </w:numPr>
        <w:spacing w:after="60"/>
      </w:pPr>
      <w:r>
        <w:t xml:space="preserve">Rotación casi completa de la cúpula en dos años: nuevo primer ejecutivo (julio de 2025), nuevo presidente (julio de 2026), nueva directora financiera externa (julio de 2026) y nuevos responsables jurídico, de tecnología y digital (2025) [1, 47, 48, 49, 50].</w:t>
      </w:r>
    </w:p>
    <w:p>
      <w:pPr>
        <w:pStyle w:val="ListParagraph"/>
        <w:numPr>
          <w:ilvl w:val="0"/>
          <w:numId w:val="2"/>
        </w:numPr>
        <w:spacing w:after="60"/>
      </w:pPr>
      <w:r>
        <w:t xml:space="preserve">Presidente y primer ejecutivo vuelven a coincidir en Shafer desde el 1-jul-26; el contrapeso es un consejero coordinador (Mapes) que fue directivo de la compañía hasta 2011 [42, 48].</w:t>
      </w:r>
    </w:p>
    <w:p>
      <w:pPr>
        <w:pStyle w:val="ListParagraph"/>
        <w:numPr>
          <w:ilvl w:val="0"/>
          <w:numId w:val="2"/>
        </w:numPr>
        <w:spacing w:after="60"/>
      </w:pPr>
      <w:r>
        <w:t xml:space="preserve">Rechazo creciente de los minoritarios a la doble clase: Kadri recibió más votos retenidos que a favor en 2026 (52 %) y el consejo rechazó su dimisión; Larsen tuvo un 60 % retenido en 2025 y Holt un 55 % en 2024 [44, 45, 46].</w:t>
      </w:r>
    </w:p>
    <w:p>
      <w:pPr>
        <w:pStyle w:val="ListParagraph"/>
        <w:numPr>
          <w:ilvl w:val="0"/>
          <w:numId w:val="2"/>
        </w:numPr>
        <w:spacing w:after="60"/>
      </w:pPr>
      <w:r>
        <w:t xml:space="preserve">Mark D. Smith, fideicomisario del trust de control, figura como independiente y se sienta en las comisiones de retribuciones y de nombramientos; algunos accionistas lo cuestionaron en el diálogo con la empresa [42].</w:t>
      </w:r>
    </w:p>
    <w:p>
      <w:pPr>
        <w:pStyle w:val="ListParagraph"/>
        <w:numPr>
          <w:ilvl w:val="0"/>
          <w:numId w:val="2"/>
        </w:numPr>
        <w:spacing w:after="60"/>
      </w:pPr>
      <w:r>
        <w:t xml:space="preserve">La guía de 2026 se ha rebajado dos veces y la empresa revisa su negocio en China; hay costes de reestructuración de ~20 M USD en tratamiento de agua de Norteamérica [14, 15, 16].</w:t>
      </w:r>
    </w:p>
    <w:p>
      <w:pPr>
        <w:pStyle w:val="ListParagraph"/>
        <w:numPr>
          <w:ilvl w:val="0"/>
          <w:numId w:val="2"/>
        </w:numPr>
        <w:spacing w:after="60"/>
      </w:pPr>
      <w:r>
        <w:t xml:space="preserve">Sin litigios, investigaciones ni multas materiales: el 10-K de 2025 solo cita pleitos ordinarios de responsabilidad por producto, amianto, patentes y medio ambiente [1]. El auditor, Ernst &amp; Young, lo es desde 1917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ha recortado dos veces. En enero apuntaba a un BPA diluido de 3,85-4,15 USD; el 30 de abril bajó a 3,60-3,90 (ajustado 3,70-4,00) por la debilidad de China y el retraso de un año en la norma de eficiencia de calentadores comerciales del Departamento de Energía [64]. El 30 de julio la estrechó a un BPA diluido de 3,60-3,75 USD y ajustado de 3,70-3,85, con ventas un 2-3 % por encima de 2025 (unos 3.900-3.950 M USD) por la debilidad de los calentadores residenciales en Norteamérica [6, 16]. El ajustado excluye unos 20 M USD de reestructuración y deterioros del tratamiento de agua de Norteamérica (22,6 M en el segundo trimestre). La guía excluye compras futuras, el resultado de la evaluación estratégica del negocio de China y cambios de aranceles. Recompras previstas: unos 300 M USD en 2026, un 50 % más que la cifra anterior [6]. La compañía no publica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6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59,00 – 84,00</w:t>
            </w:r>
          </w:p>
        </w:tc>
      </w:tr>
    </w:tbl>
    <w:p>
      <w:pPr>
        <w:spacing w:after="160" w:before="0"/>
      </w:pPr>
    </w:p>
    <w:p>
      <w:pPr>
        <w:pStyle w:val="Heading2"/>
      </w:pPr>
      <w:r>
        <w:t xml:space="preserve">Revisiones de estimaciones</w:t>
      </w:r>
    </w:p>
    <w:p>
      <w:pPr>
        <w:spacing w:after="100"/>
      </w:pPr>
      <w:r>
        <w:t xml:space="preserve">El BPA de MarketScreener está en base contable (GAAP): sus trimestres publicados son 0,85 y 0,91 USD en 2026, los diluidos de las cuentas, y su 3,63 USD de 2026 cae dentro de la guía diluida (3,60-3,75) [65, 67]. Su EBITDA y EBIT de 2025 (813,7 y 728,6 M) coinciden con el resultado de explotación contable más amortizaciones, con los pagos en acciones restados [7, 65]. El consenso ajustado de S&amp;P Global, que recoge Stock Analysis, da 3,74 USD para 2026 (13 analistas, rango 3,69-3,77) [69]; justo antes de los resultados del 30 de julio era de 3,90 USD (8 estimaciones, MarketBeat) [70]: un recorte del 4 % en algo más de dos meses, tras la segunda rebaja de la guía. En doce meses la guía diluida ha pasado de un punto medio de 4,00 a 3,675 USD (−8 %) [6, 64]. Recomendaciones de S&amp;P Global en septiembre: 4 compra fuerte, 1 compra, 6 mantener, 1 venta y 1 venta fuerte; precio objetivo medio de 69,91 USD (mínimo 59, máximo 84), el mismo que da MarketScreener, cuyo consenso es «sobreponderar» [66, 69]. Goldman Sachs (59) y J.P. Morgan (60) mantienen venta; Stifel bajó su objetivo de 76 a 70 tras los resultados [69].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bl>
    <w:p>
      <w:pPr>
        <w:spacing w:after="160" w:before="0"/>
      </w:pPr>
    </w:p>
    <w:p>
      <w:pPr>
        <w:spacing w:after="100"/>
      </w:pPr>
      <w:r>
        <w:t xml:space="preserve">A. O. Smith pierde un 17,1 % en un año, con dividendos, frente al +16,6 % del S&amp;P 500 (SPY) y el +11,1 % de los industriales (XLI), y un 14 % en lo que va de 2026 [63]. Tocó máximo de 52 semanas en 81,87 USD el 12 de febrero y mínimo en 54,16 el 20 de mayo, entre las dos rebajas de la guía de abril y julio [6, 63, 64]; el día de los resultados del segundo trimestre cayó un 3,6 % [63]. En cinco años la rentabilidad anual es de −0,7 % frente al +13,6 % del índice: China (ventas del resto del mundo −19 % en el segundo trimestre) y el volumen residencial de Norteamérica han pesado más que las recompras [16, 63]. La posición corta es alta: 10,61 M de acciones, el 7,8 % del capital y el 9,8 % del flotante, unos 8,2 días de volumen (Stock Analysis, sin fecha de liquidación indicada) [68].</w:t>
      </w:r>
    </w:p>
    <w:p>
      <w:pPr>
        <w:spacing w:after="100"/>
      </w:pPr>
      <w:r>
        <w:t xml:space="preserve">Beta según el índice y el método [63]: frente al S&amp;P 500 (SPY), 1,05 mensual a 5 años (ajustada 1,03), 0,88 semanal a 5 años (ajustada 0,92) y 0,59 semanal a 2 años; frente a ^GSPC, las mismas salvo 0,61 la semanal a 2 años; frente a industriales (XLI), 1,08 mensual (ajustada 1,05), 1,03 semanal a 5 años y 0,85 a 2 años; frente a construcción (ITB), 0,72 mensual, 0,62 y 0,63 semanales; frente a XHB, 0,78, 0,70 y 0,67. Para el coste de capital se usa la beta frente al mercado amplio: la mensual a 5 años ajustada frente al S&amp;P 500, 1,03, que coincide con la de los industriales y cerca de la de 1,11 que publica Stock Analysis [68]. Las de construcción son menores porque esos índices son mucho más volátiles que la acción, no porque el riesgo sea menor. La semanal a 2 años (0,59) es baja porque en 2025-2026 la acción ha ido por su cuenta, a la baja con un mercado alcista.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Yahoo Finance [63]. Se excluye 2022: el beneficio neto incluye un cargo de 417,3 M USD por la liquidación del plan de pensiones de prestación definida, fuera del resultado de explotación, que hunde el beneficio y dispara el PER de ese año [2].</w:t>
      </w:r>
    </w:p>
    <w:p>
      <w:pPr>
        <w:pStyle w:val="Heading1"/>
      </w:pPr>
      <w:r>
        <w:t xml:space="preserve">18. Comparables cotizados</w:t>
      </w:r>
    </w:p>
    <w:p>
      <w:pPr>
        <w:pStyle w:val="Confianza"/>
        <w:spacing w:after="100"/>
      </w:pPr>
      <w:r>
        <w:t xml:space="preserve">Confianza: Media</w:t>
      </w:r>
    </w:p>
    <w:p>
      <w:pPr>
        <w:spacing w:after="100"/>
      </w:pPr>
      <w:r>
        <w:t xml:space="preserve">Diez cotizadas de equipos de agua, calefacción y climatización para edificios. Calentadores y calderas: Rinnai, Ariston y Lennox y Carrier en climatización residencial y comercial. Agua y fontanería: Watts, Zurn Elkay, Pentair, Franklin Electric, Masco y Fluidra. Rheem y Bradford White, los dos rivales directos en calentadores de EE. UU., no cotizan. Se excluyen Mueller Industries (tubo de cobre), Mueller Water y Xylem (redes municipales) y Badger Meter (contadores inteligentes, otro modelo). Todas las cifras de MarketScreener a 8-oct-2026 (precio, acciones, deuda neta de 2025 y consenso) [75, 76, 77, 78, 79, 80, 81, 82, 83, 84], convertidas a USD con el BCE del 8-oct (1,1186 USD y 177,05 JPY por euro) [74]; ROIC de Stock Analysis [85, 86, 87, 88, 89, 90, 91, 92, 93, 94]. Últimos 12 meses a junio de 2026 como media de 2025 y 2026e; próximos 12 meses con el peso del motor (0,23 de 2026e y 0,77 de 2027e); Rinnai, con ejercicio a marzo, con los pesos equivalentes. Ariston, a 7-oct (Yahoo no tenía el cierre del 8)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O. Smith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Zurn Elkay Water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Franklin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Fluidra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Rinnai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10,6x / 11,5x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11,2x / 12,5x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14,6x / 21,3x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2,3x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(10 comparables): múltiplo = 8,7 + 0,21 × crecimiento; R² = 0,02. El crecimiento explica poco los múltiplos de estos comparables (R² &lt; 0,3): la regresión no se usa en la valoración.</w:t>
      </w:r>
    </w:p>
    <w:p>
      <w:pPr>
        <w:spacing w:after="100"/>
      </w:pPr>
      <w:r>
        <w:t xml:space="preserve">Con el mismo método y la misma fuente, A. O. Smith cotiza a unas 10,2 veces el EBITDA de los últimos 12 meses y 9,8 veces el de los próximos, y a 14,2 veces el BPA contable de los próximos 12 meses (13,9 veces con el ajustado de S&amp;P Global) [65, 69]: algo por debajo de la mediana de los diez comparables en EV/EBITDA y en línea en PER. La muestra se parte en tres grupos. Los especialistas de agua de EE. UU. (Watts, Zurn) cotizan a 14,5-16,6 veces con un crecimiento esperado del 7-9 % [75, 80]; climatización y fontanería de EE. UU. (Lennox, Carrier, Masco, Franklin) a 10,4-11,7 veces con un 2-7 % [77, 78, 79, 81]; y Europa y Japón muy por debajo (Fluidra 7,6, Ariston 5,1, Rinnai 4,2), con más deuda y menos ROIC en las europeas y una caja neta de 2,6 veces el EBITDA en Rinnai [82, 83, 84, 92, 93, 94]. A. O. Smith crece menos que casi todos (3 % anual) pero tiene el segundo margen y uno de los ROIC más altos (23 %) [68]. El EBITDA de MarketScreener de Pentair, Carrier, Fluidra y Ariston supera el contable de Stock Analysis en un 8-48 % porque es ajustado, así que sus múltiplos son un suelo frente al de A. O. Smith, que está en base contable [65, 76, 78, 82, 83, 86, 88, 92, 93]. El NTM de Pentair usa la deuda neta prevista a final de 2026 (2.914 M USD) porque su consenso de 2027 incorpora una compra (ventas +18 %) [76].</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 Valve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470 M USD en efectivo (cerrada el 6-ene-2026), unos 412 M netos del valor actual de las ventajas fiscales. La empresa publica unas 12 veces el EBITDA previsto de 2026 sobre el precio neto; sobre los 470 M del precio, 13,7 veces (estimación propia: 470 / (412 / 12)) [61, 96]. Control de temperatura y caudal de agua para edificios; la empresa prevé que aporte unos 70 M USD de ventas en 2026, de ahí 6,7 veces las ventas y un margen EBITDA implícito cercano al 49 %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Bradley Corporation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Watts Water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 M USD sobre unas ventas anuales de unos 200 M; 268 M netos de ventajas fiscales, que Watts sitúa por debajo de 8,0 veces el EBITDA ajustado proforma de 2023 con las sinergias de costes; sin múltiplo antes de sinergias [97]. Lavabos, duchas de emergencia y accesorios para baños comerciales.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en efectivo y acciones sobre unos 4.000 M EUR de ventas y unos 700 M de EBITDA previsto de 2023; Carrier publica unas 13 veces con sinergias. Convertido a USD con el BCE del 25-abr-2023 (1,1022) [98, 99]. Bombas de calor y calderas en Europa, en pleno auge de subvenciones: múltiplo de techo para calefacción.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Evoqua Water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Xylem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 con un valor empresa implícito de unos 7.500 M USD, sobre ventas de 1.740 M y EBITDA ajustado de 297,7 M del ejercicio fiscal 2022 (septiembre) [100, 101]. Tratamiento de agua industrial con servicios recurrentes: se excluye del cálculo porque es otro negocio y su múltiplo duplica al resto.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CENTROTEC Climate Systems (Brötje, Wolf)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Ariston Holding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703 M EUR en efectivo, sin caja ni deuda, más 41,42 M de acciones de Ariston, sobre ventas de 599 M EUR y EBITDA ajustado de 84,8 M en 2021; Ariston publica un múltiplo con sinergias (20-25 M EUR) por debajo de 10 veces, sin valor empresa total [102]. Calderas y bombas de calor en Alemania y Países Bajos.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Manitowoc Ice (de Welbilt)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M USD sobre ventas de 308 M y un margen EBITDA de cerca del 30 % en 2021 (unos 92 M; estimación propia del EBITDA); neto de 220 M de ventajas fiscales, 1.380 M y unas 15,0 veces [103]. Equipos de agua para hostelería.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Elkay Manufacturing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en acciones valorado en 1.560 M USD al cierre del 11-feb-2022: 14,2 veces el EBITDA ajustado previsto para 2022 y 9,8 veces con las sinergias [104]. Fuentes de agua potable y fregaderos comerciales.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(14,1x – 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75,03 – 92,30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cinco operaciones con múltiplo pagaron entre 13,7 y 17,4 veces el EBITDA antes de sinergias en agua y calefacción para edificios, y entre 8 y 13 veces con las sinergias que publicaron los compradores [96, 97, 98, 103, 104]: el valor de control del sector está claramente por encima de las 9,8 veces de los próximos 12 meses a las que cotiza A. O. Smith. La propia A. O. Smith ha pagado 13,7 veces por Leonard Valve en 2026; antes compró Giant Factories (Canadá, 198,6 M USD netos de caja, octubre de 2021) y Pureit (India, de Unilever, 124,6 M USD en el cuarto trimestre de 2024) sin publicar múltiplos [1, 2]. Una operación sobre A. O. Smith pasa por la familia Smith: la clase A, no cotizada y con voto reforzado, son 25,86 M de los 135,91 M de acciones [6]. Su tamaño, unos 8.200 M USD de valor empresa, está al alcance de los grandes de climatización y agua.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(+1,8 %) queda fijo: las ventas cayeron un 1,3 % en el primer semestre y la guía de julio pide un 2-3 % en el año, lo que exige un segundo semestre al menos un 5 % por encima con Leonard Valve y las subidas de abril [16]; tomamos el extremo bajo, en línea con el consenso de 3.895 M [65]. De 2027e a 2030e, 3,5-4,0 % al año: precio del 2-3 % sobre un volumen plano (los envíos residenciales de AHRI fueron 9,24 M en 2020 y 9,28 M en 2025) [22, 24], unos 70 M al año de Leonard Valve y China ya en una base baja. La norma del DOE de mayo de 2029 sube el precio medio de los eléctricos [25]. El TCAC de 2016-2025 fue del 4,0 % y el consenso da +4,0 % en 2027 y 2028 [65]: estamos un punto por debajo de media.</w:t>
      </w:r>
    </w:p>
    <w:p>
      <w:pPr>
        <w:keepNext/>
        <w:spacing w:after="100"/>
      </w:pPr>
      <w:r>
        <w:rPr>
          <w:b/>
          <w:bCs/>
        </w:rPr>
        <w:t xml:space="preserve">Márgenes.</w:t>
      </w:r>
    </w:p>
    <w:p>
      <w:pPr>
        <w:spacing w:after="100"/>
      </w:pPr>
      <w:r>
        <w:t xml:space="preserve">Margen EBITDA del 20,0 % en 2026e (19,4 % en el primer semestre, con 22,6 M de reestructuración) [16], 20,7 % en 2027e con los 6-8 M de ahorros anunciados y el precio cubriendo el acero [16, 28], y 21,0 % desde 2029e. Es el nivel de 2023 y 2025 (21,2 %), no un máximo nuevo: la serie va del 18,0 % de 2020 al 21,2 % [1]. La caída de China, con un margen de segmento del 8,7 % frente al 24,4 % de Norteamérica, mejora la mezcla [1]. El consenso da un 21,0 % en 2027 y un 21,4 % en 2028 [65]: nuestro EBITDA queda un 2-3 % por debajo, porque dejamos dentro la reestructuración recurrente y no damos por hecha la recuperación del volumen residencial.</w:t>
      </w:r>
    </w:p>
    <w:p>
      <w:pPr>
        <w:keepNext/>
        <w:spacing w:after="100"/>
      </w:pPr>
      <w:r>
        <w:rPr>
          <w:b/>
          <w:bCs/>
        </w:rPr>
        <w:t xml:space="preserve">Inversión y circulante.</w:t>
      </w:r>
    </w:p>
    <w:p>
      <w:pPr>
        <w:spacing w:after="100"/>
      </w:pPr>
      <w:r>
        <w:t xml:space="preserve">Capex del 2,0 % de las ventas en 2026e, que sube al 2,4 % en 2031e; la media de 2016-2025 está en el 2,2 %, con un máximo del 2,8 % en 2024 [1]. La amortización sube al 2,5 % en 2026e por los intangibles de Leonard Valve (48,5 M en el semestre frente a 41,2 M) y baja al 2,3 %; en el último año el capex la supera. Circulante comercial del 14,0 % de las ventas: 14,6 % en 2025 y 12,7-12,9 % en 2022-2024; el 16,5 % de junio es estacional [1, 6]. Tipo impositivo del 23,5 %, el efectivo de 2023-2025 [1].</w:t>
      </w:r>
    </w:p>
    <w:p>
      <w:pPr>
        <w:keepNext/>
        <w:spacing w:after="100"/>
      </w:pPr>
      <w:r>
        <w:rPr>
          <w:b/>
          <w:bCs/>
        </w:rPr>
        <w:t xml:space="preserve">Coste del capital.</w:t>
      </w:r>
    </w:p>
    <w:p>
      <w:pPr>
        <w:spacing w:after="100"/>
      </w:pPr>
      <w:r>
        <w:t xml:space="preserve">Tasa libre del 5,28 %, el Tesoro a 10 años del 7-oct-2026 [72]. Beta de 1,03, la mensual a 5 años ajustada frente al S&amp;P 500 [63]. Comparamos tres referencias: frente al S&amp;P 500, 1,05 mensual y 0,88 semanal a 5 años; frente a los industriales (XLI), 1,08 y 1,03; frente a construcción y vivienda (ITB, XHB), 0,72-0,78 y 0,62-0,70 [63]. Las de construcción salen bajas porque esos índices son mucho más volátiles que la acción, no porque el riesgo sea menor, y el coste de capital se mide frente a la cartera del inversor, que es el mercado amplio. Prima de mercado del 5,5 %. Coste de la deuda del 6,0 %: el préstamo a plazo cuesta un 4,53 %, pero es variable y vence en 2029 [6]; como coste a largo plazo usamos el Tesoro más unos 0,7 puntos (estimación propia para un emisor sin rating con 0,6 veces de deuda neta sobre EBITDA). Peso de la deuda a mercado del 7,6 % [16]. WACC del 10,46 %; con la prima implícita del mercado (4,2 %), 9,22 % [73].</w:t>
      </w:r>
    </w:p>
    <w:p>
      <w:pPr>
        <w:keepNext/>
        <w:spacing w:after="100"/>
      </w:pPr>
      <w:r>
        <w:rPr>
          <w:b/>
          <w:bCs/>
        </w:rPr>
        <w:t xml:space="preserve">Valor terminal.</w:t>
      </w:r>
    </w:p>
    <w:p>
      <w:pPr>
        <w:spacing w:after="100"/>
      </w:pPr>
      <w:r>
        <w:t xml:space="preserve">Crecimiento a perpetuidad del 3,0 %: inflación esperada en dólares de unos 2,5 % y medio punto real, por debajo de la tasa libre menos medio punto (4,78 %). Es coherente con un mercado de reposición que crece en volumen con el parque de viviendas y en valor con el precio. El múltiplo de salida implícito es de 9,1 veces el EBITDA, por debajo de la mediana de los comparables a 12 meses (10,6 veces) y del mínimo de la propia empresa en la última década (11,2 veces); con un múltiplo de salida de 10,5 veces el valor terminal sería de 10.650 M en vez de 9.199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64,70</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(base: 3,6 %)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10,5 %)</w:t>
            </w:r>
          </w:p>
        </w:tc>
      </w:tr>
    </w:tbl>
    <w:p>
      <w:pPr>
        <w:spacing w:after="160" w:before="0"/>
      </w:pPr>
    </w:p>
    <w:p>
      <w:pPr>
        <w:spacing w:after="100"/>
      </w:pPr>
      <w:r>
        <w:t xml:space="preserve">El DCF da 53,34 USD por acción, un 5,7 % por debajo del precio, con un 64 % del valor en el terminal. </w:t>
      </w:r>
      <w:r>
        <w:rPr>
          <w:b/>
        </w:rPr>
        <w:t xml:space="preserve">El precio no es barato frente a su coste de capital, aunque lo parezca frente a su historia.</w:t>
      </w:r>
      <w:r>
        <w:t xml:space="preserve"> El DCF inverso dice que, con nuestro margen, el precio descuenta un crecimiento del 5,1 % anual en 2027e-2032e, por encima de nuestro 3,6 %, del TCAC de 2016-2025 (4,0 %) y del consenso (4,0 %); con nuestro crecimiento, un margen EBITDA del 22 %, por encima del máximo de la serie (21,2 %). La rentabilidad implícita es del 10,1 %, entre nuestro WACC (10,46 %) y lo que hoy pide el mercado a una acción de su beta (9,22 %). Las 10,8 veces el EBITDA, frente a una media de 14,9 veces en la década, se explican sobre todo por el Tesoro al 5,28 % y por un beneficio que no crece desde 2023, no por un mercado pesimista. El crecimiento previsto del mercado que muestra la tabla de la decisión (6,7 %) es la previsión en valor de Arizton, incompatible con las ventas de la propia AOS [29]; no lo usamos.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2019-2020: las ventas caen y el margen EBITDA baja al 18,2 %, como en 2019 [1]. Recesión de la vivienda en EE. UU. en 2027 (ventas −2,5 %, margen 18,2 %), China en pérdidas sin comprador y el acero con aranceles sin repercutir; después, un punto menos de crecimiento y de margen que en el caso base y un 2,5 % a perpetuidad.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se cumple en su extremo bajo, el volumen residencial se estabiliza y el crecimiento sale del precio, de Leonard Valve y de las calderas (+21 % en el 2T26) [16]; China deja de restar y el margen vuelve al 21 %.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norma del DOE de 2029 desplaza la mezcla hacia bombas de calor, con más precio medio, y la salida de China deja un grupo norteamericano con más margen. Crecimiento medio del 5,1 % y margen final del 22 %, por encima del máximo histórico.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52,62 USD (-7,0 %).</w:t>
      </w:r>
    </w:p>
    <w:p>
      <w:pPr>
        <w:spacing w:after="100"/>
      </w:pPr>
      <w:r>
        <w:t xml:space="preserve">La asimetría es mala con nuestro coste de capital: el alcista vale 60,23 USD (+6,5 %) y el bajista 43,56 (−23,0 %), una asimetría de 0,28 veces. El precio ya paga más que nuestro caso base, de modo que el alcista necesita un margen por encima de cualquier año de la serie para dar poco recorrido, mientras que el bajista solo exige repetir 2019-2020. Con la prima implícita del mercado (4,2 %) la foto cambia: alcista de 72,80 USD, bajista de 51,97 y asimetría de 3,54 veces. La diferencia entre las dos lecturas es casi toda tasa de descuento, no negocio: comprar hoy es apostar a que el mercado mantiene la prima baja.</w:t>
      </w:r>
    </w:p>
    <w:p>
      <w:pPr>
        <w:pStyle w:val="Heading1"/>
      </w:pPr>
      <w:r>
        <w:t xml:space="preserve">22. Suma de partes</w:t>
      </w:r>
    </w:p>
    <w:p>
      <w:pPr>
        <w:pStyle w:val="Confianza"/>
        <w:spacing w:after="100"/>
      </w:pPr>
      <w:r>
        <w:t xml:space="preserve">Confianza: Media</w:t>
      </w:r>
    </w:p>
    <w:p>
      <w:pPr>
        <w:spacing w:after="100"/>
      </w:pPr>
      <w:r>
        <w:t xml:space="preserve">La suma de partes da 58,27 USD por acción (+3,0 %) y sirve sobre todo para medir China. Norteamérica, a 13 veces su resultado de 2026e, vale 9.204 M, más que todo el valor empresa de mercado (8.189 M). Rest of World, a 7 veces un resultado que se ha hundido, vale unos 294 M, unos 2,15 USD por acción (estimación propia). </w:t>
      </w:r>
      <w:r>
        <w:rPr>
          <w:b/>
        </w:rPr>
        <w:t xml:space="preserve">La conclusión de la revisión de China mueve poco el valor</w:t>
      </w:r>
      <w:r>
        <w:t xml:space="preserve">, salvo que la salida cueste caja o lleve garantías: los activos de largo plazo allí son 193,6 M [1], y un deterioro sería contable. No aplicamos descuento de conglomerado: son dos geografías del mismo producto.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segmento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352,6 M del 1S26 (con 22,6 M de reestructuración) más el 2S25 (344,6 M) con un 3 % más por Leonard Valve y precio [1, 16]. 13 veces el resultado equivale a unas 11,7 veces el EBITDA, la mediana de los cinco comparables norteamericanos de construcción y agua (Watts 16,6x, Zurn 14,5x, Franklin 11,7x, Lennox 10,7x, Masco 10,4x) [75, 77, 79, 80, 81].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 (China e India)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segmento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22,6 M del 1S26 más el 2S25 (31,4 M) con un 40 % menos, al ritmo del 2T26 (ventas de China −28 % en moneda local) [16]. 7 veces por un negocio que encoge; Rinnai, con mucha exposición a China, cotiza a 4,2 veces el EBITDA con caja neta [84].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corporativo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76 M en 2025 (diferencia entre la suma de los segmentos y el resultado de explotación) más los 9,4 M de aumento del 1S26 [1, 16], al múltiplo medio ponderado de los dos segmentos.</w:t>
            </w:r>
          </w:p>
        </w:tc>
      </w:tr>
    </w:tbl>
    <w:p>
      <w:pPr>
        <w:spacing w:after="160" w:before="0"/>
      </w:pPr>
    </w:p>
    <w:p>
      <w:pPr>
        <w:spacing w:after="100"/>
      </w:pPr>
      <w:r>
        <w:rPr>
          <w:b/>
          <w:bCs/>
        </w:rPr>
        <w:t xml:space="preserve">Valor por acción por suma de partes:</w:t>
      </w:r>
      <w:r>
        <w:t xml:space="preserve"> 58,27 (+3,0 %); con ±1x en los múltiplos, 49,02 – 67,52.</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55,24 USD (-2,3 % sobre 56,56).</w:t>
      </w:r>
    </w:p>
    <w:p>
      <w:pPr>
        <w:spacing w:after="100"/>
      </w:pPr>
      <w:r>
        <w:t xml:space="preserve">Pesos: DCF 40 %, comparables 25 %, escenarios 25 %, suma de partes 10 % y transacciones 0 %. El DCF manda porque el negocio es estable y su caja predecible (conversión del 105 % en la década). Los comparables dan 61,49 USD por EV/EBITDA a 12 meses (mediana de 10,6 veces) y 57,88 por PER (14,6 veces), pero la muestra es heterogénea (R² de 0,02) y cuatro de los diez usan EBITDA ajustado, así que su mediana es un suelo [76, 78, 82, 83]. Las transacciones (83,80 USD, 15,7 veces) llevan prima de control y no pesan: el trust de la familia Smith tiene el 67,9 % del voto y dura hasta 2039 [42]. La dispersión es amplia (43,56 en el bajista a 83,80), pero los métodos de negocio se agrupan entre 53 y 62 USD, alrededor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conclusión de la revisión estratégica de China (venta, alianza o seguir) [28, 71]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tercer trimestre que la propia dirección anticipa como el más flojo; una salida de China limpia mejoraría el margen del grupo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(en 2026 se publicó el 29 de enero)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la nueva directora financiera; el consenso espera +4,0 % de ventas y 4,08 USD de BPA [65]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activos del tratamiento de agua de Norteamérica y cierre de la reestructuración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 6-8 M al año desde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año hasta 300 M (162,4 M ejecutados en el 1S26)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2,4 M de acciones más al precio actual (estimación propia), un 1,8 %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votos retenidos a los consejeros y voto de la remuneración [44,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2026 Kadri tuvo un 52 % de votos retenidos; una escalada presionaría sobre la doble clase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Octubre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vigor de la norma comercial del DOE, que exige condensación en gas, tras el aplazamiento; recurso de la American Gas Association pendiente [26]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Adelanto de compras de calentadores comerciales antes de la fecha y precio medio más alto después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volumen residencial en EE. UU. por la vivienda y por un consumidor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80-85 % de la demanda es reposición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mensuales de AHRI por debajo de −5 % interanual dos meses seguidos (−4,0 % hasta julio)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Acero y aranceles sin repercutir en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por cada punto de margen EBITDA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del 4-7 % desde el final del 2T26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 Norteamérica por debajo del 23 % (24,4 % en el 2T26)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dos clientes suman el 28 %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(sensibilidad: −2 puntos de crecimiento y −1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Relaciones de décadas y marcas propias en cada canal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proveedor en el minorista o pérdida de cuota en el mayorista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 de bombas de calor de 2029: entrada de fabricantes de climatización y asiáticos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por cada punto de margen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vende bombas de calor para agua y lidera el canal mayorista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las bombas de calor de AOS frente a Rheem en los programas de las eléctricas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o de la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por medio punto más de WACC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0,6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 (5,28 % hoy) [72]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 China con pérdidas, garantías o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−4 % (Rest of World vale unos 2,15 USD por acción en la suma de partes)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no tiene deuda y la guía excluye su desenlace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del 29-oct-2026 [71]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para crecer fuera del núcleo, como Leonard Valve a 13,7 veces el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 por compra de su tamaño (estimación propia: ROIC del 6-7 % frente a un WACC del 10,5 %)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300 M en 2026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compra por encima de 12 veces el EBITDA o deuda neta por encima de 1,5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Cúpula nueva y control familiar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y 70 % de independientes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incumplimiento de la guía en 2027 o salida de la directora financiera</w:t>
            </w:r>
          </w:p>
        </w:tc>
      </w:tr>
    </w:tbl>
    <w:p>
      <w:pPr>
        <w:spacing w:after="160" w:before="0"/>
      </w:pPr>
    </w:p>
    <w:p>
      <w:pPr>
        <w:pStyle w:val="Heading2"/>
      </w:pPr>
      <w:r>
        <w:t xml:space="preserve">Pre-mortem</w:t>
      </w:r>
    </w:p>
    <w:p>
      <w:pPr>
        <w:spacing w:after="100"/>
      </w:pPr>
      <w:r>
        <w:t xml:space="preserve">Octubre de 2029: la acción ha caído un 40 %, a unos 34 USD. La historia más probable empieza en 2027. La vivienda de EE. UU. entra en recesión y los envíos de calentadores residenciales caen dos años seguidos, como en 2019-2020; la reposición amortigua, pero los distribuidores reducen existencias y las ventas de Norteamérica bajan un 6 %. A la vez, el acero con aranceles sube otra vez y A. O. Smith, que retrasó un mes la subida de 2026 para no perder cuota, vuelve a llegar tarde: el margen EBITDA cae al 18 %. China se vende por casi nada con un deterioro de 190 M y la dirección, con un equipo de dos años, gasta la caja en otra compra a 14 veces. Mientras tanto, la norma de 2029 lleva a las eléctricas a promover bombas de calor de fabricantes de climatización, y el precio medio que el mercado esperaba no compensa la pérdida de cuota. El mercado, que pagaba 10,8 veces un EBITDA que no crecía, pasa a pagar 9 veces uno un 15 % menor. Las señales que lo habrían anticipado: los envíos mensuales de AHRI, el margen ajustado de Norteamérica por debajo del 23 % y el múltiplo pagado en la siguiente compra.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AOS es la eficiencia de sus productos en uso, no sus fábricas: la norma residencial del DOE ahorrará según el regulador 332 Mt de CO₂ acumuladas, con un sobrecoste de equipos de ≈ 2.623 M USD al año que trasladan los fabricantes [25]. Las prohibiciones del gas en obra nueva desplazan demanda a eléctricos y bombas de calor, que AOS fabrica [1]. En sus operaciones, cumplió el objetivo de reducir un 10 % la intensidad de gases de efecto invernadero entre 2019 y 2025, y se ha fijado ahorrar 40 millones de galones de agua al año hasta 2030 [1]. En tratamiento de agua, las normas sobre PFAS y la sustitución de tuberías de plomo son una oportunidad de demanda [1]. En gobierno, la familia Smith controla el 67,8 % del voto con acciones de clase A de voto múltiple [1].</w:t>
      </w:r>
    </w:p>
    <w:p>
      <w:pPr>
        <w:pStyle w:val="Heading2"/>
      </w:pPr>
      <w:r>
        <w:t xml:space="preserve">Controversias</w:t>
      </w:r>
    </w:p>
    <w:p>
      <w:pPr>
        <w:spacing w:after="100"/>
      </w:pPr>
      <w:r>
        <w:t xml:space="preserve">No constan sanciones ni litigios materiales en los últimos tres años. AOS tiene pleitos ordinarios por responsabilidad de producto (reserva de 26,6 M USD a cierre de 2025, con seguro de 125 M USD por encima de 7,5 M por siniestro), exposición al amianto y lugares contaminados donde figura como parte responsable, y declara que ninguno es material [1]. La provisión de garantías subió de 190,4 a 209,7 M USD en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quedan en la revisión estratégica, qué garantías o compromisos de caja llevaría una venta y qué margen tiene hoy China sin India?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 of World cayó un 19 % en el 2T26 con un margen del 5,2 % [16]; la salida cambia el perfil del grupo más que su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 Norteamérica en 2026 es precio y cuánto volumen, y qué cuota se perdió al retrasar la subida un mes?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por precio desde 2021 con los envíos planos [22, 24]; el DCF depende de que el precio siga cubriendo el acero.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 de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capacidad de bombas de calor tendrá en 2029, a qué coste, y cómo cambia el margen por unidad frente a un eléctrico de resistencia?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 obliga a bomba de calor en eléctricos de más de 35 galones [25]; puede ser el alcista o abrir la puerta a la climatización.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 Valve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aporta en 2026 y qué ROIC espera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Costó 470 M, 13,7 veces el EBITDA, por unos 70 M de ventas [96]; es la vara para juzgar las compras siguientes.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vencen los acuerdos con los dos clientes que suman el 28 % de las ventas y qué condiciones de precio llevan?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Perder uno restaría en torno a un 13 % del valor (sensibilidad)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Tratamiento de agua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un negocio con seis compras sigue en un margen objetivo del 15 % y qué pasaría si se vendiera?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reestructuraciones en tres años [1,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Doble clase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el consejo algún calendario para eliminar la Class A, dado el 52 % de votos retenidos a Kadri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trust controla el 67,9 % del voto con el 18,9 % del capital [42, 44].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Garantías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tasa de reclamaciones supone la provisión de garantías y cómo cambia con las bombas de calor?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única cuestión clave de auditoría (209,7 M) [1].</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y 1 explicados. Fuentes: 104 (61 primarias); citas distintas en el texto: 104.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14,6 %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La muestra mezcla agua de EE. UU. (Watts, Zurn), climatización (Lennox, Carrier) y fabricantes de calentadores europeos y japoneses (Ariston, Rinnai); el crecimiento no explica el múltiplo (R² 0,02).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104 fuentes (61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AOS en calentadores de agua de EE. UU. (residencial y comercial)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de 2025-2026: solo dicen «cuota líder», sin cifra; 2) presentación a inversores de la empresa (la descarga y la lectura agotaron el tiempo dos veces) y ficha de YCharts (rechaza la lectura); 3) búsqueda de estimaciones de terceros (Arizton, GMI): ninguna publica cuotas por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conjunta de los cinco primeros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AOS (solo nombra competidores); 2) norma del DOE de 2024 (analiza la industria sin cuotas por empresa); 3) resúmenes públicos de Arizton y GMI: nombran a los tres grandes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AHRI de 2022 y 2023 en la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PDF de diciembre de 2022 y 2023 en ahrinet.org (404 y 403); 2) página de la nota de diciembre de 2023 (sin cifras en el texto); 3) Excel de diciembre de 2024 (ruta protegida)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Rheem y Bradford White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corporativa de Paloma (solo ventas de 2021); 2) búsqueda de cifras de Paloma Rheem de 2025 (solo fuentes de asesores sin documento); 3) búsqueda de Bradford White (privada, sin cuentas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de calificaciones MSCI, Sustainalytics y CDP; 2) ficha de Sustainalytics de la empresa (sin datos sin JavaScript); 3) 10-K 2025 (remite al informe de sostenibilidad sin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del BPA del consenso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y de calendario: la revisión solo sale en gráfico, sin cifras; 2) Yahoo Finance, pestaña de análisis: la tabla de tendencia del BPA no carga; 3) Stock Analysis y MarketBeat: dan el consenso actual y el de julio, no el de hace un año; se usa la evolución de la guía como aproximación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https://www.sec.gov/Archives/edgar/data/91142/000009114226000008/aos-20251231.htm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https://www.sec.gov/Archives/edgar/data/91142/000009114224000041/aos-20231231.htm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https://www.sec.gov/Archives/edgar/data/91142/000009114222000028/aos-20211231.htm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https://www.sec.gov/Archives/edgar/data/91142/000119312520046736/d846284d10k.htm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https://www.sec.gov/Archives/edgar/data/91142/000119312519042339/d678397d10k.htm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https://www.sec.gov/Archives/edgar/data/91142/000009114226000098/aos-20260630.htm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datos XBRL de los estados financieros (companyfacts, CIK 0000091142)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https://data.sec.gov/api/xbrl/companyfacts/CIK0000091142.json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8-K: contrato de préstamo a plazo de 470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https://www.sec.gov/Archives/edgar/data/91142/000009114226000003/aos-20260105.htm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3T24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https://www.sec.gov/Archives/edgar/data/91142/000009114224000169/a9302024exhibit991.htm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4T24 y del ejercicio 2024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https://www.sec.gov/Archives/edgar/data/91142/000009114225000002/a12312024exhibit991.htm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1T25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https://www.sec.gov/Archives/edgar/data/91142/000009114225000073/a3312025exhibit991.htm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2T25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https://www.sec.gov/Archives/edgar/data/91142/000009114225000098/a6302025exhibit991.htm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3T25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https://www.sec.gov/Archives/edgar/data/91142/000009114225000148/a9302025exhibit991.htm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4T25 y del ejercicio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https://www.sec.gov/Archives/edgar/data/91142/000009114226000005/a12312025exhibit991.htm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1T26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https://www.sec.gov/Archives/edgar/data/91142/000009114226000082/a3312026exhibit991.htm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2T26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https://www.sec.gov/Archives/edgar/data/91142/000009114226000096/a6302026exhibit991.htm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https://www.marketbeat.com/earnings/reports/2026-7-30-a-o-smith-co-stock/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https://www.marketbeat.com/earnings/reports/2026-4-30-a-o-smith-co-stock/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historial de resultados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https://www.marketbeat.com/stocks/NYSE/AOS/earnings/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tercer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https://www.sec.gov/Archives/edgar/data/91142/000009114225000150/aos-20250930.htm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https://www.sec.gov/Archives/edgar/data/91142/000009114226000096/aos-20260730.htm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December 2025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https://www.ahrinet.org/sites/default/files/2026-02/December2025StatisticalRelease.pdf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July 2026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https://www.ahrinet.org/sites/default/files/2026-09/July2026StatisticalRelease.pdf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December 2021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https://www.ahrinet.org/sites/default/files/2023-02/December2021Stats.pdf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Conservation Standards for Consumer Water Heaters, final rule (89 FR 37778)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https://www.govinfo.gov/content/pkg/FR-2024-05-06/pdf/2024-09209.pdf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Delays Enforcement of Commercial Water Heater Efficiency Standards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PHCC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https://www.phccweb.org/news/u-s-department-of-energy-delays-enforcement-of-commercial-water-heater-efficiency-standards/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FAQs for modification of sections 25C, 25D, 25E, 30C, 30D, 45L, 45W and 179D under Public Law 119-21 (One Big Beautiful Bill Act), FS-2025-05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https://www.irs.gov/newsroom/faqs-for-modification-of-sections-25c-25d-25e-30c-30d-45l-45w-and-179d-under-public-law-119-21-139-stat-72-july-4-2025-commonly-known-as-the-one-big-beautiful-bill-act-obbb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https://fool.com/earnings/call-transcripts/2026/07/30/ao-smith-aos-q2-2026-earnings-call-transcript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Water Heater Market Projected to Reach $5.08 Billion by 2029 (Arizton, Research and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Contractor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https://www.contractormag.com/construction-data/article/55039925/us-water-heater-market-projected-to-reach-508-billion-by-2029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 residential regulations (resumen de la norma de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(hotwater.com)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https://www.hotwater.com/info-center/doe-regulations/doe-residential-regulations.html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Conservation Standards for Gas-Fired Instantaneous Water Heaters: further delay of effective date (2025-04474)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https://www.govinfo.gov/content/pkg/FR-2025-03-20/pdf/2025-04474.pdf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Group FY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https://www.aristongroup.com/content/dam/aristoninvestors/documents/press-releases/20260303%20PR%20-%20Ariston%20FY%202025%20Results_EN%20.pdf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Watts Water Technologies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https://www.sec.gov/Archives/edgar/data/795403/000110465926018541/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Pentair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Lennox International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Carrier Global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https://www.sec.gov/Archives/edgar/data/1783180/000178318026000008/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https://www.fluidra.com/wp-content/uploads/2026/03/3.-English_2025-Integrated-Anual-Report-ENG.pdf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Corporation (TYO:5947),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https://stockanalysis.com/quote/tyo/5947/financials/income-statement/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Paloma, General information (company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Paloma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https://www.palomaglobal.com/company/outline.html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JPY), 31-12-2025 y 31-03-2026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https://data-api.ecb.europa.eu/service/data/EXR/D.USD+JPY.EUR.SP00.A?startPeriod=2025-12-30&amp;endPeriod=2026-03-31&amp;format=csvdata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History Timeline (actualizada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https://www.aosmith.com/on/demandware.static/-/Sites-aosmith-Library/default/dwcde6a190/pdf/about/History%20Timeline_updated%202024.pdf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https://www.sec.gov/Archives/edgar/data/91142/000119312526089938/d79196ddef14a.htm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https://www.sec.gov/Archives/edgar/data/91142/000119312525037641/d897404ddef14a.htm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13-abr-26 (Item 5.07 y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https://www.sec.gov/Archives/edgar/data/91142/000009114226000078/aos-20260413.htm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8-abr-25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https://www.sec.gov/Archives/edgar/data/91142/000009114225000069/aos-20250408.htm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9-abr-24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https://www.sec.gov/Archives/edgar/data/91142/000009114224000128/aos-20240409.htm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Wheeler pasa a presidente ejecutivo y Stephen Shafer, a primer ejecutivo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https://www.sec.gov/Archives/edgar/data/91142/000009114225000071/a04252025exhibit991.htm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Wheeler se retira como presidente ejecutivo; Stephen Shafer, presidente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https://www.sec.gov/Archives/edgar/data/91142/000009114226000091/a06222026exhibit991.htm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Carrie Anderson como directora financiera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https://www.sec.gov/Archives/edgar/data/91142/000009114226000086/aos-20260519.htm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secretaría general y desarrollo corporativo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https://www.sec.gov/Archives/edgar/data/91142/000009114225000112/aos-20250828.htm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https://www.sec.gov/Archives/edgar/data/91142/000009375126000017/primary_doc.xml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A. O. Smith (posición a 31-jul-26)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https://www.sec.gov/Archives/edgar/data/91142/000031506626002247/primary_doc.xml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https://www.sec.gov/Archives/edgar/data/91142/000210012126000060/primary_doc.xml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https://www.sec.gov/Archives/edgar/data/91142/000210011926000101/primary_doc.xml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A. O. Smith (posición a 13-mar-26)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https://www.sec.gov/Archives/edgar/data/91142/000010290926000358/primary_doc.xml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2019 y guía de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https://www.sec.gov/Archives/edgar/data/91142/000119312520015988/d876025dex991.htm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2020 y guía de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https://www.sec.gov/Archives/edgar/data/91142/000009114221000003/a1282021exhibit991.htm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2021 y guía de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https://www.sec.gov/Archives/edgar/data/91142/000009114222000004/a12312021exhibit991.htm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2022 y guía de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https://www.sec.gov/Archives/edgar/data/91142/000009114223000003/a12312022exhibit991.htm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2023 y guía de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https://www.sec.gov/Archives/edgar/data/91142/000009114224000004/a12312023exhibit991.htm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completa la compra de Leonard Valve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https://www.sec.gov/Archives/edgar/data/91142/000009114226000003/a01062026exhibit991.htm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 O. Smith presentados del 9-oct-25 al 9-oct-26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https://www.sec.gov/cgi-bin/browse-edgar?action=getcompany&amp;CIK=0000091142&amp;type=4&amp;dateb=&amp;owner=include&amp;count=40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AOS, SPY, ^GSPC, XLI, ITB y XHB hasta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https://finance.yahoo.com/quote/AOS/history/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https://www.sec.gov/Archives/edgar/data/91142/000009114226000084/aos-20260331.htm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previsiones financieras 2023-2028 (cuenta de resultados, flujos y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calendario y estimaciones trimestrales frente a lo publicado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previsiones y recomendaciones de analistas (datos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(NYSE:AOS) posts earnings results, beats expectations by $0.07 EPS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https://www.marketbeat.com/instant-alerts/a-o-smith-nyseaos-posts-earnings-results-beats-expectations-by-007-eps-2026-07-30/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to hold third quarter conference call Oct. 29, 2026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(en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https://finviz.com/news/398286/a-o-smith-to-hold-third-quarter-conference-call-oct-29-2026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USD y JPY por euro,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https://data-api.ecb.europa.eu/service/data/EXR/D.USD.EUR.SP00.A?startPeriod=2026-09-25&amp;format=csvdata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https://www.marketscreener.com/quote/stock/WATTS-WATER-TECHNOLOGIES--14922/finances/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https://www.marketscreener.com/quote/stock/PENTAIR-PLC-16656327/finances/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https://www.marketscreener.com/quote/stock/LENNOX-INTERNATIONAL-INC-13398/finances/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https://www.marketscreener.com/quote/stock/CARRIER-GLOBAL-CORPORATIO-105026688/finances/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Masco: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https://www.marketscreener.com/quote/stock/MASCO-CORPORATION-13461/finances/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Water Solutions: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https://www.marketscreener.com/quote/stock/ZURN-ELKAY-WATER-SOLUTION-10314844/finances/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Franklin Electric: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https://www.marketscreener.com/quote/stock/FRANKLIN-ELECTRIC-CO-INC-9281/finances/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https://www.marketscreener.com/quote/stock/ARISTON-HOLDING-N-V-129888460/finances/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Corporation: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https://www.marketscreener.com/quote/stock/RINNAI-CORPORATION-6492817/finances/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(WTS):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(PNR):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https://stockanalysis.com/stocks/pnr/statistics/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(LII):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https://stockanalysis.com/stocks/lii/statistics/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(CARR):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https://stockanalysis.com/stocks/carr/statistics/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Masco (MAS):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(ZWS):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https://stockanalysis.com/stocks/zws/statistics/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Franklin Electric (FELE):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https://stockanalysis.com/stocks/fele/statistics/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(BIT:ARIS):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https://stockanalysis.com/quote/bit/ARIS/statistics/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(TYO:5947):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https://stockanalysis.com/quote/tyo/5947/statistics/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FDR.MC, ARIS.MI y 5947.T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https://finance.yahoo.com/quote/FDR.MC/history/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announces agreement to acquire Leonard Valve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https://www.sec.gov/Archives/edgar/data/91142/000009114225000153/a11122025exhibit991.htm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Inc. to acquire Bradley Corporation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https://www.sec.gov/Archives/edgar/data/795403/000155837023015442/wts-20230830xex99d1.htm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announces portfolio transformation to create global leader in intelligent climate and energy solutions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https://www.sec.gov/Archives/edgar/data/1783180/000095014223001199/eh230352694_ex9901.htm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dólar/euro, sep-2022 a abr-2023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https://data-api.ecb.europa.eu/service/data/EXR/D.USD.EUR.SP00.A?startPeriod=2022-09-12&amp;endPeriod=2023-04-28&amp;format=csvdata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to acquire Evoqua in $7.5 billion all-stock transaction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https://www.sec.gov/Archives/edgar/data/1524472/000119312523012563/d441004dex991.htm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resultados del cuarto trimestre y del ejercicio fiscal 2022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https://www.sec.gov/Archives/edgar/data/1604643/000160464322000122/q4fy22exhibit991.htm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Group to acquire CENTROTEC Climate Systems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https://aristongroup.com/content/dam/aristoninvestors/documents/press-releases/2022-09-15%20Ariston%20-%20Centrotec%20Climate%20Systems_EN.pdf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to acquire Manitowoc Ice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https://www.sec.gov/Archives/edgar/data/77360/000007736022000008/exhibit991manitowocdefinit.htm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and Elkay to combine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https://www.sec.gov/Archives/edgar/data/1439288/000110465922021717/tm226396d2_ex99-1.htm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93,0 %</w:t>
      </w:r>
      <w:r>
        <w:t xml:space="preserve"> · Secciones con menos del 60 % de campos cubiertos: </w:t>
      </w:r>
      <w:r>
        <w:rPr>
          <w:b/>
          <w:bCs/>
        </w:rPr>
        <w:t xml:space="preserve">ninguna</w:t>
      </w:r>
      <w:r>
        <w:t xml:space="preserve"> · Generado el 9 oct 2026.</w:t>
      </w:r>
    </w:p>
    <w:p>
      <w:pPr>
        <w:pStyle w:val="Nota"/>
        <w:spacing w:after="100"/>
      </w:pPr>
      <w:r>
        <w:t xml:space="preserve">Se valora la acción ordinaria (NYSE: AOS). La Class A (25,86 M de acciones) no cotiza, es convertible 1:1 y tiene voto reforzado; se valora al mismo precio. El precio es el cierre del 8-oct-2026 (56,56 USD): a la hora del trabajo la sesión del 9 en Nueva York no había abierto [63]. Las acciones diluidas (136,62 M) son 110,05 M ordinarias y 25,86 M de Class A a 28-jul-2026, según la portada del 10-Q, más 0,71 M de efecto dilutivo [6]; el puente es del 30-jun-2026 [16], y las recompras de julio anteriores al 28 no se restan de la caja porque su importe no se publica hasta el 10-Q del 3T26 (es pequeño frente al puente). Los arrendamientos operativos (39,2 M) quedan fuera de la deuda y del puente: en US GAAP su gasto ya está en el EBITDA. Los costes de reestructuración y deterioro se dejan dentro del EBITDA en todos los años porque se repiten. Los comparables europeos y japoneses se convierten a dólares con el tipo del BCE a la fecha de corte [74]; Ariston va con el cierre del 7 de octubre. El EBITDA de Pentair, Carrier, Fluidra y Ariston es el ajustado de MarketScreener: sus múltiplos son un suelo. La empresa no publica su cuota de mercado ni hay CR5 verificable; los envíos de AHRI de 2022 y 2023 no se pudieron descargar.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 O. Smith Corporation (AOS)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Hoja1!$B$2:$B$11</c:f>
              <c:numCache>
                <c:formatCode>#,##0.0</c:formatCode>
                <c:ptCount val="10"/>
                <c:pt idx="0">
                  <c:v>54.16</c:v>
                </c:pt>
                <c:pt idx="1">
                  <c:v>59</c:v>
                </c:pt>
                <c:pt idx="2">
                  <c:v>46.11</c:v>
                </c:pt>
                <c:pt idx="3">
                  <c:v>51.91</c:v>
                </c:pt>
                <c:pt idx="4">
                  <c:v>75.03</c:v>
                </c:pt>
                <c:pt idx="5">
                  <c:v>47.75</c:v>
                </c:pt>
                <c:pt idx="6">
                  <c:v>43.56</c:v>
                </c:pt>
                <c:pt idx="7">
                  <c:v>49.02</c:v>
                </c:pt>
                <c:pt idx="8">
                  <c:v>59.43</c:v>
                </c:pt>
                <c:pt idx="9">
                  <c:v>56.28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Hoja1!$C$2:$C$11</c:f>
              <c:numCache>
                <c:formatCode>#,##0.0</c:formatCode>
                <c:ptCount val="10"/>
                <c:pt idx="0">
                  <c:v>27.710000000000008</c:v>
                </c:pt>
                <c:pt idx="1">
                  <c:v>25</c:v>
                </c:pt>
                <c:pt idx="2">
                  <c:v>21.519999999999996</c:v>
                </c:pt>
                <c:pt idx="3">
                  <c:v>32.82000000000001</c:v>
                </c:pt>
                <c:pt idx="4">
                  <c:v>17.269999999999996</c:v>
                </c:pt>
                <c:pt idx="5">
                  <c:v>12.880000000000003</c:v>
                </c:pt>
                <c:pt idx="6">
                  <c:v>16.669999999999995</c:v>
                </c:pt>
                <c:pt idx="7">
                  <c:v>18.499999999999993</c:v>
                </c:pt>
                <c:pt idx="8">
                  <c:v>10.779999999999994</c:v>
                </c:pt>
                <c:pt idx="9">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North America</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1743.2</c:v>
                </c:pt>
                <c:pt idx="1">
                  <c:v>1904.8</c:v>
                </c:pt>
                <c:pt idx="2">
                  <c:v>2044.7</c:v>
                </c:pt>
                <c:pt idx="3">
                  <c:v>2083.5</c:v>
                </c:pt>
                <c:pt idx="4">
                  <c:v>2118.3</c:v>
                </c:pt>
                <c:pt idx="5">
                  <c:v>2529.5</c:v>
                </c:pt>
                <c:pt idx="6">
                  <c:v>2819.1</c:v>
                </c:pt>
                <c:pt idx="7">
                  <c:v>2922.9</c:v>
                </c:pt>
                <c:pt idx="8">
                  <c:v>2950.1</c:v>
                </c:pt>
                <c:pt idx="9">
                  <c:v>2984.2</c:v>
                </c:pt>
              </c:numCache>
            </c:numRef>
          </c:val>
        </c:ser>
        <c:ser>
          <c:idx val="1"/>
          <c:order val="1"/>
          <c:tx>
            <c:strRef>
              <c:f>Hoja1!$C$1</c:f>
              <c:strCache>
                <c:ptCount val="1"/>
                <c:pt idx="0">
                  <c:v>Rest of World</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965.6</c:v>
                </c:pt>
                <c:pt idx="1">
                  <c:v>1116.3</c:v>
                </c:pt>
                <c:pt idx="2">
                  <c:v>1173.6</c:v>
                </c:pt>
                <c:pt idx="3">
                  <c:v>935.8</c:v>
                </c:pt>
                <c:pt idx="4">
                  <c:v>800.3</c:v>
                </c:pt>
                <c:pt idx="5">
                  <c:v>1036.5</c:v>
                </c:pt>
                <c:pt idx="6">
                  <c:v>965.8</c:v>
                </c:pt>
                <c:pt idx="7">
                  <c:v>956.9</c:v>
                </c:pt>
                <c:pt idx="8">
                  <c:v>918.6</c:v>
                </c:pt>
                <c:pt idx="9">
                  <c:v>880.4</c:v>
                </c:pt>
              </c:numCache>
            </c:numRef>
          </c:val>
        </c:ser>
        <c:ser>
          <c:idx val="2"/>
          <c:order val="2"/>
          <c:tx>
            <c:strRef>
              <c:f>Hoja1!$D$1</c:f>
              <c:strCache>
                <c:ptCount val="1"/>
                <c:pt idx="0">
                  <c:v>Eliminaciones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-22.9</c:v>
                </c:pt>
                <c:pt idx="1">
                  <c:v>-24.4</c:v>
                </c:pt>
                <c:pt idx="2">
                  <c:v>-30.4</c:v>
                </c:pt>
                <c:pt idx="3">
                  <c:v>-26.6</c:v>
                </c:pt>
                <c:pt idx="4">
                  <c:v>-23.3</c:v>
                </c:pt>
                <c:pt idx="5">
                  <c:v>-27.1</c:v>
                </c:pt>
                <c:pt idx="6">
                  <c:v>-31</c:v>
                </c:pt>
                <c:pt idx="7">
                  <c:v>-27</c:v>
                </c:pt>
                <c:pt idx="8">
                  <c:v>-50.6</c:v>
                </c:pt>
                <c:pt idx="9">
                  <c:v>-34.4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North America</c:v>
                </c:pt>
                <c:pt idx="1">
                  <c:v>Rest of World</c:v>
                </c:pt>
                <c:pt idx="2">
                  <c:v>Eliminaciones</c:v>
                </c:pt>
              </c:strCache>
            </c:strRef>
          </c:cat>
          <c:val>
            <c:numRef>
              <c:f>Hoja1!$B$2:$B$4</c:f>
              <c:numCache>
                <c:formatCode>General</c:formatCode>
                <c:ptCount val="3"/>
                <c:pt idx="0">
                  <c:v>77.9</c:v>
                </c:pt>
                <c:pt idx="1">
                  <c:v>23</c:v>
                </c:pt>
                <c:pt idx="2">
                  <c:v>-0.9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China</c:v>
                </c:pt>
                <c:pt idx="2">
                  <c:v>Canadá</c:v>
                </c:pt>
                <c:pt idx="3">
                  <c:v>Otros</c:v>
                </c:pt>
              </c:strCache>
            </c:strRef>
          </c:cat>
          <c:val>
            <c:numRef>
              <c:f>Hoja1!$B$2:$B$5</c:f>
              <c:numCache>
                <c:formatCode>0"%"</c:formatCode>
                <c:ptCount val="4"/>
                <c:pt idx="0">
                  <c:v>68.4</c:v>
                </c:pt>
                <c:pt idx="1">
                  <c:v>17.6</c:v>
                </c:pt>
                <c:pt idx="2">
                  <c:v>8.5</c:v>
                </c:pt>
                <c:pt idx="3">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calentadores residenciales de acumulación (gas y eléctricos) enviados en EE. UU.)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2020</c:v>
                </c:pt>
                <c:pt idx="1">
                  <c:v>2021</c:v>
                </c:pt>
                <c:pt idx="2">
                  <c:v>2024</c:v>
                </c:pt>
                <c:pt idx="3">
                  <c:v>2025</c:v>
                </c:pt>
              </c:strCache>
            </c:strRef>
          </c:cat>
          <c:val>
            <c:numRef>
              <c:f>Hoja1!$B$2:$B$5</c:f>
              <c:numCache>
                <c:formatCode>#,##0</c:formatCode>
                <c:ptCount val="4"/>
                <c:pt idx="0">
                  <c:v>9238</c:v>
                </c:pt>
                <c:pt idx="1">
                  <c:v>9848</c:v>
                </c:pt>
                <c:pt idx="2">
                  <c:v>9234</c:v>
                </c:pt>
                <c:pt idx="3">
                  <c:v>9280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 O. Smith</c:v>
                </c:pt>
                <c:pt idx="1">
                  <c:v>Rheem (Paloma Rheem Holdings)</c:v>
                </c:pt>
                <c:pt idx="2">
                  <c:v>Bradford White</c:v>
                </c:pt>
                <c:pt idx="3">
                  <c:v>Rinnai</c:v>
                </c:pt>
                <c:pt idx="4">
                  <c:v>Ariston Holding</c:v>
                </c:pt>
                <c:pt idx="5">
                  <c:v>Watts Water Technologies</c:v>
                </c:pt>
                <c:pt idx="6">
                  <c:v>Pentair</c:v>
                </c:pt>
                <c:pt idx="7">
                  <c:v>Lennox International</c:v>
                </c:pt>
                <c:pt idx="8">
                  <c:v>Carrier Global</c:v>
                </c:pt>
                <c:pt idx="9">
                  <c:v>Fluidra</c:v>
                </c:pt>
              </c:strCache>
            </c:strRef>
          </c:cat>
          <c:val>
            <c:numRef>
              <c:f>Hoja1!$B$2:$B$11</c:f>
              <c:numCache>
                <c:formatCode>0.0"%"</c:formatCode>
                <c:ptCount val="10"/>
                <c:pt idx="0">
                  <c:v>19</c:v>
                </c:pt>
                <c:pt idx="3">
                  <c:v>10.7</c:v>
                </c:pt>
                <c:pt idx="4">
                  <c:v>6.6</c:v>
                </c:pt>
                <c:pt idx="5">
                  <c:v>18.4</c:v>
                </c:pt>
                <c:pt idx="6">
                  <c:v>20.5</c:v>
                </c:pt>
                <c:pt idx="7">
                  <c:v>20</c:v>
                </c:pt>
                <c:pt idx="8">
                  <c:v>10</c:v>
                </c:pt>
                <c:pt idx="9">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2685.9</c:v>
                </c:pt>
                <c:pt idx="1">
                  <c:v>2996.7</c:v>
                </c:pt>
                <c:pt idx="2">
                  <c:v>3187.9</c:v>
                </c:pt>
                <c:pt idx="3">
                  <c:v>2992.7</c:v>
                </c:pt>
                <c:pt idx="4">
                  <c:v>2895.3</c:v>
                </c:pt>
                <c:pt idx="5">
                  <c:v>3538.9</c:v>
                </c:pt>
                <c:pt idx="6">
                  <c:v>3753.9</c:v>
                </c:pt>
                <c:pt idx="7">
                  <c:v>3852.8</c:v>
                </c:pt>
                <c:pt idx="8">
                  <c:v>3818.1</c:v>
                </c:pt>
                <c:pt idx="9">
                  <c:v>3830.2</c:v>
                </c:pt>
                <c:pt idx="10">
                  <c:v>3899</c:v>
                </c:pt>
                <c:pt idx="11">
                  <c:v>4036</c:v>
                </c:pt>
                <c:pt idx="12">
                  <c:v>4189</c:v>
                </c:pt>
                <c:pt idx="13">
                  <c:v>4357</c:v>
                </c:pt>
                <c:pt idx="14">
                  <c:v>4531</c:v>
                </c:pt>
                <c:pt idx="15">
                  <c:v>4689</c:v>
                </c:pt>
                <c:pt idx="16">
                  <c:v>4830</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516.8</c:v>
                </c:pt>
                <c:pt idx="1">
                  <c:v>579.7</c:v>
                </c:pt>
                <c:pt idx="2">
                  <c:v>616.9</c:v>
                </c:pt>
                <c:pt idx="3">
                  <c:v>543.4</c:v>
                </c:pt>
                <c:pt idx="4">
                  <c:v>520.2</c:v>
                </c:pt>
                <c:pt idx="5">
                  <c:v>687.4</c:v>
                </c:pt>
                <c:pt idx="6">
                  <c:v>735.6</c:v>
                </c:pt>
                <c:pt idx="7">
                  <c:v>816.9</c:v>
                </c:pt>
                <c:pt idx="8">
                  <c:v>778</c:v>
                </c:pt>
                <c:pt idx="9">
                  <c:v>813.1</c:v>
                </c:pt>
                <c:pt idx="10">
                  <c:v>780</c:v>
                </c:pt>
                <c:pt idx="11">
                  <c:v>835</c:v>
                </c:pt>
                <c:pt idx="12">
                  <c:v>875</c:v>
                </c:pt>
                <c:pt idx="13">
                  <c:v>915</c:v>
                </c:pt>
                <c:pt idx="14">
                  <c:v>951</c:v>
                </c:pt>
                <c:pt idx="15">
                  <c:v>985</c:v>
                </c:pt>
                <c:pt idx="16">
                  <c:v>1014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41.5</c:v>
                </c:pt>
                <c:pt idx="1">
                  <c:v>41.1</c:v>
                </c:pt>
                <c:pt idx="2">
                  <c:v>41</c:v>
                </c:pt>
                <c:pt idx="3">
                  <c:v>39.5</c:v>
                </c:pt>
                <c:pt idx="4">
                  <c:v>38.3</c:v>
                </c:pt>
                <c:pt idx="5">
                  <c:v>37</c:v>
                </c:pt>
                <c:pt idx="6">
                  <c:v>35.4</c:v>
                </c:pt>
                <c:pt idx="7">
                  <c:v>38.5</c:v>
                </c:pt>
                <c:pt idx="8">
                  <c:v>38.1</c:v>
                </c:pt>
                <c:pt idx="9">
                  <c:v>38.8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19.2</c:v>
                </c:pt>
                <c:pt idx="1">
                  <c:v>19.3</c:v>
                </c:pt>
                <c:pt idx="2">
                  <c:v>19.4</c:v>
                </c:pt>
                <c:pt idx="3">
                  <c:v>18.2</c:v>
                </c:pt>
                <c:pt idx="4">
                  <c:v>18</c:v>
                </c:pt>
                <c:pt idx="5">
                  <c:v>19.4</c:v>
                </c:pt>
                <c:pt idx="6">
                  <c:v>19.6</c:v>
                </c:pt>
                <c:pt idx="7">
                  <c:v>21.2</c:v>
                </c:pt>
                <c:pt idx="8">
                  <c:v>20.4</c:v>
                </c:pt>
                <c:pt idx="9">
                  <c:v>21.2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16.8</c:v>
                </c:pt>
                <c:pt idx="1">
                  <c:v>17</c:v>
                </c:pt>
                <c:pt idx="2">
                  <c:v>17.1</c:v>
                </c:pt>
                <c:pt idx="3">
                  <c:v>15.5</c:v>
                </c:pt>
                <c:pt idx="4">
                  <c:v>15.2</c:v>
                </c:pt>
                <c:pt idx="5">
                  <c:v>17.2</c:v>
                </c:pt>
                <c:pt idx="6">
                  <c:v>17.5</c:v>
                </c:pt>
                <c:pt idx="7">
                  <c:v>19.2</c:v>
                </c:pt>
                <c:pt idx="8">
                  <c:v>18.3</c:v>
                </c:pt>
                <c:pt idx="9">
                  <c:v>19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12.2</c:v>
                </c:pt>
                <c:pt idx="1">
                  <c:v>9.9</c:v>
                </c:pt>
                <c:pt idx="2">
                  <c:v>13.9</c:v>
                </c:pt>
                <c:pt idx="3">
                  <c:v>12.4</c:v>
                </c:pt>
                <c:pt idx="4">
                  <c:v>11.9</c:v>
                </c:pt>
                <c:pt idx="5">
                  <c:v>13.8</c:v>
                </c:pt>
                <c:pt idx="6">
                  <c:v>6.3</c:v>
                </c:pt>
                <c:pt idx="7">
                  <c:v>14.4</c:v>
                </c:pt>
                <c:pt idx="8">
                  <c:v>14</c:v>
                </c:pt>
                <c:pt idx="9">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-3.7</c:v>
                </c:pt>
                <c:pt idx="1">
                  <c:v>-7.7</c:v>
                </c:pt>
                <c:pt idx="2">
                  <c:v>-1.5</c:v>
                </c:pt>
                <c:pt idx="3">
                  <c:v>-1.3</c:v>
                </c:pt>
                <c:pt idx="4">
                  <c:v>4.4</c:v>
                </c:pt>
                <c:pt idx="5">
                  <c:v>0</c:v>
                </c:pt>
                <c:pt idx="6">
                  <c:v>-1.9</c:v>
                </c:pt>
                <c:pt idx="7">
                  <c:v>-0.7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70</c:v>
                </c:pt>
                <c:pt idx="1">
                  <c:v>72</c:v>
                </c:pt>
                <c:pt idx="2">
                  <c:v>74</c:v>
                </c:pt>
                <c:pt idx="3">
                  <c:v>72</c:v>
                </c:pt>
                <c:pt idx="4">
                  <c:v>74</c:v>
                </c:pt>
                <c:pt idx="5">
                  <c:v>65</c:v>
                </c:pt>
                <c:pt idx="6">
                  <c:v>57</c:v>
                </c:pt>
                <c:pt idx="7">
                  <c:v>56</c:v>
                </c:pt>
                <c:pt idx="8">
                  <c:v>52</c:v>
                </c:pt>
                <c:pt idx="9">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61</c:v>
                </c:pt>
                <c:pt idx="2">
                  <c:v>59</c:v>
                </c:pt>
                <c:pt idx="3">
                  <c:v>61</c:v>
                </c:pt>
                <c:pt idx="4">
                  <c:v>61</c:v>
                </c:pt>
                <c:pt idx="5">
                  <c:v>73</c:v>
                </c:pt>
                <c:pt idx="6">
                  <c:v>78</c:v>
                </c:pt>
                <c:pt idx="7">
                  <c:v>77</c:v>
                </c:pt>
                <c:pt idx="8">
                  <c:v>82</c:v>
                </c:pt>
                <c:pt idx="9">
                  <c:v>75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123</c:v>
                </c:pt>
                <c:pt idx="1">
                  <c:v>111</c:v>
                </c:pt>
                <c:pt idx="2">
                  <c:v>105</c:v>
                </c:pt>
                <c:pt idx="3">
                  <c:v>103</c:v>
                </c:pt>
                <c:pt idx="4">
                  <c:v>122</c:v>
                </c:pt>
                <c:pt idx="5">
                  <c:v>122</c:v>
                </c:pt>
                <c:pt idx="6">
                  <c:v>94</c:v>
                </c:pt>
                <c:pt idx="7">
                  <c:v>93</c:v>
                </c:pt>
                <c:pt idx="8">
                  <c:v>91</c:v>
                </c:pt>
                <c:pt idx="9">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365.90000000000003</c:v>
                </c:pt>
                <c:pt idx="1">
                  <c:v>232.2</c:v>
                </c:pt>
                <c:pt idx="2">
                  <c:v>363.7</c:v>
                </c:pt>
                <c:pt idx="3">
                  <c:v>391.79999999999995</c:v>
                </c:pt>
                <c:pt idx="4">
                  <c:v>505.3</c:v>
                </c:pt>
                <c:pt idx="5">
                  <c:v>566</c:v>
                </c:pt>
                <c:pt idx="6">
                  <c:v>321.09999999999997</c:v>
                </c:pt>
                <c:pt idx="7">
                  <c:v>597.6999999999999</c:v>
                </c:pt>
                <c:pt idx="8">
                  <c:v>473.79999999999995</c:v>
                </c:pt>
                <c:pt idx="9">
                  <c:v>546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326.5</c:v>
                </c:pt>
                <c:pt idx="1">
                  <c:v>296.5</c:v>
                </c:pt>
                <c:pt idx="2">
                  <c:v>444.2</c:v>
                </c:pt>
                <c:pt idx="3">
                  <c:v>370</c:v>
                </c:pt>
                <c:pt idx="4">
                  <c:v>344.9</c:v>
                </c:pt>
                <c:pt idx="5">
                  <c:v>487.1</c:v>
                </c:pt>
                <c:pt idx="6">
                  <c:v>235.7</c:v>
                </c:pt>
                <c:pt idx="7">
                  <c:v>556.6</c:v>
                </c:pt>
                <c:pt idx="8">
                  <c:v>533.6</c:v>
                </c:pt>
                <c:pt idx="9">
                  <c:v>546.2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29.5</c:v>
                </c:pt>
                <c:pt idx="1">
                  <c:v>26.4</c:v>
                </c:pt>
                <c:pt idx="2">
                  <c:v>34.3</c:v>
                </c:pt>
                <c:pt idx="3">
                  <c:v>27.1</c:v>
                </c:pt>
                <c:pt idx="4">
                  <c:v>25.6</c:v>
                </c:pt>
                <c:pt idx="5">
                  <c:v>35.6</c:v>
                </c:pt>
                <c:pt idx="6">
                  <c:v>43.8</c:v>
                </c:pt>
                <c:pt idx="7">
                  <c:v>34.8</c:v>
                </c:pt>
                <c:pt idx="8">
                  <c:v>31.2</c:v>
                </c:pt>
                <c:pt idx="9">
                  <c:v>30.7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10.5</c:v>
                </c:pt>
                <c:pt idx="1">
                  <c:v>10.5</c:v>
                </c:pt>
                <c:pt idx="2">
                  <c:v>10.5</c:v>
                </c:pt>
                <c:pt idx="3">
                  <c:v>10.5</c:v>
                </c:pt>
                <c:pt idx="4">
                  <c:v>10.5</c:v>
                </c:pt>
                <c:pt idx="5">
                  <c:v>10.5</c:v>
                </c:pt>
                <c:pt idx="6">
                  <c:v>10.5</c:v>
                </c:pt>
                <c:pt idx="7">
                  <c:v>10.5</c:v>
                </c:pt>
                <c:pt idx="8">
                  <c:v>10.5</c:v>
                </c:pt>
                <c:pt idx="9">
                  <c:v>10.5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21.6</c:v>
                </c:pt>
                <c:pt idx="1">
                  <c:v>18.8</c:v>
                </c:pt>
                <c:pt idx="2">
                  <c:v>26.4</c:v>
                </c:pt>
                <c:pt idx="3">
                  <c:v>21.9</c:v>
                </c:pt>
                <c:pt idx="4">
                  <c:v>19.6</c:v>
                </c:pt>
                <c:pt idx="5">
                  <c:v>26.5</c:v>
                </c:pt>
                <c:pt idx="6">
                  <c:v>13.2</c:v>
                </c:pt>
                <c:pt idx="7">
                  <c:v>31</c:v>
                </c:pt>
                <c:pt idx="8">
                  <c:v>28.6</c:v>
                </c:pt>
                <c:pt idx="9">
                  <c:v>29.2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-0.83</c:v>
                </c:pt>
                <c:pt idx="1">
                  <c:v>-0.71</c:v>
                </c:pt>
                <c:pt idx="2">
                  <c:v>-0.69</c:v>
                </c:pt>
                <c:pt idx="3">
                  <c:v>-0.49</c:v>
                </c:pt>
                <c:pt idx="4">
                  <c:v>-1.11</c:v>
                </c:pt>
                <c:pt idx="5">
                  <c:v>-0.63</c:v>
                </c:pt>
                <c:pt idx="6">
                  <c:v>-0.19</c:v>
                </c:pt>
                <c:pt idx="7">
                  <c:v>-0.29</c:v>
                </c:pt>
                <c:pt idx="8">
                  <c:v>-0.11</c:v>
                </c:pt>
                <c:pt idx="9">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42.3</c:v>
                </c:pt>
                <c:pt idx="1">
                  <c:v>39.9</c:v>
                </c:pt>
                <c:pt idx="2">
                  <c:v>24.9</c:v>
                </c:pt>
                <c:pt idx="3">
                  <c:v>494.9</c:v>
                </c:pt>
                <c:pt idx="4">
                  <c:v>10</c:v>
                </c:pt>
                <c:pt idx="5">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90.8</c:v>
                </c:pt>
                <c:pt idx="1">
                  <c:v>43.1</c:v>
                </c:pt>
                <c:pt idx="2">
                  <c:v>0</c:v>
                </c:pt>
                <c:pt idx="3">
                  <c:v>107</c:v>
                </c:pt>
                <c:pt idx="4">
                  <c:v>0</c:v>
                </c:pt>
                <c:pt idx="5">
                  <c:v>207.6</c:v>
                </c:pt>
                <c:pt idx="6">
                  <c:v>8</c:v>
                </c:pt>
                <c:pt idx="7">
                  <c:v>16.8</c:v>
                </c:pt>
                <c:pt idx="8">
                  <c:v>145.9</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84.2</c:v>
                </c:pt>
                <c:pt idx="1">
                  <c:v>96.9</c:v>
                </c:pt>
                <c:pt idx="2">
                  <c:v>130.1</c:v>
                </c:pt>
                <c:pt idx="3">
                  <c:v>149.2</c:v>
                </c:pt>
                <c:pt idx="4">
                  <c:v>158.7</c:v>
                </c:pt>
                <c:pt idx="5">
                  <c:v>170.1</c:v>
                </c:pt>
                <c:pt idx="6">
                  <c:v>177.2</c:v>
                </c:pt>
                <c:pt idx="7">
                  <c:v>183.5</c:v>
                </c:pt>
                <c:pt idx="8">
                  <c:v>190.4</c:v>
                </c:pt>
                <c:pt idx="9">
                  <c:v>195.7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135.2</c:v>
                </c:pt>
                <c:pt idx="1">
                  <c:v>139.1</c:v>
                </c:pt>
                <c:pt idx="2">
                  <c:v>202.6</c:v>
                </c:pt>
                <c:pt idx="3">
                  <c:v>287.7</c:v>
                </c:pt>
                <c:pt idx="4">
                  <c:v>56.7</c:v>
                </c:pt>
                <c:pt idx="5">
                  <c:v>366.5</c:v>
                </c:pt>
                <c:pt idx="6">
                  <c:v>403.5</c:v>
                </c:pt>
                <c:pt idx="7">
                  <c:v>306.5</c:v>
                </c:pt>
                <c:pt idx="8">
                  <c:v>305.8</c:v>
                </c:pt>
                <c:pt idx="9">
                  <c:v>400.8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Otro externo</c:v>
                </c:pt>
                <c:pt idx="2">
                  <c:v>Dominical</c:v>
                </c:pt>
                <c:pt idx="3">
                  <c:v>Independiente</c:v>
                </c:pt>
              </c:strCache>
            </c:strRef>
          </c:cat>
          <c:val>
            <c:numRef>
              <c:f>Hoja1!$B$2:$B$5</c:f>
              <c:numCache>
                <c:formatCode>0</c:formatCode>
                <c:ptCount val="4"/>
                <c:pt idx="0">
                  <c:v>1</c:v>
                </c:pt>
                <c:pt idx="1">
                  <c:v>1</c:v>
                </c:pt>
                <c:pt idx="2">
                  <c:v>1</c:v>
                </c:pt>
                <c:pt idx="3">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Smith Family Voting Trust (familia Smith)</c:v>
                </c:pt>
                <c:pt idx="1">
                  <c:v>Mark D. Smith (a título propio, fuera del trust)</c:v>
                </c:pt>
                <c:pt idx="2">
                  <c:v>Vanguard (Vanguard Capital Management y Vanguard Portfolio Management)</c:v>
                </c:pt>
                <c:pt idx="3">
                  <c:v>FMR (Fidelity)</c:v>
                </c:pt>
                <c:pt idx="4">
                  <c:v>BlackRock</c:v>
                </c:pt>
                <c:pt idx="5">
                  <c:v>State Street</c:v>
                </c:pt>
                <c:pt idx="6">
                  <c:v>Autocartera</c:v>
                </c:pt>
                <c:pt idx="7">
                  <c:v>Consejeros y directivos (24 personas)</c:v>
                </c:pt>
              </c:strCache>
            </c:strRef>
          </c:cat>
          <c:val>
            <c:numRef>
              <c:f>Hoja1!$B$2:$B$9</c:f>
              <c:numCache>
                <c:formatCode>0.0"%"</c:formatCode>
                <c:ptCount val="8"/>
                <c:pt idx="0">
                  <c:v>18.92</c:v>
                </c:pt>
                <c:pt idx="1">
                  <c:v>0.29</c:v>
                </c:pt>
                <c:pt idx="2">
                  <c:v>11.16</c:v>
                </c:pt>
                <c:pt idx="3">
                  <c:v>8.5</c:v>
                </c:pt>
                <c:pt idx="4">
                  <c:v>5.03</c:v>
                </c:pt>
                <c:pt idx="5">
                  <c:v>4.28</c:v>
                </c:pt>
                <c:pt idx="6">
                  <c:v>27.51</c:v>
                </c:pt>
                <c:pt idx="7">
                  <c:v>0.52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25.1</c:v>
                </c:pt>
                <c:pt idx="1">
                  <c:v>30.8</c:v>
                </c:pt>
                <c:pt idx="2">
                  <c:v>-29.3</c:v>
                </c:pt>
                <c:pt idx="3">
                  <c:v>13.6</c:v>
                </c:pt>
                <c:pt idx="4">
                  <c:v>17.5</c:v>
                </c:pt>
                <c:pt idx="5">
                  <c:v>59.3</c:v>
                </c:pt>
                <c:pt idx="6">
                  <c:v>-32.1</c:v>
                </c:pt>
                <c:pt idx="7">
                  <c:v>46.7</c:v>
                </c:pt>
                <c:pt idx="8">
                  <c:v>-15.9</c:v>
                </c:pt>
                <c:pt idx="9">
                  <c:v>0.1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15.4</c:v>
                </c:pt>
                <c:pt idx="1">
                  <c:v>17.8</c:v>
                </c:pt>
                <c:pt idx="2">
                  <c:v>11.2</c:v>
                </c:pt>
                <c:pt idx="3">
                  <c:v>14.1</c:v>
                </c:pt>
                <c:pt idx="4">
                  <c:v>16</c:v>
                </c:pt>
                <c:pt idx="5">
                  <c:v>19.5</c:v>
                </c:pt>
                <c:pt idx="6">
                  <c:v>11.9</c:v>
                </c:pt>
                <c:pt idx="7">
                  <c:v>14.9</c:v>
                </c:pt>
                <c:pt idx="8">
                  <c:v>12.8</c:v>
                </c:pt>
                <c:pt idx="9">
                  <c:v>11.6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14.9</c:v>
                </c:pt>
                <c:pt idx="1">
                  <c:v>14.9</c:v>
                </c:pt>
                <c:pt idx="2">
                  <c:v>14.9</c:v>
                </c:pt>
                <c:pt idx="3">
                  <c:v>14.9</c:v>
                </c:pt>
                <c:pt idx="4">
                  <c:v>14.9</c:v>
                </c:pt>
                <c:pt idx="5">
                  <c:v>14.9</c:v>
                </c:pt>
                <c:pt idx="6">
                  <c:v>14.9</c:v>
                </c:pt>
                <c:pt idx="7">
                  <c:v>14.9</c:v>
                </c:pt>
                <c:pt idx="8">
                  <c:v>14.9</c:v>
                </c:pt>
                <c:pt idx="9">
                  <c:v>14.9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A. O. Smith</c:v>
                </c:pt>
                <c:pt idx="1">
                  <c:v>Watts Water Technologies</c:v>
                </c:pt>
                <c:pt idx="2">
                  <c:v>Zurn Elkay Water Solutions</c:v>
                </c:pt>
                <c:pt idx="3">
                  <c:v>Pentair</c:v>
                </c:pt>
                <c:pt idx="4">
                  <c:v>Lennox International</c:v>
                </c:pt>
                <c:pt idx="5">
                  <c:v>Carrier Global</c:v>
                </c:pt>
                <c:pt idx="6">
                  <c:v>Masco</c:v>
                </c:pt>
                <c:pt idx="7">
                  <c:v>Franklin Electric</c:v>
                </c:pt>
                <c:pt idx="8">
                  <c:v>Fluidra</c:v>
                </c:pt>
                <c:pt idx="9">
                  <c:v>Ariston Holding</c:v>
                </c:pt>
                <c:pt idx="10">
                  <c:v>Rinnai</c:v>
                </c:pt>
              </c:strCache>
            </c:strRef>
          </c:cat>
          <c:val>
            <c:numRef>
              <c:f>Hoja1!$B$2:$B$12</c:f>
              <c:numCache>
                <c:formatCode>0.0"x"</c:formatCode>
                <c:ptCount val="11"/>
                <c:pt idx="0">
                  <c:v>9.7</c:v>
                </c:pt>
                <c:pt idx="1">
                  <c:v>16.6</c:v>
                </c:pt>
                <c:pt idx="2">
                  <c:v>14.5</c:v>
                </c:pt>
                <c:pt idx="3">
                  <c:v>9.4</c:v>
                </c:pt>
                <c:pt idx="4">
                  <c:v>10.7</c:v>
                </c:pt>
                <c:pt idx="5">
                  <c:v>11.1</c:v>
                </c:pt>
                <c:pt idx="6">
                  <c:v>10.4</c:v>
                </c:pt>
                <c:pt idx="7">
                  <c:v>11.7</c:v>
                </c:pt>
                <c:pt idx="8">
                  <c:v>7.6</c:v>
                </c:pt>
                <c:pt idx="9">
                  <c:v>5.1</c:v>
                </c:pt>
                <c:pt idx="10">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 O. Smith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4.3</c:v>
                </c:pt>
              </c:numCache>
            </c:numRef>
          </c:xVal>
          <c:yVal>
            <c:numRef>
              <c:f>Hoja1!$C$2</c:f>
              <c:numCache>
                <c:formatCode>0.0"x"</c:formatCode>
                <c:ptCount val="1"/>
                <c:pt idx="0">
                  <c:v>9.7</c:v>
                </c:pt>
              </c:numCache>
            </c:numRef>
          </c:yVal>
          <c:smooth val="0"/>
        </c:ser>
        <c:ser>
          <c:idx val="1"/>
          <c:order val="1"/>
          <c:tx>
            <c:strRef>
              <c:f>Hoja1!$A$3</c:f>
              <c:strCache>
                <c:ptCount val="1"/>
                <c:pt idx="0">
                  <c:v>Watts Water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9.4</c:v>
                </c:pt>
              </c:numCache>
            </c:numRef>
          </c:xVal>
          <c:yVal>
            <c:numRef>
              <c:f>Hoja1!$C$3</c:f>
              <c:numCache>
                <c:formatCode>0.0"x"</c:formatCode>
                <c:ptCount val="1"/>
                <c:pt idx="0">
                  <c:v>16.6</c:v>
                </c:pt>
              </c:numCache>
            </c:numRef>
          </c:yVal>
          <c:smooth val="0"/>
        </c:ser>
        <c:ser>
          <c:idx val="2"/>
          <c:order val="2"/>
          <c:tx>
            <c:strRef>
              <c:f>Hoja1!$A$4</c:f>
              <c:strCache>
                <c:ptCount val="1"/>
                <c:pt idx="0">
                  <c:v>Zurn Elkay Water Solutions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7.3</c:v>
                </c:pt>
              </c:numCache>
            </c:numRef>
          </c:xVal>
          <c:yVal>
            <c:numRef>
              <c:f>Hoja1!$C$4</c:f>
              <c:numCache>
                <c:formatCode>0.0"x"</c:formatCode>
                <c:ptCount val="1"/>
                <c:pt idx="0">
                  <c:v>14.5</c:v>
                </c:pt>
              </c:numCache>
            </c:numRef>
          </c:yVal>
          <c:smooth val="0"/>
        </c:ser>
        <c:ser>
          <c:idx val="3"/>
          <c:order val="3"/>
          <c:tx>
            <c:strRef>
              <c:f>Hoja1!$A$5</c:f>
              <c:strCache>
                <c:ptCount val="1"/>
                <c:pt idx="0">
                  <c:v>Pentair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9.3</c:v>
                </c:pt>
              </c:numCache>
            </c:numRef>
          </c:xVal>
          <c:yVal>
            <c:numRef>
              <c:f>Hoja1!$C$5</c:f>
              <c:numCache>
                <c:formatCode>0.0"x"</c:formatCode>
                <c:ptCount val="1"/>
                <c:pt idx="0">
                  <c:v>9.4</c:v>
                </c:pt>
              </c:numCache>
            </c:numRef>
          </c:yVal>
          <c:smooth val="0"/>
        </c:ser>
        <c:ser>
          <c:idx val="4"/>
          <c:order val="4"/>
          <c:tx>
            <c:strRef>
              <c:f>Hoja1!$A$6</c:f>
              <c:strCache>
                <c:ptCount val="1"/>
                <c:pt idx="0">
                  <c:v>Lennox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6.7</c:v>
                </c:pt>
              </c:numCache>
            </c:numRef>
          </c:xVal>
          <c:yVal>
            <c:numRef>
              <c:f>Hoja1!$C$6</c:f>
              <c:numCache>
                <c:formatCode>0.0"x"</c:formatCode>
                <c:ptCount val="1"/>
                <c:pt idx="0">
                  <c:v>10.7</c:v>
                </c:pt>
              </c:numCache>
            </c:numRef>
          </c:yVal>
          <c:smooth val="0"/>
        </c:ser>
        <c:ser>
          <c:idx val="5"/>
          <c:order val="5"/>
          <c:tx>
            <c:strRef>
              <c:f>Hoja1!$A$7</c:f>
              <c:strCache>
                <c:ptCount val="1"/>
                <c:pt idx="0">
                  <c:v>Carrier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5.8</c:v>
                </c:pt>
              </c:numCache>
            </c:numRef>
          </c:xVal>
          <c:yVal>
            <c:numRef>
              <c:f>Hoja1!$C$7</c:f>
              <c:numCache>
                <c:formatCode>0.0"x"</c:formatCode>
                <c:ptCount val="1"/>
                <c:pt idx="0">
                  <c:v>11.1</c:v>
                </c:pt>
              </c:numCache>
            </c:numRef>
          </c:yVal>
          <c:smooth val="0"/>
        </c:ser>
        <c:ser>
          <c:idx val="6"/>
          <c:order val="6"/>
          <c:tx>
            <c:strRef>
              <c:f>Hoja1!$A$8</c:f>
              <c:strCache>
                <c:ptCount val="1"/>
                <c:pt idx="0">
                  <c:v>Masco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2.1</c:v>
                </c:pt>
              </c:numCache>
            </c:numRef>
          </c:xVal>
          <c:yVal>
            <c:numRef>
              <c:f>Hoja1!$C$8</c:f>
              <c:numCache>
                <c:formatCode>0.0"x"</c:formatCode>
                <c:ptCount val="1"/>
                <c:pt idx="0">
                  <c:v>10.4</c:v>
                </c:pt>
              </c:numCache>
            </c:numRef>
          </c:yVal>
          <c:smooth val="0"/>
        </c:ser>
        <c:ser>
          <c:idx val="7"/>
          <c:order val="7"/>
          <c:tx>
            <c:strRef>
              <c:f>Hoja1!$A$9</c:f>
              <c:strCache>
                <c:ptCount val="1"/>
                <c:pt idx="0">
                  <c:v>Franklin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5.9</c:v>
                </c:pt>
              </c:numCache>
            </c:numRef>
          </c:xVal>
          <c:yVal>
            <c:numRef>
              <c:f>Hoja1!$C$9</c:f>
              <c:numCache>
                <c:formatCode>0.0"x"</c:formatCode>
                <c:ptCount val="1"/>
                <c:pt idx="0">
                  <c:v>11.7</c:v>
                </c:pt>
              </c:numCache>
            </c:numRef>
          </c:yVal>
          <c:smooth val="0"/>
        </c:ser>
        <c:ser>
          <c:idx val="8"/>
          <c:order val="8"/>
          <c:tx>
            <c:strRef>
              <c:f>Hoja1!$A$10</c:f>
              <c:strCache>
                <c:ptCount val="1"/>
                <c:pt idx="0">
                  <c:v>Fluidra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4.7</c:v>
                </c:pt>
              </c:numCache>
            </c:numRef>
          </c:xVal>
          <c:yVal>
            <c:numRef>
              <c:f>Hoja1!$C$10</c:f>
              <c:numCache>
                <c:formatCode>0.0"x"</c:formatCode>
                <c:ptCount val="1"/>
                <c:pt idx="0">
                  <c:v>7.6</c:v>
                </c:pt>
              </c:numCache>
            </c:numRef>
          </c:yVal>
          <c:smooth val="0"/>
        </c:ser>
        <c:ser>
          <c:idx val="9"/>
          <c:order val="9"/>
          <c:tx>
            <c:strRef>
              <c:f>Hoja1!$A$11</c:f>
              <c:strCache>
                <c:ptCount val="1"/>
                <c:pt idx="0">
                  <c:v>Ariston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9.7</c:v>
                </c:pt>
              </c:numCache>
            </c:numRef>
          </c:xVal>
          <c:yVal>
            <c:numRef>
              <c:f>Hoja1!$C$11</c:f>
              <c:numCache>
                <c:formatCode>0.0"x"</c:formatCode>
                <c:ptCount val="1"/>
                <c:pt idx="0">
                  <c:v>5.1</c:v>
                </c:pt>
              </c:numCache>
            </c:numRef>
          </c:yVal>
          <c:smooth val="0"/>
        </c:ser>
        <c:ser>
          <c:idx val="10"/>
          <c:order val="10"/>
          <c:tx>
            <c:strRef>
              <c:f>Hoja1!$A$12</c:f>
              <c:strCache>
                <c:ptCount val="1"/>
                <c:pt idx="0">
                  <c:v>Rinnai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5.7</c:v>
                </c:pt>
              </c:numCache>
            </c:numRef>
          </c:xVal>
          <c:yVal>
            <c:numRef>
              <c:f>Hoja1!$C$12</c:f>
              <c:numCache>
                <c:formatCode>0.0"x"</c:formatCode>
                <c:ptCount val="1"/>
                <c:pt idx="0">
                  <c:v>4.2</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Leonard Valve</c:v>
                </c:pt>
                <c:pt idx="1">
                  <c:v>Bradley Corporation</c:v>
                </c:pt>
                <c:pt idx="2">
                  <c:v>Viessmann Climate Solutions</c:v>
                </c:pt>
                <c:pt idx="3">
                  <c:v>Evoqua Water Technologies</c:v>
                </c:pt>
                <c:pt idx="4">
                  <c:v>CENTROTEC Climate Systems (Brötje, Wolf)</c:v>
                </c:pt>
                <c:pt idx="5">
                  <c:v>Manitowoc Ice (de Welbilt)</c:v>
                </c:pt>
                <c:pt idx="6">
                  <c:v>Elkay Manufacturing</c:v>
                </c:pt>
              </c:strCache>
            </c:strRef>
          </c:cat>
          <c:val>
            <c:numRef>
              <c:f>Hoja1!$B$2:$B$8</c:f>
              <c:numCache>
                <c:formatCode>0.0"x"</c:formatCode>
                <c:ptCount val="7"/>
                <c:pt idx="0">
                  <c:v>13.7</c:v>
                </c:pt>
                <c:pt idx="2">
                  <c:v>17.1</c:v>
                </c:pt>
                <c:pt idx="3">
                  <c:v>25.2</c:v>
                </c:pt>
                <c:pt idx="5">
                  <c:v>17.4</c:v>
                </c:pt>
                <c:pt idx="6">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553</c:v>
                </c:pt>
                <c:pt idx="1">
                  <c:v>559</c:v>
                </c:pt>
                <c:pt idx="2">
                  <c:v>580</c:v>
                </c:pt>
                <c:pt idx="3">
                  <c:v>601</c:v>
                </c:pt>
                <c:pt idx="4">
                  <c:v>625</c:v>
                </c:pt>
                <c:pt idx="5">
                  <c:v>644</c:v>
                </c:pt>
                <c:pt idx="6">
                  <c:v>666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2799</c:v>
                </c:pt>
                <c:pt idx="1">
                  <c:v>4950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56,56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43.56</c:v>
                </c:pt>
                <c:pt idx="1">
                  <c:v>53.34</c:v>
                </c:pt>
                <c:pt idx="2">
                  <c:v>60.23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Hoja1!$B$2:$B$11</c:f>
              <c:numCache>
                <c:formatCode>#,##0.0</c:formatCode>
                <c:ptCount val="10"/>
                <c:pt idx="0">
                  <c:v>54.16</c:v>
                </c:pt>
                <c:pt idx="1">
                  <c:v>59</c:v>
                </c:pt>
                <c:pt idx="2">
                  <c:v>46.11</c:v>
                </c:pt>
                <c:pt idx="3">
                  <c:v>51.91</c:v>
                </c:pt>
                <c:pt idx="4">
                  <c:v>75.03</c:v>
                </c:pt>
                <c:pt idx="5">
                  <c:v>47.75</c:v>
                </c:pt>
                <c:pt idx="6">
                  <c:v>43.56</c:v>
                </c:pt>
                <c:pt idx="7">
                  <c:v>49.02</c:v>
                </c:pt>
                <c:pt idx="8">
                  <c:v>59.43</c:v>
                </c:pt>
                <c:pt idx="9">
                  <c:v>56.28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Hoja1!$C$2:$C$11</c:f>
              <c:numCache>
                <c:formatCode>#,##0.0</c:formatCode>
                <c:ptCount val="10"/>
                <c:pt idx="0">
                  <c:v>27.710000000000008</c:v>
                </c:pt>
                <c:pt idx="1">
                  <c:v>25</c:v>
                </c:pt>
                <c:pt idx="2">
                  <c:v>21.519999999999996</c:v>
                </c:pt>
                <c:pt idx="3">
                  <c:v>32.82000000000001</c:v>
                </c:pt>
                <c:pt idx="4">
                  <c:v>17.269999999999996</c:v>
                </c:pt>
                <c:pt idx="5">
                  <c:v>12.880000000000003</c:v>
                </c:pt>
                <c:pt idx="6">
                  <c:v>16.669999999999995</c:v>
                </c:pt>
                <c:pt idx="7">
                  <c:v>18.499999999999993</c:v>
                </c:pt>
                <c:pt idx="8">
                  <c:v>10.779999999999994</c:v>
                </c:pt>
                <c:pt idx="9">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