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Schneider Electric SE</w:t>
      </w:r>
    </w:p>
    <w:p>
      <w:pPr>
        <w:spacing w:after="60"/>
        <w:rPr>
          <w:color w:val="52514E"/>
          <w:sz w:val="22"/>
          <w:szCs w:val="22"/>
        </w:rPr>
      </w:pPr>
      <w:r>
        <w:rPr>
          <w:color w:val="52514E"/>
          <w:sz w:val="22"/>
          <w:szCs w:val="22"/>
        </w:rPr>
        <w:t xml:space="preserve">SU · Euronext París · ISIN FR0000121972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272,80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299,94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+11,5 % (base +13,7 %)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226,07 EUR · mercado 293,55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153.859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Schneider Electric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 / FR0000121972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y automatización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Rueil-Malmaison (Francia) · 1836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272,80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220,40 – 312,30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153.859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171.259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299,94 EUR</w:t>
      </w:r>
      <w:r>
        <w:t xml:space="preserve"> frente a 272,80 · Rentabilidad a 12 meses </w:t>
      </w:r>
      <w:r>
        <w:rPr>
          <w:b/>
          <w:bCs/>
        </w:rPr>
        <w:t xml:space="preserve">+11,5 % (base +13,7 %)</w:t>
      </w:r>
      <w:r>
        <w:t xml:space="preserve"> · Valor intrínseco 226,07 EUR · con la prima implícita del mercado: 293,55 (+7,6 %) · Alcista / bajista +2,6 % / -42,6 %</w:t>
      </w:r>
    </w:p>
    <w:p>
      <w:pPr>
        <w:spacing w:after="100"/>
      </w:pPr>
      <w:r>
        <w:rPr>
          <w:b/>
        </w:rPr>
        <w:t xml:space="preserve">La recomendación y por qué.</w:t>
      </w:r>
      <w:r>
        <w:t xml:space="preserve"> Mantener con convicción baja. Nuestro objetivo a 12 meses es de 299,94 EUR (BPA ajustado propio de 2028e por el PER de la regla común, ponderado 25/50/25): una rentabilidad ponderada del 11,5 % y del 13,7 % en el caso base, con dividendo del 1,5 %, por debajo del 15 % que exige una compra. El valor intrínseco (226,07 EUR) queda un 17,1 % por debajo del precio de 272,80 EUR, y el objetivo medio de los analistas (322,31 EUR) un 5 % por encima de nuestro base. La convicción es baja porque el DCF y el múltiplo discrepan y faltan datos de balance, sector y gobierno; compraríamos por debajo de 226,07 EUR.</w:t>
      </w:r>
    </w:p>
    <w:p>
      <w:pPr>
        <w:spacing w:after="100"/>
      </w:pPr>
      <w:r>
        <w:rPr>
          <w:b/>
        </w:rPr>
        <w:t xml:space="preserve">El negocio.</w:t>
      </w:r>
      <w:r>
        <w:t xml:space="preserve"> Líder mundial en gestión de la energía y automatización, con 40.000 M EUR de ventas (+9 % orgánico en 2025) y un 1S26 de +14 % orgánico tirado por centros de datos y redes [3, 4]. El plan 2030 pide un 7-10 % orgánico anual y +250 pb de margen [6]; nuestro base lo cumple sin superarlo (sostenibilidad: Sí).</w:t>
      </w:r>
    </w:p>
    <w:p>
      <w:pPr>
        <w:spacing w:after="100"/>
      </w:pPr>
      <w:r>
        <w:rPr>
          <w:b/>
        </w:rPr>
        <w:t xml:space="preserve">Qué descuenta el precio.</w:t>
      </w:r>
      <w:r>
        <w:t xml:space="preserve"> El DCF inverso pide un 8,5 % de crecimiento anual frente al 6,1 % medio de nuestro base: el precio ya paga el plan 2030 casi entero. La divisa (dólar débil) recorta 4-5 puntos el crecimiento reportado.</w:t>
      </w:r>
    </w:p>
    <w:p>
      <w:pPr>
        <w:spacing w:after="100"/>
      </w:pPr>
      <w:r>
        <w:rPr>
          <w:b/>
        </w:rPr>
        <w:t xml:space="preserve">Próximo dato.</w:t>
      </w:r>
      <w:r>
        <w:t xml:space="preserve"> Ventas del 3T26 el 29-oct-2026.</w:t>
      </w:r>
    </w:p>
    <w:p>
      <w:pPr>
        <w:spacing w:after="100"/>
      </w:pPr>
      <w:r>
        <w:rPr>
          <w:b/>
        </w:rPr>
        <w:t xml:space="preserve">Limitaciones.</w:t>
      </w:r>
      <w:r>
        <w:t xml:space="preserve"> Sector, competencia, gobierno, balance y flujos sin datos (entorno solo con búsqueda web y 18 minutos de presupuesto).</w:t>
      </w:r>
    </w:p>
    <w:p>
      <w:r>
        <w:br w:type="page"/>
      </w:r>
    </w:p>
    <w:p>
      <w:pPr>
        <w:pStyle w:val="Heading1"/>
      </w:pPr>
      <w:r>
        <w:t xml:space="preserve">Resumen ejecutivo</w:t>
      </w:r>
    </w:p>
    <w:p>
      <w:pPr>
        <w:pStyle w:val="Aviso"/>
        <w:spacing w:after="100"/>
      </w:pPr>
      <w:r>
        <w:t xml:space="preserve">Aviso: este informe no incluye «3. Sector y mercado», «4. Posición competitiva y foso», «7. Balance y capital circulante», «13. Equipo directivo», «14. Gobierno corporativo», porque no se encontró información verificable tras tres búsquedas. Ver el anexo «Información no disponible».</w:t>
      </w:r>
    </w:p>
    <w:p>
      <w:pPr>
        <w:spacing w:after="100"/>
      </w:pPr>
      <w:r>
        <w:rPr>
          <w:b/>
          <w:bCs/>
        </w:rPr>
        <w:t xml:space="preserve">Recomendación: Mantener</w:t>
      </w:r>
      <w:r>
        <w:t xml:space="preserve"> · Convicción: Baja · Horizonte: 12 meses · Objetivo a 12 meses: </w:t>
      </w:r>
      <w:r>
        <w:rPr>
          <w:b/>
          <w:bCs/>
        </w:rPr>
        <w:t xml:space="preserve">299,94 EUR</w:t>
      </w:r>
      <w:r>
        <w:t xml:space="preserve"> (rentabilidad +11,5 % (base +13,7 %)) · Valor intrínseco: 226,07 EUR (-17,1 % sobre 272,80) · con la prima implícita del mercado: 293,55 (+7,6 %)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 × 11,50 = 211,60 · 23,1x × 13,24 = 305,84 · 26,0x × 14,48 = 376,48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 13,7 %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322,31 (nuestro base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 / -42,6 %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8,9 %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226,07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226,07 y 337,93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337,93 (ponderada a 12 meses ≤ -10 %)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72,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de 13 (12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Baja</w:t>
      </w:r>
    </w:p>
    <w:p>
      <w:pPr>
        <w:spacing w:after="100"/>
      </w:pPr>
      <w:r>
        <w:t xml:space="preserve">Fundada en 1836 en Le Creusot (siderurgia y armamento), se reconvirtió al material eléctrico en el siglo XX; compró Square D (1991), APC (2007), Invensys (2014) y el 100 % de AVEVA (2023) [A5].</w:t>
      </w:r>
    </w:p>
    <w:p>
      <w:pPr>
        <w:spacing w:after="160" w:before="0"/>
      </w:pPr>
    </w:p>
    <w:p>
      <w:pPr>
        <w:pStyle w:val="Heading1"/>
      </w:pPr>
      <w:r>
        <w:t xml:space="preserve">2. Modelo de negocio</w:t>
      </w:r>
    </w:p>
    <w:p>
      <w:pPr>
        <w:pStyle w:val="Confianza"/>
        <w:spacing w:after="100"/>
      </w:pPr>
      <w:r>
        <w:t xml:space="preserve">Confianza: Baja</w:t>
      </w:r>
    </w:p>
    <w:p>
      <w:pPr>
        <w:spacing w:after="100"/>
      </w:pPr>
      <w:r>
        <w:t xml:space="preserve">Schneider Electric es el líder mundial en gestión de la energía (cuadros y aparamenta de baja y media tensión, SAI y refrigeración para centros de datos, gestión de edificios) y en automatización industrial y software (AVEVA). Factura unos 40.000 M EUR, con Norteamérica como primera región [A3].</w:t>
      </w:r>
    </w:p>
    <w:p>
      <w:pPr>
        <w:pStyle w:val="Heading2"/>
      </w:pPr>
      <w:r>
        <w:t xml:space="preserve">Cómo gana dinero</w:t>
      </w:r>
    </w:p>
    <w:p>
      <w:pPr>
        <w:spacing w:after="100"/>
      </w:pPr>
      <w:r>
        <w:t xml:space="preserve">Vende equipos eléctricos, sistemas y software a distribuidores, constructores, integradores, operadores de centros de datos, eléctricas e industria; más de la mitad del crecimiento reciente viene de centros de datos y de redes eléctricas [A3, A4].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16"/>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de la energía</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Automatización industrial</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de la energía</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Automatización industrial</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r>
    </w:tbl>
    <w:p>
      <w:pPr>
        <w:spacing w:after="160" w:before="0"/>
      </w:pPr>
    </w:p>
    <w:p>
      <w:pPr>
        <w:spacing w:after="100"/>
      </w:pPr>
      <w:r>
        <w:t xml:space="preserve">Crecimiento anual compuesto 2021-2025: ingresos </w:t>
      </w:r>
      <w:r>
        <w:rPr>
          <w:b/>
          <w:bCs/>
        </w:rPr>
        <w:t xml:space="preserve">8,5 %</w:t>
      </w:r>
      <w:r>
        <w:t xml:space="preserve">, EBITDA </w:t>
      </w:r>
      <w:r>
        <w:rPr>
          <w:b/>
          <w:bCs/>
        </w:rPr>
        <w:t xml:space="preserve">10,3 %</w:t>
      </w:r>
      <w:r>
        <w:t xml:space="preserve">, BPA </w:t>
      </w:r>
      <w:r>
        <w:rPr>
          <w:b/>
          <w:bCs/>
        </w:rPr>
        <w:t xml:space="preserve">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1"/>
      </w:pPr>
      <w:r>
        <w:t xml:space="preserve">8. Flujos de caja</w:t>
      </w:r>
    </w:p>
    <w:p>
      <w:pPr>
        <w:pStyle w:val="Confianza"/>
        <w:spacing w:after="100"/>
      </w:pPr>
      <w:r>
        <w:t xml:space="preserve">Confianza: Baja</w:t>
      </w:r>
    </w:p>
    <w:p>
      <w:pPr>
        <w:spacing w:after="160" w:before="0"/>
      </w:pPr>
    </w:p>
    <w:p>
      <w:pPr>
        <w:spacing w:after="100"/>
      </w:pPr>
      <w:r>
        <w:t xml:space="preserve">Caja libre récord de 4.600 M EUR en 2025 (+10 %), conversión del 111 % del beneficio neto [A3]; 1.600 M en 1S26 (+244 %) [A4]. Objetivo de conversión ≈100 % en 2026-2030 [A6].</w:t>
      </w: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7"/>
        <w:gridCol w:w="125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financiera neta de 15.400 M EUR a jun-26 tras dividendo y recompras, según un resumen del semestre [A4]; compromiso de rating de categoría A [A7].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Categoría A (compromiso de la empresa)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pStyle w:val="Heading1"/>
      </w:pPr>
      <w:r>
        <w:t xml:space="preserve">12. Asignación de capital</w:t>
      </w:r>
    </w:p>
    <w:p>
      <w:pPr>
        <w:pStyle w:val="Confianza"/>
        <w:spacing w:after="100"/>
      </w:pPr>
      <w:r>
        <w:t xml:space="preserve">Confianza: Baja</w:t>
      </w:r>
    </w:p>
    <w:p>
      <w:pPr>
        <w:spacing w:after="100"/>
      </w:pPr>
      <w:r>
        <w:t xml:space="preserve">Dividendo progresivo: 2,90 EUR (2021), 3,15 (2022), 3,50 (2023), 3,90 (2024) y 4,20 (2025, +8 %) [A3, A8]. Recompras de 2.500-3.500 M EUR hasta 2030 y desinversiones de 1.000-1.500 M de ventas (día del inversor, dic-25) [A6].</w:t>
      </w:r>
    </w:p>
    <w:p>
      <w:pPr>
        <w:spacing w:after="160" w:before="0"/>
      </w:pPr>
    </w:p>
    <w:p>
      <w:r>
        <w:br w:type="page"/>
      </w:r>
    </w:p>
    <w:p>
      <w:pPr>
        <w:pStyle w:val="Parte"/>
      </w:pPr>
      <w:r>
        <w:t xml:space="preserve">Parte III — Equipo y gobierno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NTM</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adelantado del agregador AllInvestView para SU.PA (ejercicio no indicado) [D3]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322,31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pStyle w:val="Heading1"/>
      </w:pPr>
      <w:r>
        <w:t xml:space="preserve">18. Comparables cotizados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96"/>
        <w:gridCol w:w="504"/>
        <w:gridCol w:w="908"/>
        <w:gridCol w:w="706"/>
        <w:gridCol w:w="807"/>
        <w:gridCol w:w="706"/>
        <w:gridCol w:w="756"/>
        <w:gridCol w:w="655"/>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r>
    </w:tbl>
    <w:p>
      <w:pPr>
        <w:spacing w:after="160" w:before="0"/>
      </w:pP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8 % en 2026e (fijo: 10-13 % orgánico menos divisa), 9 % en 2027-2028e (plan 2030: 7-10 % orgánico [6]) y bajada gradual al 3 % en 2035e.</w:t>
      </w:r>
    </w:p>
    <w:p>
      <w:pPr>
        <w:keepNext/>
        <w:spacing w:after="100"/>
      </w:pPr>
      <w:r>
        <w:rPr>
          <w:b/>
          <w:bCs/>
        </w:rPr>
        <w:t xml:space="preserve">Márgenes.</w:t>
      </w:r>
    </w:p>
    <w:p>
      <w:pPr>
        <w:spacing w:after="100"/>
      </w:pPr>
      <w:r>
        <w:t xml:space="preserve">EBITA ajustado del 19,6 % en 2026e (+90 pb, guía de 70-100 [4]) hasta el 21,2 % en 2030e (+250 pb del plan [6]); EBITDA = EBITA + 3,5 %.</w:t>
      </w:r>
    </w:p>
    <w:p>
      <w:pPr>
        <w:keepNext/>
        <w:spacing w:after="100"/>
      </w:pPr>
      <w:r>
        <w:rPr>
          <w:b/>
          <w:bCs/>
        </w:rPr>
        <w:t xml:space="preserve">Inversión y circulante.</w:t>
      </w:r>
    </w:p>
    <w:p>
      <w:pPr>
        <w:spacing w:after="100"/>
      </w:pPr>
      <w:r>
        <w:t xml:space="preserve">Capex del 4 % hasta 2030e (incluye circulante; sin circulante en el balance) y 3,7 % después; amortización del 3,5 %.</w:t>
      </w:r>
    </w:p>
    <w:p>
      <w:pPr>
        <w:keepNext/>
        <w:spacing w:after="100"/>
      </w:pPr>
      <w:r>
        <w:rPr>
          <w:b/>
          <w:bCs/>
        </w:rPr>
        <w:t xml:space="preserve">Coste del capital.</w:t>
      </w:r>
    </w:p>
    <w:p>
      <w:pPr>
        <w:spacing w:after="100"/>
      </w:pPr>
      <w:r>
        <w:t xml:space="preserve">OAT a 10 años del 3,4 % (estimación), beta 1,1 (estimación), prima del 5,5 %, coste de la deuda del 3,5 % (rating A), 8 % de deuda a mercado.</w:t>
      </w:r>
    </w:p>
    <w:p>
      <w:pPr>
        <w:keepNext/>
        <w:spacing w:after="100"/>
      </w:pPr>
      <w:r>
        <w:rPr>
          <w:b/>
          <w:bCs/>
        </w:rPr>
        <w:t xml:space="preserve">Valor terminal.</w:t>
      </w:r>
    </w:p>
    <w:p>
      <w:pPr>
        <w:spacing w:after="100"/>
      </w:pPr>
      <w:r>
        <w:t xml:space="preserve">Gordon con un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06" name="Gráfico 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7" name="Gráfico 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 M (2 % del NOPAT)</w:t>
            </w:r>
          </w:p>
        </w:tc>
      </w:tr>
    </w:tbl>
    <w:p>
      <w:pPr>
        <w:spacing w:after="160" w:before="0"/>
      </w:pPr>
    </w:p>
    <w:p>
      <w:pPr>
        <w:spacing w:after="100"/>
      </w:pPr>
      <w:r>
        <w:t xml:space="preserve">La proyección apenas necesita inversión neta de la amortización (reinversión acumulada de 1.968 M, el 2 % del NOPAT, con un capex bruto medio del 3,8 % de las ventas). En un negocio de activos ligeros, el crecimiento medio del 6,3 %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10-13 % (guía subida en julio [4]) menos ≈4-5 puntos de divisa (dólar débil): 8 % reportado.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y redes (volumen ≈6 %) y precio ≈3 %, en la banda del 7-10 % orgánico del plan 2030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 centros de datos.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Hacia el suelo del plan (7 %).</w:t>
            </w:r>
          </w:p>
        </w:tc>
      </w:tr>
    </w:tbl>
    <w:p>
      <w:pPr>
        <w:spacing w:after="160" w:before="0"/>
      </w:pPr>
    </w:p>
    <w:p>
      <w:pPr>
        <w:spacing w:after="100"/>
      </w:pPr>
      <w:r>
        <w:t xml:space="preserve">La proyección pide un 9 % anual en 2027-2028e, dentro del 7-10 % orgánico del plan 2030 [6] y por debajo del 14 % orgánico del 1S26 [4]; el margen llega al 21,2 % EBITA, exactamente el plan (+250 pb), sin superarlo. La reinversión es baja (capex del 4 %) porque el crecimiento es de equipos, no de activos. Mercado final no medido (sector omitido).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 (base: 24,7 %)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8,9 %)</w:t>
            </w:r>
          </w:p>
        </w:tc>
      </w:tr>
    </w:tbl>
    <w:p>
      <w:pPr>
        <w:spacing w:after="160" w:before="0"/>
      </w:pP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centros de datos se frena en 2027 (sobrecapacidad, eficiencia de la IA) y la construcción europea sigue floja: crecimiento 3 puntos menor y margen 1,5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el plan 2030: 9 % anual reportado en 2027-28 y +250 pb de margen.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Centros de datos y redes mantienen dos dígitos: crecimiento 2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8" name="Gráfico 8" descr="Valor por acción por escenario (EUR) · precio actual 272,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rPr>
          <w:b/>
          <w:bCs/>
        </w:rPr>
        <w:t xml:space="preserve">Valor ponderado por probabilidad:</w:t>
      </w:r>
      <w:r>
        <w:t xml:space="preserve"> 223,11 EUR (-18,2 %).</w:t>
      </w:r>
    </w:p>
    <w:p>
      <w:pPr>
        <w:pStyle w:val="Heading1"/>
      </w:pPr>
      <w:r>
        <w:t xml:space="preserve">22. Suma de partes</w:t>
      </w:r>
    </w:p>
    <w:p>
      <w:pPr>
        <w:pStyle w:val="Confianza"/>
        <w:spacing w:after="100"/>
      </w:pPr>
      <w:r>
        <w:t xml:space="preserve">Confianza: Baja</w:t>
      </w:r>
    </w:p>
    <w:p>
      <w:pPr>
        <w:spacing w:after="100"/>
      </w:pPr>
      <w:r>
        <w:t xml:space="preserve">No aplica: sin datos de resultado por segmento.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9" name="Gráfico 9" descr="Valor por acción según cada método (EUR) · precio actual 272,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226,07 EUR (-17,1 % sobre 272,80).</w:t>
      </w:r>
    </w:p>
    <w:p>
      <w:pPr>
        <w:spacing w:after="100"/>
      </w:pPr>
      <w:r>
        <w:t xml:space="preserve">Pesos: DCF 55 %, escenarios 35 %, comparables 10 % (un solo comparable verificable).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r>
    </w:tbl>
    <w:p>
      <w:pPr>
        <w:spacing w:after="160" w:before="0"/>
      </w:pPr>
    </w:p>
    <w:p>
      <w:pPr>
        <w:spacing w:after="100"/>
      </w:pPr>
      <w:r>
        <w:rPr>
          <w:b/>
          <w:bCs/>
        </w:rPr>
        <w:t xml:space="preserve">Objetivo a 12 meses (ponderado):</w:t>
      </w:r>
      <w:r>
        <w:t xml:space="preserve"> 299,94 EUR · rentabilidad +11,5 % (base +13,7 %) · señal Mantener.</w:t>
      </w:r>
    </w:p>
    <w:p>
      <w:pPr>
        <w:keepNext/>
        <w:spacing w:after="100"/>
      </w:pPr>
      <w:r>
        <w:rPr>
          <w:b/>
          <w:bCs/>
        </w:rPr>
        <w:t xml:space="preserve">Frente al consenso (solo contraste).</w:t>
      </w:r>
    </w:p>
    <w:p>
      <w:pPr>
        <w:spacing w:after="100"/>
      </w:pPr>
      <w:r>
        <w:t xml:space="preserve">El objetivo medio de los analistas (322,31 EUR) queda un 5 % por encima de nuestro base: aplican el PER de 27-28 veces de 2024-2025, mientras la regla común toma el PER actual sobre nuestro BPA de 2027e (23,1 veces). El BPA adelantado del consenso (12,14 EUR, ejercicio no indicado) es coherente con nuestro 11,81 de 2027e.</w:t>
      </w:r>
    </w:p>
    <w:p>
      <w:pPr>
        <w:keepNext/>
        <w:spacing w:after="100"/>
      </w:pPr>
      <w:r>
        <w:rPr>
          <w:b/>
          <w:bCs/>
        </w:rPr>
        <w:t xml:space="preserve">Del valor intrínseco al objetivo a 12 meses.</w:t>
      </w:r>
    </w:p>
    <w:p>
      <w:pPr>
        <w:spacing w:after="100"/>
      </w:pPr>
      <w:r>
        <w:t xml:space="preserve">BPA ajustado propio de 2028e × PER de la regla común; ponderado 25/50/25.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el 10-13 % orgánico y los pedidos de centros de datos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plan 2030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del plan 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3.500 M EUR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gasto en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y edificios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centros de datos a la baja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BPA reportado 4-5 puntos por debajo del orgánico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PER que vuelve a 18 veces (2022)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del BPA del 15 %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tipos reales</w:t>
            </w:r>
          </w:p>
        </w:tc>
      </w:tr>
    </w:tbl>
    <w:p>
      <w:pPr>
        <w:spacing w:after="160" w:before="0"/>
      </w:pPr>
    </w:p>
    <w:p>
      <w:pPr>
        <w:pStyle w:val="Heading2"/>
      </w:pPr>
      <w:r>
        <w:t xml:space="preserve">Pre-mortem</w:t>
      </w:r>
    </w:p>
    <w:p>
      <w:pPr>
        <w:spacing w:after="100"/>
      </w:pPr>
      <w:r>
        <w:t xml:space="preserve">Octubre de 2029, la acción ha perdido un 35 %: los hiperescaladores recortaron inversión en 2027 y la competencia de Vertiv y Eaton erosionó el margen de energía segura.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hoy los centros de datos en ventas y pedidos?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motor y el principal riesgo.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Valores razonables de la comunidad entre 313 y 379 EUR frente a un DCF automático de 221 EUR: la discusión es si los centros de datos ya están en el precio [16,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(artículos de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36 veces el beneficio contable frente a 26,9 del sector eléctrico europeo; «¿totalmente en precio?» [17,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(alertas y cambios de recomendación)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12 meses tras el semestre; subidas de recomendación a «compra fuerte» por la subida de la guía [19].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TipRanks (argumentos bajistas)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descontaría solo un 6,4 % de crecimiento total; el riesgo es el enfriamiento del gasto en centros de datos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14 % en 1S26 y guía subida al 10-13 % para 2026 [A4].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272,80 EUR cotiza a unas 23 veces nuestro BPA ajustado de 2027e, por debajo de la mediana de cinco años (27,5).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(dólar débil)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ajustado de 2025 subió un 3 % reportado frente al 13,6 % orgánico [A3].</w:t>
            </w:r>
          </w:p>
        </w:tc>
      </w:tr>
    </w:tbl>
    <w:p>
      <w:pPr>
        <w:spacing w:after="160" w:before="0"/>
      </w:pP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11 de 33 controles correctos y 22 explicados. Fuentes: 21 (3 primarias); citas distintas en el texto: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5,66 calculado frente a 6,13 publicado (con convertibles, el BPA diluido publicado ajusta el numerador: explícalo si la diferencia viene de ahí). Explicación: El BPA es el ajustado de la empresa (sin amortización de intangibles de compras ni reestructuración) y el beneficio neto, el reportado; la diferencia es esa amortización (≈0,5-1,1 EUR por acción).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6,14 calculado frente a 7,11 publicado (con convertibles, el BPA diluido publicado ajusta el numerador: explícalo si la diferencia viene de ahí). Explicación: El BPA es el ajustado de la empresa (sin amortización de intangibles de compras ni reestructuración) y el beneficio neto, el reportado; la diferencia es esa amortización (≈0,5-1,1 EUR por acción).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7,56 calculado frente a 8,32 publicado (con convertibles, el BPA diluido publicado ajusta el numerador: explícalo si la diferencia viene de ahí). Explicación: El BPA es el ajustado de la empresa (sin amortización de intangibles de compras ni reestructuración) y el beneficio neto, el reportado; la diferencia es esa amortización (≈0,5-1,1 EUR por acción).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7,45 calculado frente a 8,59 publicado (con convertibles, el BPA diluido publicado ajusta el numerador: explícalo si la diferencia viene de ahí). Explicación: El BPA es el ajustado de la empresa (sin amortización de intangibles de compras ni reestructuración) y el beneficio neto, el reportado; la diferencia es esa amortización (≈0,5-1,1 EUR por acción).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EBITDA del consenso en la base de las cuentas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es de EBITDA ajustado y falta consenso.ajuste_ebitda_pct_ventas: los múltiplos de los próximos 12 meses no son comparables con los de los últimos 12. Explicación: Sin consenso de EBITDA; solo BPA adelantado.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comparables. Explicación: Solo Legrand con PER adelantado verificable (24x 2026e); el sector eléctrico europeo cotiza a 25,7-26,9x según Simply Wall St [14, 15]. Peso de comparables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sector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competencia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rentabilidad</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directivos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gobierno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(calidad · auditores, opinión y señales contables)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(sector · tamaño de mercado, crecimiento y cuotas)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(competencia · competidores (Siemens, ABB, Eaton, Vertiv, Legrand))</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(esg · calificaciones ESG)</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(directivos · equipo directivo e historial de guía)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(gobierno · consejo, remuneración, accionistas)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(transacciones · transacciones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(bolsa · volatilidad, beta, caída máxima)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fuentes (3 primarias). Explicación: 21 fuentes por el presupuesto de tiempo.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Explicación: Solo tres comunicados de la empresa accesibles vía búsqueda.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7, 8, 9, 11. Explicación: Fuentes de contraste listadas sin cita en el texto.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Sector y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Posición competitiva y foso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Balance y capital circulante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Calidad contable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Equipo directivo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Gobierno corporativo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amortizaciones, resultado financiero e impuestos 2021-2025; ingresos exactos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en el depósito de la AMF: la búsqueda solo devuelve cabeceras; 2) Stock Analysis y TipRanks: sin cifras en el resultado; 3) EBITA ajustado publicado + amortización estimada (3,5 % de las ventas); ingresos de 2025 = «más de 40.000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histórico, vencimientos, pensiones, arrendamientos y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(sin acceso); 2) búsqueda de deuda neta a dic-25: sin cifra; 3) resumen del semestre: 15.400 M a jun-26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flujos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solo la caja libre de 2025 (4.600 M); 2) agregadores: sin resultado; 3) sin más intentos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auditores, opinión y señales contables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 de tiempo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 mercado, crecimiento y cuotas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presupuesto de 18 minutos priorizado a cuentas y valoración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(Siemens, ABB, Eaton, Vertiv, Legrand)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e historial de guía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 de 18 minutos; la guía de 2026 se subió en julio [A4]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remuneración,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último dato 272,80 EUR del 5-oct (Investing.com); 3) ABC Bourse y MarketScreener: datos de julio y junio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anuales 2020-2024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cierres anuales: solo 236,20 EUR del 30-dic-2025 [D4] y series del ADR en USD; 3) cierres de 2020-2024 de memoria del analista (estimación,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ABB, Eaton, Vertiv, Hubbell: PER adelantado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conjunta del PER adelantado: solo Legrand (24x 2026e); 2) sector eléctrico europeo a 25,7-26,9x (Simply Wall St); 3) sin más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volatilidad, beta,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bolsa.mjs sin red; beta 1,10 estimada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«reddit Schneider Electric»: sin hilos; 2) búsqueda con Seeking Alpha y Boursorama: sin hilos; 3) sin más búsquedas por el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y OAT a 10 años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sin búsqueda por presupuesto; 3) estimación propia: beta 1,1 y OAT 3,4 %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2023 Results (comunicado regulado)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(vía 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https://webdisclosure.com/press-release/schneider-electric-epa-su-full-year-2023-results-press-release-ipJOPu9utGm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2021 results (FCECO062185)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(AMF OPENDATA)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https://echanges.dila.gouv.fr/OPENDATA/AMF/ECO/2022/02/FCECO062185_20220217.pdf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2025 results (FCECO081066)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(AMF OPENDATA)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https://echanges.dila.gouv.fr/OPENDATA/AMF/ECO/2026/02/FCECO081066_20260226.pdf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(SU)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https://quartr.com/events/schneider-electric-s-e-su-q2-2026_3gmCZZyS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Full 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EMR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https://www.emr-online.com/?p=12553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rachat d'actions jusqu'à 3,5 mds, vise une meilleure marge d'ici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https://www.tradingsat.com/actualites/marches-financiers/marche-schneider-electric-rachat-d-actions-jusqu-a-35-mds-vise-une-meilleure-marge-d-ebitda-d-ici-2030-1152387.html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y los centros de datos impulsan la valoración de Schneider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(Bankinter)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https://www.bolsamania.com/capitalbolsa/noticias/recomendaciones/la-electrificacion-y-los-centros-de-datos-impulsan-la-valoracion-de-schneider-electric--23173175.html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Dividendes Schneider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https://www.abcbourse.com/cotation/SUp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delivers strong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TED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https://tedmag.com/schneider-electric-delivers-strong-half-year-results/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(SCHN) — cotización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https://www.investing.com/equities/schneider-electr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https://www.rttnews.com/story.aspx?Id=3696592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Track Schneider Electric S.E. (SU.PA)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AllInvestView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https://www.allinvestview.com/dashboard/stock/SU.PA/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price history (precio del 30-dic-2025)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https://www.fool.com/quote/fra/snd/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valoración (PER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https://www.marketscreener.com/quote/stock/LEGRAND-29423285/valuation/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Following AI Data Center News, Is Schneider Electric Fully Priced?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https://simplywall.st/stocks/fr/capital-goods/epa-su/schneider-electric-shares/news/following-ai-data-center-news-is-schneider-electric-enxtpasu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 data center expansion and European construction recovery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https://www.simplywall.st/narratives/1io1x542-su-data-center-expansion-and-european-construction-recovery-will-drive-long-term-momentum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Following AI Data Center News, Is Schneider Electric Fully Priced?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https://www.webull.com/news/15339327469462528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Schneider Electric (ENXTPA:SU) Is Back In The Spotlight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https://www.webull.com/news/15484903867163648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hits new 12-month high — still a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https://www.marketbeat.com/instant-alerts/schneider-electric-otcmktssbgsy-hits-new-12-month-high-still-a-buy-2026-07-31/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(IT:SU) — análisis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https://www.tipranks.com/stocks/it:su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41,4 %</w:t>
      </w:r>
      <w:r>
        <w:t xml:space="preserve"> · Secciones con menos del 60 % de campos cubiertos: </w:t>
      </w:r>
      <w:r>
        <w:rPr>
          <w:b/>
          <w:bCs/>
        </w:rPr>
        <w:t xml:space="preserve">resumen, negocio, sector, competencia, financieros, balance, calc, calidad, capital, directivos, gobierno, consenso, bolsa, transacciones, esg, rentabilidad, multiplos_historicos, comparables, escenarios</w:t>
      </w:r>
      <w:r>
        <w:t xml:space="preserve"> · Generado el 14 oct 2026.</w:t>
      </w:r>
    </w:p>
    <w:p>
      <w:pPr>
        <w:pStyle w:val="Nota"/>
        <w:spacing w:after="100"/>
      </w:pPr>
      <w:r>
        <w:t xml:space="preserve">Entorno sin acceso a documentos: todas las cifras salen de resultados de búsqueda web (comunicados de la empresa en el depósito OPENDATA de la AMF, Quartr, prensa), con su URL. Precio de 272,80 EUR del 5-oct-2026 (último hallado). EBITDA y amortización estimados (EBITA ajustado publicado + 3,5 % de las ventas); balance y flujos solo con cifras de cabecera. Cierres anuales 2020-2024 estimados. Sector, competencia y gobierno omitidos por un presupuesto de 18 minutos. Las ventas del 3T26 se publican el 29-oct-2026.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Schneider Electric SE (SU)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272,80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(220,40 – 312,30)</c:v>
                </c:pt>
                <c:pt idx="1">
                  <c:v>DCF (WACC y g ± 0,5) (199,06 – 267,26)</c:v>
                </c:pt>
                <c:pt idx="2">
                  <c:v>Escenarios (bajista – alcista) (156,50 – 280,01)</c:v>
                </c:pt>
                <c:pt idx="3">
                  <c:v>DCF con la prima implícita del mercado (4,2 %)</c:v>
                </c:pt>
                <c:pt idx="4">
                  <c:v>Precio actual (272,80)</c:v>
                </c:pt>
              </c:strCache>
            </c:strRef>
          </c:cat>
          <c:val>
            <c:numRef>
              <c:f>Hoja1!$B$2:$B$6</c:f>
              <c:numCache>
                <c:formatCode>#,##0</c:formatCode>
                <c:ptCount val="5"/>
                <c:pt idx="0">
                  <c:v>220.4</c:v>
                </c:pt>
                <c:pt idx="1">
                  <c:v>199.06</c:v>
                </c:pt>
                <c:pt idx="2">
                  <c:v>156.5</c:v>
                </c:pt>
                <c:pt idx="3">
                  <c:v>266.52</c:v>
                </c:pt>
                <c:pt idx="4">
                  <c:v>271.44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(220,40 – 312,30)</c:v>
                </c:pt>
                <c:pt idx="1">
                  <c:v>DCF (WACC y g ± 0,5) (199,06 – 267,26)</c:v>
                </c:pt>
                <c:pt idx="2">
                  <c:v>Escenarios (bajista – alcista) (156,50 – 280,01)</c:v>
                </c:pt>
                <c:pt idx="3">
                  <c:v>DCF con la prima implícita del mercado (4,2 %)</c:v>
                </c:pt>
                <c:pt idx="4">
                  <c:v>Precio actual (272,80)</c:v>
                </c:pt>
              </c:strCache>
            </c:strRef>
          </c:cat>
          <c:val>
            <c:numRef>
              <c:f>Hoja1!$C$2:$C$6</c:f>
              <c:numCache>
                <c:formatCode>#,##0</c:formatCode>
                <c:ptCount val="5"/>
                <c:pt idx="0">
                  <c:v>91.9</c:v>
                </c:pt>
                <c:pt idx="1">
                  <c:v>68.19999999999999</c:v>
                </c:pt>
                <c:pt idx="2">
                  <c:v>123.50999999999999</c:v>
                </c:pt>
                <c:pt idx="3">
                  <c:v>66.14000000000004</c:v>
                </c:pt>
                <c:pt idx="4">
                  <c:v>2.7200000000000273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28905</c:v>
                </c:pt>
                <c:pt idx="1">
                  <c:v>34176</c:v>
                </c:pt>
                <c:pt idx="2">
                  <c:v>35902</c:v>
                </c:pt>
                <c:pt idx="3">
                  <c:v>38153</c:v>
                </c:pt>
                <c:pt idx="4">
                  <c:v>40000</c:v>
                </c:pt>
                <c:pt idx="5">
                  <c:v>43200</c:v>
                </c:pt>
                <c:pt idx="6">
                  <c:v>47088</c:v>
                </c:pt>
                <c:pt idx="7">
                  <c:v>51326</c:v>
                </c:pt>
                <c:pt idx="8">
                  <c:v>55432</c:v>
                </c:pt>
                <c:pt idx="9">
                  <c:v>59312</c:v>
                </c:pt>
                <c:pt idx="10">
                  <c:v>62871</c:v>
                </c:pt>
                <c:pt idx="11">
                  <c:v>66015</c:v>
                </c:pt>
                <c:pt idx="12">
                  <c:v>68985</c:v>
                </c:pt>
                <c:pt idx="13">
                  <c:v>71400</c:v>
                </c:pt>
                <c:pt idx="14">
                  <c:v>73542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6012</c:v>
                </c:pt>
                <c:pt idx="1">
                  <c:v>7196</c:v>
                </c:pt>
                <c:pt idx="2">
                  <c:v>7657</c:v>
                </c:pt>
                <c:pt idx="3">
                  <c:v>8435</c:v>
                </c:pt>
                <c:pt idx="4">
                  <c:v>8900</c:v>
                </c:pt>
                <c:pt idx="5">
                  <c:v>9979</c:v>
                </c:pt>
                <c:pt idx="6">
                  <c:v>11113</c:v>
                </c:pt>
                <c:pt idx="7">
                  <c:v>12318</c:v>
                </c:pt>
                <c:pt idx="8">
                  <c:v>13525</c:v>
                </c:pt>
                <c:pt idx="9">
                  <c:v>14650</c:v>
                </c:pt>
                <c:pt idx="10">
                  <c:v>15529</c:v>
                </c:pt>
                <c:pt idx="11">
                  <c:v>16306</c:v>
                </c:pt>
                <c:pt idx="12">
                  <c:v>17039</c:v>
                </c:pt>
                <c:pt idx="13">
                  <c:v>17636</c:v>
                </c:pt>
                <c:pt idx="14">
                  <c:v>18165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20.8</c:v>
                </c:pt>
                <c:pt idx="1">
                  <c:v>21.1</c:v>
                </c:pt>
                <c:pt idx="2">
                  <c:v>21.3</c:v>
                </c:pt>
                <c:pt idx="3">
                  <c:v>22.1</c:v>
                </c:pt>
                <c:pt idx="4">
                  <c:v>22.3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17.3</c:v>
                </c:pt>
                <c:pt idx="1">
                  <c:v>17.6</c:v>
                </c:pt>
                <c:pt idx="2">
                  <c:v>17.8</c:v>
                </c:pt>
                <c:pt idx="3">
                  <c:v>18.6</c:v>
                </c:pt>
                <c:pt idx="4">
                  <c:v>18.8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11.1</c:v>
                </c:pt>
                <c:pt idx="1">
                  <c:v>10.2</c:v>
                </c:pt>
                <c:pt idx="2">
                  <c:v>11.1</c:v>
                </c:pt>
                <c:pt idx="3">
                  <c:v>11.2</c:v>
                </c:pt>
                <c:pt idx="4">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1S25</c:v>
                </c:pt>
                <c:pt idx="1">
                  <c:v>1S26</c:v>
                </c:pt>
              </c:strCache>
            </c:strRef>
          </c:cat>
          <c:val>
            <c:numRef>
              <c:f>Hoja1!$B$2:$B$3</c:f>
              <c:numCache>
                <c:formatCode>0.0"%"</c:formatCode>
                <c:ptCount val="2"/>
                <c:pt idx="1">
                  <c:v>9.8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1S25</c:v>
                </c:pt>
                <c:pt idx="1">
                  <c:v>1S26</c:v>
                </c:pt>
              </c:strCache>
            </c:strRef>
          </c:cat>
          <c:val>
            <c:numRef>
              <c:f>Hoja1!$C$2:$C$3</c:f>
              <c:numCache>
                <c:formatCode>0.0"%"</c:formatCode>
                <c:ptCount val="2"/>
                <c:pt idx="1">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WACC actual</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8.9</c:v>
                </c:pt>
                <c:pt idx="1">
                  <c:v>8.9</c:v>
                </c:pt>
                <c:pt idx="2">
                  <c:v>8.9</c:v>
                </c:pt>
                <c:pt idx="3">
                  <c:v>8.9</c:v>
                </c:pt>
                <c:pt idx="4">
                  <c:v>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6304</c:v>
                </c:pt>
                <c:pt idx="1">
                  <c:v>7052</c:v>
                </c:pt>
                <c:pt idx="2">
                  <c:v>7845</c:v>
                </c:pt>
                <c:pt idx="3">
                  <c:v>8644</c:v>
                </c:pt>
                <c:pt idx="4">
                  <c:v>9386</c:v>
                </c:pt>
                <c:pt idx="5">
                  <c:v>10137</c:v>
                </c:pt>
                <c:pt idx="6">
                  <c:v>10644</c:v>
                </c:pt>
                <c:pt idx="7">
                  <c:v>11123</c:v>
                </c:pt>
                <c:pt idx="8">
                  <c:v>11512</c:v>
                </c:pt>
                <c:pt idx="9">
                  <c:v>11858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59591</c:v>
                </c:pt>
                <c:pt idx="1">
                  <c:v>86380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272,80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156.5</c:v>
                </c:pt>
                <c:pt idx="1">
                  <c:v>227.96</c:v>
                </c:pt>
                <c:pt idx="2">
                  <c:v>280.01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272,80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(220,40 – 312,30)</c:v>
                </c:pt>
                <c:pt idx="1">
                  <c:v>DCF (WACC y g ± 0,5) (199,06 – 267,26)</c:v>
                </c:pt>
                <c:pt idx="2">
                  <c:v>Escenarios (bajista – alcista) (156,50 – 280,01)</c:v>
                </c:pt>
                <c:pt idx="3">
                  <c:v>DCF con la prima implícita del mercado (4,2 %)</c:v>
                </c:pt>
                <c:pt idx="4">
                  <c:v>Precio actual (272,80)</c:v>
                </c:pt>
              </c:strCache>
            </c:strRef>
          </c:cat>
          <c:val>
            <c:numRef>
              <c:f>Hoja1!$B$2:$B$6</c:f>
              <c:numCache>
                <c:formatCode>#,##0</c:formatCode>
                <c:ptCount val="5"/>
                <c:pt idx="0">
                  <c:v>220.4</c:v>
                </c:pt>
                <c:pt idx="1">
                  <c:v>199.06</c:v>
                </c:pt>
                <c:pt idx="2">
                  <c:v>156.5</c:v>
                </c:pt>
                <c:pt idx="3">
                  <c:v>266.52</c:v>
                </c:pt>
                <c:pt idx="4">
                  <c:v>271.44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(220,40 – 312,30)</c:v>
                </c:pt>
                <c:pt idx="1">
                  <c:v>DCF (WACC y g ± 0,5) (199,06 – 267,26)</c:v>
                </c:pt>
                <c:pt idx="2">
                  <c:v>Escenarios (bajista – alcista) (156,50 – 280,01)</c:v>
                </c:pt>
                <c:pt idx="3">
                  <c:v>DCF con la prima implícita del mercado (4,2 %)</c:v>
                </c:pt>
                <c:pt idx="4">
                  <c:v>Precio actual (272,80)</c:v>
                </c:pt>
              </c:strCache>
            </c:strRef>
          </c:cat>
          <c:val>
            <c:numRef>
              <c:f>Hoja1!$C$2:$C$6</c:f>
              <c:numCache>
                <c:formatCode>#,##0</c:formatCode>
                <c:ptCount val="5"/>
                <c:pt idx="0">
                  <c:v>91.9</c:v>
                </c:pt>
                <c:pt idx="1">
                  <c:v>68.19999999999999</c:v>
                </c:pt>
                <c:pt idx="2">
                  <c:v>123.50999999999999</c:v>
                </c:pt>
                <c:pt idx="3">
                  <c:v>66.14000000000004</c:v>
                </c:pt>
                <c:pt idx="4">
                  <c:v>2.7200000000000273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