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Stryker Corporation</w:t>
      </w:r>
    </w:p>
    <w:p>
      <w:pPr>
        <w:spacing w:after="60"/>
        <w:rPr>
          <w:color w:val="52514E"/>
          <w:sz w:val="22"/>
          <w:szCs w:val="22"/>
        </w:rPr>
      </w:pPr>
      <w:r>
        <w:rPr>
          <w:color w:val="52514E"/>
          <w:sz w:val="22"/>
          <w:szCs w:val="22"/>
        </w:rPr>
        <w:t xml:space="preserve">SYK · NYSE · ISIN US8636671013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281,62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350,47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+25,7 % (base +22,1 %)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241,89 USD · mercado 283,90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108.705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Stryker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SYK / US8636671013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Portage (Michigan) · 1941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www.stryker.com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281,62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267,00 – 392,55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108.705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120.927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≈786 M USD/día (3 meses)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350,47 USD</w:t>
      </w:r>
      <w:r>
        <w:t xml:space="preserve"> frente a 281,62 · Rentabilidad a 12 meses </w:t>
      </w:r>
      <w:r>
        <w:rPr>
          <w:b/>
          <w:bCs/>
        </w:rPr>
        <w:t xml:space="preserve">+25,7 % (base +22,1 %)</w:t>
      </w:r>
      <w:r>
        <w:t xml:space="preserve"> · Valor intrínseco 241,89 USD · con la prima implícita del mercado: 283,90 (+0,8 %) · Alcista / bajista -6,1 % / -29,0 %</w:t>
      </w:r>
    </w:p>
    <w:p>
      <w:pPr>
        <w:spacing w:after="100"/>
      </w:pPr>
      <w:r>
        <w:rPr>
          <w:b/>
        </w:rPr>
        <w:t xml:space="preserve">La recomendación y por qué.</w:t>
      </w:r>
      <w:r>
        <w:t xml:space="preserve"> Mantener con convicción baja. El objetivo a 12 meses es de 350,47 USD (+25,7 % ponderada con dividendo; +22,1 % la del base), por debajo del objetivo medio de 29 analistas (362,62) [32], pero el valor intrínseco es de 241,89 USD, un 14,1 % por debajo de los 281,62 del 14-oct-2026, así que no pasa el filtro de valor real y la regla da Mantener. La convicción es baja porque las reglas discrepan (absoluta Vender, relativa Mantener) y la diferencia es de tasa: con la prima implícita del mercado el valor objetivo es de 283,90 (+2,1 %). La subiría un 3T26 (29-oct) con vascular de EE. UU. en positivo y la guía intacta; la bajaría un recorte de la guía.</w:t>
      </w:r>
    </w:p>
    <w:p>
      <w:pPr>
        <w:spacing w:after="100"/>
      </w:pPr>
      <w:r>
        <w:rPr>
          <w:b/>
        </w:rPr>
        <w:t xml:space="preserve">El negocio.</w:t>
      </w:r>
      <w:r>
        <w:t xml:space="preserve"> Foso amplio en ortopedia (el robot Mako ata al cirujano a las prótesis de Stryker) y crecimiento orgánico del 8-11 % durante una década [6]. Calidad: </w:t>
      </w:r>
      <w:r>
        <w:rPr>
          <w:b/>
        </w:rPr>
        <w:t xml:space="preserve">En parte</w:t>
      </w:r>
      <w:r>
        <w:t xml:space="preserve">. Sin el fondo de comercio el ROIC es del 27,7 %, pero el publicado, con sesenta compras, es del 11,2 % frente a un WACC del 9,27 % (1,9 puntos): no pasa el requisito de 5 puntos, y el ROIC incremental de diez años (9,3 %) dice que las compras apenas cubren su coste. La sostenibilidad del crecimiento es «Sí»: la reinversión orgánica (≈17 % del NOPAT) sobre el capital tangible financia el 7,2 % proyectado, como en los últimos diez años.</w:t>
      </w:r>
    </w:p>
    <w:p>
      <w:pPr>
        <w:spacing w:after="100"/>
      </w:pPr>
      <w:r>
        <w:rPr>
          <w:b/>
        </w:rPr>
        <w:t xml:space="preserve">Finanzas.</w:t>
      </w:r>
      <w:r>
        <w:t xml:space="preserve"> 2026 está distorsionado: el ciberataque de marzo hundió el 1T26 (orgánico 2,4 %) [5] y el 2T26 (9,0 %) incluye 158 M de reversión de aranceles [3]. Deuda neta de ≈11.470 M (1,6 veces el EBITDA ajustado) tras pagar 4.810 M por Inari; contraprestaciones contingentes de 756 M [4].</w:t>
      </w:r>
    </w:p>
    <w:p>
      <w:pPr>
        <w:spacing w:after="100"/>
      </w:pPr>
      <w:r>
        <w:rPr>
          <w:b/>
        </w:rPr>
        <w:t xml:space="preserve">Equipo y gobierno.</w:t>
      </w:r>
      <w:r>
        <w:t xml:space="preserve"> Resta algo: relevo del consejero delegado en enero (Stiles, sucesión interna) [28], aviso tardío del problema de Inari, ventas de la consejera Ronda Stryker por ≈581 M USD antes de septiembre [27] y un variable que premia crecer sin métrica de retorno.</w:t>
      </w:r>
    </w:p>
    <w:p>
      <w:pPr>
        <w:spacing w:after="100"/>
      </w:pPr>
      <w:r>
        <w:rPr>
          <w:b/>
        </w:rPr>
        <w:t xml:space="preserve">Valoración.</w:t>
      </w:r>
      <w:r>
        <w:t xml:space="preserve"> El precio descuenta un crecimiento del 10,2 % anual en 2027e-2032e frente a nuestro 7,0 %: exigente con un bono al 5,21 %, razonable si Stryker sigue comprando como siempre. A 17,0 veces el BPA ajustado de 2027 cotiza en mínimos de una década (mediana adelantada de 24,6x): la regla v3 lleva el PER a 18,7x y de ahí sale el +25,7 %.</w:t>
      </w:r>
    </w:p>
    <w:p>
      <w:pPr>
        <w:spacing w:after="100"/>
      </w:pPr>
      <w:r>
        <w:rPr>
          <w:b/>
        </w:rPr>
        <w:t xml:space="preserve">Riesgos y catalizadores.</w:t>
      </w:r>
      <w:r>
        <w:t xml:space="preserve"> (1) Inari: el problema de suministro sigue en el 3T26 (−5 % de valor si se alarga) [39]; (2) una compra grande nueva (opción sobre CMR Surgical, anunciada el 12-oct) [14] que diluya el ROIC; (3) aranceles de la Sección 232. Riesgo de que la IA se coma el negocio: bajo; Stryker vende implantes y equipos físicos y usa la IA en planificación (Mako) y comunicación clínica. Foros divididos: los artículos largos ven una oportunidad y los mensajes cortos castigan la credibilidad de la dirección [40, 41]; no hay euforia ni capitulación.</w:t>
      </w:r>
    </w:p>
    <w:p>
      <w:pPr>
        <w:spacing w:after="100"/>
      </w:pPr>
      <w:r>
        <w:rPr>
          <w:b/>
        </w:rPr>
        <w:t xml:space="preserve">Qué cambiaría la decisión.</w:t>
      </w:r>
      <w:r>
        <w:t xml:space="preserve"> Comprar por debajo de 241,89 USD (el valor intrínseco), si además el ROIC publicado volviera a 5 puntos sobre el WACC; vender por encima de 393,33. Un 3T26 con vascular negativo otra vez, o el ejercicio de la opción sobre CMR por más de 5.000 M, empeorarían la tesis.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(tesis de múltiplo); más de un año para el valor intrínseco · Objetivo a 12 meses: </w:t>
      </w:r>
      <w:r>
        <w:rPr>
          <w:b/>
          <w:bCs/>
        </w:rPr>
        <w:t xml:space="preserve">350,47 USD</w:t>
      </w:r>
      <w:r>
        <w:t xml:space="preserve"> (rentabilidad +25,7 % (base +22,1 %)) · Valor intrínseco: 241,89 USD (-14,1 % sobre 281,62) · con la prima implícita del mercado: 283,90 (+0,8 %)</w:t>
      </w:r>
    </w:p>
    <w:p>
      <w:pPr>
        <w:spacing w:after="100"/>
      </w:pPr>
      <w:r>
        <w:t xml:space="preserve">Stryker es el mayor fabricante diversificado de tecnología quirúrgica y ortopédica: 25.116 M USD de ventas, orgánico del 10,3 % en 2025 y margen operativo ajustado del 26,3 % [6]. Su ventaja es el robot Mako, que ata la rodilla y la cadera de Stryker al quirófano, y una fuerza comercial especializada que convierte cada compra en crecimiento.</w:t>
      </w:r>
    </w:p>
    <w:p>
      <w:pPr>
        <w:spacing w:after="100"/>
      </w:pPr>
      <w:r>
        <w:t xml:space="preserve">El precio (281,62 USD) descuenta un crecimiento del 10,2 % anual en 2027e-2032e con nuestro WACC del 9,27 %, y cotiza a 17,0 veces el BPA ajustado de 2027, el múltiplo más bajo en diez años, tras caer un 23,9 % en un año por el ciberataque, el problema de Inari y el relevo del consejero delegado [31].</w:t>
      </w:r>
    </w:p>
    <w:p>
      <w:pPr>
        <w:spacing w:after="100"/>
      </w:pPr>
      <w:r>
        <w:t xml:space="preserve">El mercado acierta en que las compras rinden poco (ROIC publicado del 11,2 %) y en que el bono al 5,21 % castiga los activos de larga duración; se equivoca si cree que el crecimiento orgánico del 8-9 % está roto: el 2T26 volvió al 9,0 % [3]. Para invertir hay que creer que el PER vuelve a 18-19 veces en un año sin una compra que destruya valor.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 × 16,56 = 248,40 · 18,7x × 18,20 = 340,34 · 24,6x × 19,22 = 472,81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 / 22,1 %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362,62 (nuestro base -6,1 %)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241,89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 -29,0 %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9,3 % y 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283,90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 frente a 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(7,2 %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241,89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241,89 y 393,33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393,33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241,89 USD con el ROIC publicado a 5 puntos sobre el WACC: pasaría a Comprar.</w:t>
      </w:r>
    </w:p>
    <w:p>
      <w:pPr>
        <w:pStyle w:val="ListParagraph"/>
        <w:numPr>
          <w:ilvl w:val="0"/>
          <w:numId w:val="2"/>
        </w:numPr>
        <w:spacing w:after="60"/>
      </w:pPr>
      <w:r>
        <w:t xml:space="preserve">Precio por encima de 393,33 USD: Vender.</w:t>
      </w:r>
    </w:p>
    <w:p>
      <w:pPr>
        <w:pStyle w:val="ListParagraph"/>
        <w:numPr>
          <w:ilvl w:val="0"/>
          <w:numId w:val="2"/>
        </w:numPr>
        <w:spacing w:after="60"/>
      </w:pPr>
      <w:r>
        <w:t xml:space="preserve">Si el vascular de EE. UU. vuelve a caer en el 3T26 o se recorta la guía de 2026, revisaríamos el BPA un 5 % a la baja.</w:t>
      </w:r>
    </w:p>
    <w:p>
      <w:pPr>
        <w:pStyle w:val="ListParagraph"/>
        <w:numPr>
          <w:ilvl w:val="0"/>
          <w:numId w:val="2"/>
        </w:numPr>
        <w:spacing w:after="60"/>
      </w:pPr>
      <w:r>
        <w:t xml:space="preserve">Si Stryker ejerce la opción sobre CMR Surgical por más de 5.000 M, rebajaríamos la calidad (ROIC) y el escenario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Stryker deja de ser un crecedor de calidad: múltiplo de 17 veces, como Abbott o Medtronic, tras un año de problemas operativos (ciberataque, Inari) y con relevo en la cúpula.</w:t>
      </w:r>
    </w:p>
    <w:p>
      <w:pPr>
        <w:keepNext/>
        <w:spacing w:after="100"/>
      </w:pPr>
      <w:r>
        <w:rPr>
          <w:b/>
          <w:bCs/>
        </w:rPr>
        <w:t xml:space="preserve">Lo que creemos nosotros.</w:t>
      </w:r>
    </w:p>
    <w:p>
      <w:pPr>
        <w:spacing w:after="100"/>
      </w:pPr>
      <w:r>
        <w:t xml:space="preserve">El negocio orgánico sigue intacto (9,0 % en el 2T26) y el múltiplo debería recuperar parte del camino hacia su historia; pero el valor intrínseco con tipos del 5 % no da margen de seguridad y la calidad publicada no pasa nuestro listón.</w:t>
      </w:r>
    </w:p>
    <w:p>
      <w:pPr>
        <w:keepNext/>
        <w:spacing w:after="100"/>
      </w:pPr>
      <w:r>
        <w:rPr>
          <w:b/>
          <w:bCs/>
        </w:rPr>
        <w:t xml:space="preserve">Por qué podemos tener razón.</w:t>
      </w:r>
    </w:p>
    <w:p>
      <w:pPr>
        <w:spacing w:after="100"/>
      </w:pPr>
      <w:r>
        <w:t xml:space="preserve">Coincidimos con el consenso en el BPA (16,55 frente a 16,58 en 2027) y discrepamos en el precio: el problema de Inari es de suministro y pesa ≈2,5 % de las ventas, no de demanda.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81,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orgánico de primera</w:t>
      </w:r>
      <w:r>
        <w:t xml:space="preserve">: 10,3 % en 2025 y 9,0 % en el 2T26, casi todo volumen [3, 6].</w:t>
      </w:r>
    </w:p>
    <w:p>
      <w:pPr>
        <w:pStyle w:val="ListParagraph"/>
        <w:numPr>
          <w:ilvl w:val="0"/>
          <w:numId w:val="2"/>
        </w:numPr>
        <w:spacing w:after="60"/>
      </w:pPr>
      <w:r>
        <w:rPr>
          <w:b/>
        </w:rPr>
        <w:t xml:space="preserve">Mínimos de valoración de una década</w:t>
      </w:r>
      <w:r>
        <w:t xml:space="preserve">: 17,0 veces el BPA de 2027 frente a una mediana adelantada de 24,6x.</w:t>
      </w:r>
    </w:p>
    <w:p>
      <w:pPr>
        <w:pStyle w:val="ListParagraph"/>
        <w:numPr>
          <w:ilvl w:val="0"/>
          <w:numId w:val="2"/>
        </w:numPr>
        <w:spacing w:after="60"/>
      </w:pPr>
      <w:r>
        <w:rPr>
          <w:b/>
        </w:rPr>
        <w:t xml:space="preserve">Mako</w:t>
      </w:r>
      <w:r>
        <w:t xml:space="preserve">: más de 2,5 millones de intervenciones; Ortho Tech crece un 10 % a tipo constante.</w:t>
      </w:r>
    </w:p>
    <w:p>
      <w:pPr>
        <w:pStyle w:val="ListParagraph"/>
        <w:numPr>
          <w:ilvl w:val="0"/>
          <w:numId w:val="2"/>
        </w:numPr>
        <w:spacing w:after="60"/>
      </w:pPr>
      <w:r>
        <w:rPr>
          <w:b/>
        </w:rPr>
        <w:t xml:space="preserve">Margen ajustado al alza</w:t>
      </w:r>
      <w:r>
        <w:t xml:space="preserve">: +100 pb en 2024 y en 2025, hasta el 26,3 %.</w:t>
      </w:r>
    </w:p>
    <w:p>
      <w:pPr>
        <w:pStyle w:val="ListParagraph"/>
        <w:numPr>
          <w:ilvl w:val="0"/>
          <w:numId w:val="2"/>
        </w:numPr>
        <w:spacing w:after="60"/>
      </w:pPr>
      <w:r>
        <w:rPr>
          <w:b/>
        </w:rPr>
        <w:t xml:space="preserve">Objetivo a 12 meses de 350,47 USD</w:t>
      </w:r>
      <w:r>
        <w:t xml:space="preserve"> (+25,7 % ponderada).</w:t>
      </w:r>
    </w:p>
    <w:p>
      <w:pPr>
        <w:pStyle w:val="Heading2"/>
      </w:pPr>
      <w:r>
        <w:t xml:space="preserve">En contra</w:t>
      </w:r>
    </w:p>
    <w:p>
      <w:pPr>
        <w:pStyle w:val="ListParagraph"/>
        <w:numPr>
          <w:ilvl w:val="0"/>
          <w:numId w:val="2"/>
        </w:numPr>
        <w:spacing w:after="60"/>
      </w:pPr>
      <w:r>
        <w:rPr>
          <w:b/>
        </w:rPr>
        <w:t xml:space="preserve">ROIC publicado del 11,2 %</w:t>
      </w:r>
      <w:r>
        <w:t xml:space="preserve">, solo 1,9 puntos sobre el WACC del 9,27 %: las compras diluyen.</w:t>
      </w:r>
    </w:p>
    <w:p>
      <w:pPr>
        <w:pStyle w:val="ListParagraph"/>
        <w:numPr>
          <w:ilvl w:val="0"/>
          <w:numId w:val="2"/>
        </w:numPr>
        <w:spacing w:after="60"/>
      </w:pPr>
      <w:r>
        <w:rPr>
          <w:b/>
        </w:rPr>
        <w:t xml:space="preserve">Valor intrínseco de 241,89 USD</w:t>
      </w:r>
      <w:r>
        <w:t xml:space="preserve">, un 14,1 % por debajo del precio.</w:t>
      </w:r>
    </w:p>
    <w:p>
      <w:pPr>
        <w:pStyle w:val="ListParagraph"/>
        <w:numPr>
          <w:ilvl w:val="0"/>
          <w:numId w:val="2"/>
        </w:numPr>
        <w:spacing w:after="60"/>
      </w:pPr>
      <w:r>
        <w:rPr>
          <w:b/>
        </w:rPr>
        <w:t xml:space="preserve">Inari</w:t>
      </w:r>
      <w:r>
        <w:t xml:space="preserve">: vascular de EE. UU. −6,7 % en el 2T26 y problema abierto en el 3T [3, 39].</w:t>
      </w:r>
    </w:p>
    <w:p>
      <w:pPr>
        <w:pStyle w:val="ListParagraph"/>
        <w:numPr>
          <w:ilvl w:val="0"/>
          <w:numId w:val="2"/>
        </w:numPr>
        <w:spacing w:after="60"/>
      </w:pPr>
      <w:r>
        <w:rPr>
          <w:b/>
        </w:rPr>
        <w:t xml:space="preserve">Compra en serie sin freno</w:t>
      </w:r>
      <w:r>
        <w:t xml:space="preserve">: 4.810 M en Inari, 706 M en AVS y ≈400 M en CMR en 20 meses.</w:t>
      </w:r>
    </w:p>
    <w:p>
      <w:pPr>
        <w:pStyle w:val="ListParagraph"/>
        <w:numPr>
          <w:ilvl w:val="0"/>
          <w:numId w:val="2"/>
        </w:numPr>
        <w:spacing w:after="60"/>
      </w:pPr>
      <w:r>
        <w:rPr>
          <w:b/>
        </w:rPr>
        <w:t xml:space="preserve">Relevo del consejero delegado</w:t>
      </w:r>
      <w:r>
        <w:t xml:space="preserve"> y ventas de 581 M de una consejera de la familia fundadora [27].</w:t>
      </w:r>
    </w:p>
    <w:p>
      <w:pPr>
        <w:pStyle w:val="Heading2"/>
      </w:pPr>
      <w:r>
        <w:t xml:space="preserve">Qué tiene que pasar para que la tesis funcione</w:t>
      </w:r>
    </w:p>
    <w:p>
      <w:pPr>
        <w:spacing w:after="100"/>
      </w:pPr>
      <w:r>
        <w:t xml:space="preserve">La tesis depende de que el orgánico se mantenga en el 8-9 % sin el problema de Inari y de que la siguiente compra no diluya más el ROIC. La señal de que no se cumple: vascular de EE. UU. negativo en el 3T26 (29-oct) o una guía de 2027 por debajo del 8 % orgánico.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del BPA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Vascular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integración de Inari.</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26,5 %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+40 pb al año no se llega al BPA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publicado − WACC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puntos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 la asignación de capital.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Avisa de una compra grande.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 15,3x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29,2x / 17,3x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1941 en Kalamazoo (Michigan) por el cirujano Homer Stryker para fabricar camas y férulas, cotiza desde 1979. Entró en implantes de cadera y rodilla con Howmedica (1998, comprada a Pfizer) y desde entonces crece con compras: Mako (2013, robot ortopédico), Physio-Control (2016, desfibriladores), Wright Medical (2020, extremidades), Vocera (2022, comunicación clínica) e Inari (2025, trombectomía venosa). Bajo Kevin Lobo (consejero delegado desde 2012) las ventas se triplicaron y la empresa completó más de 60 compras; en 2025 vendió su negocio de implantes de columna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Homer Stryker funda la empresa en Kalamazoo.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Howmedica a Pfizer: entrada en prótesis articulares.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Mako Surgical (≈1.650 M USD): robot para rodilla y cadera.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Physio-Control (desfibriladores) y Sage.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Wright Medical (≈5.400 M USD de valor empresa)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Vocera (comunicación clínica).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Inari Medical (4.810 M USD netos de caja) y venta de Spinal Implants a VB Spine.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Ciberataque en marzo; inversión de ≈400 M USD en CMR Surgical con opción de compra (octubre) [14].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Stryker vende tecnología médica a hospitales y centros de cirugía ambulatoria: un 62 % de las ventas en MedSurg y Neurotecnología (instrumental quirúrgico, endoscopia, camas y equipos de emergencia, neurovascular y, desde 2025, trombectomía venosa de Inari) y un 38 % en Ortopedia (rodilla, cadera, traumatología y extremidades y el robot Mako) [1]. El 76 % de las ventas es en EE. UU. Vende con equipos comerciales especializados por división que acompañan al cirujano en quirófano; fabrica sobre todo en EE. UU., Irlanda, Puerto Rico y México.</w:t>
      </w:r>
    </w:p>
    <w:p>
      <w:pPr>
        <w:pStyle w:val="Heading2"/>
      </w:pPr>
      <w:r>
        <w:t xml:space="preserve">Cómo gana dinero</w:t>
      </w:r>
    </w:p>
    <w:p>
      <w:pPr>
        <w:spacing w:after="100"/>
      </w:pPr>
      <w:r>
        <w:t xml:space="preserve">Combina bienes de equipo (camas, torres de endoscopia, robots Mako, ≈25-30 % de las ventas según la empresa) con consumibles e implantes que se usan en cada intervención. El robot ancla al cirujano en las prótesis de Stryker: cada Mako instalado arrastra ventas de rodillas y caderas durante años. El margen bruto ajustado es del 65 % y el operativo ajustado del 26,3 % [6]; el precio aporta poco (0,4 pp en 2025) y casi todo el crecimiento es volumen. Apalancamiento operativo moderado: la empresa promete +100 pb de margen al año con crecimientos del 8-10 %.</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MedSurg y Neurotecnología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Ortopedia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MedSurg y Neurotecnología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Ortopedia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hospitales y grupos de compra en EE. UU., sistemas públicos en Europa y Japón; ningún cliente supera el 10 % de las ventas [1]. Contratos de suministro de 3-5 años con grupos de compra. El poder de precios es limitado: el precio sumó 0,4 pp en 2025 y 0,1 pp en el 2T26, con la ortopedia en precio plano o negativo [3, 6]. El poder está en el volumen y en el coste de cambiar de sistema (formación del cirujano, robot instalado).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 pp de volumen y 0,4 de precio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rodilla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Arrastre de Mako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Ortho Tech, incluido Mako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de ortopedia (Mako) 194 M frente a 148 M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Vascular en EE. UU.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Problema de suministro en vascular periférico (Inari)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año seguido con +100 pb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tecnología médica para quirófano y hospital en la que compite Stryker, con la ortopedia como núcleo de su foso. Usamos el mercado mundial de dispositivos ortopédicos como referencia de tamaño (prótesis articulares, traumatología, extremidades, columna y artroscopia) y la ficha sectorial del repositorio [20]. Las fuentes difieren por perímetro: 65.280 M USD en 2025 según Fortune Business Insights y ≈56.500 M según Global Market Insights [16, 17]; tomamos la intermedia de MarketsandMarkets (51.610 M en 2024 y un 4,8 % anual) [18]. MedSurg no tiene una cifra de mercado única: lo cubren varias categorías.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≈54.000 M USD en 2025 (dispositivos ortopédicos; 51.610 M en 2024 más un 4,8 %)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ispositivos ortopédicos,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prótesis articulares son el 37,5 % del mercado ortopédico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Robótica y cirugía ambulatoria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Ortho Tech (Mako) crece un 10 % a tipo constante en el 2T26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Bienes de equipo hospitalarios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de camas y torres dependen del presupuesto de los hospitales (caída en 2020).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 reversó 158 M de aranceles de 2025 en el 2T26 tras su anulación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y reembolso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aportó 0,4 pp en 2025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en prótesis (Stryker, Zimmer Biomet, J&amp;J DePuy, Smith &amp; Nephew) con precios planos; competencia por robots.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Grupos de compra hospitalarios y sistemas públicos negocian precio; precio plano o negativo en ortopedia.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(titanio, cobalto-cromo, polietileno) con varios proveedores; el ciberataque mostró dependencia de sistemas propios.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(FDA, MDR europeo), datos clínicos de largo plazo y fuerza comercial en quirófano.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Fármacos para la artrosis o la obesidad (GLP-1) podrían retrasar prótesis; sin efecto visible en volúmenes de 2025-2026.</w:t>
            </w:r>
          </w:p>
        </w:tc>
      </w:tr>
    </w:tbl>
    <w:p>
      <w:pPr>
        <w:spacing w:after="160" w:before="0"/>
      </w:pPr>
    </w:p>
    <w:p>
      <w:pPr>
        <w:pStyle w:val="Heading2"/>
      </w:pPr>
      <w:r>
        <w:t xml:space="preserve">Ciclo</w:t>
      </w:r>
    </w:p>
    <w:p>
      <w:pPr>
        <w:spacing w:after="100"/>
      </w:pPr>
      <w:r>
        <w:t xml:space="preserve">Los volúmenes de cirugía siguen altos tras la recuperación pos-COVID (orgánico de Stryker del 9,7-11 % en 2023-2025) [6]. En 2009 el sector creció poco pero no cayó; en 2020 las ventas de Stryker bajaron un 3,6 % por la suspensión de cirugías programadas; en 2022 la inflación de costes recortó márgenes. Indicadores: volúmenes de cirugía en EE. UU., pedidos de bienes de equipo y ocupación hospitalaria.</w:t>
      </w:r>
    </w:p>
    <w:p>
      <w:pPr>
        <w:pStyle w:val="Heading2"/>
      </w:pPr>
      <w:r>
        <w:t xml:space="preserve">Regulación</w:t>
      </w:r>
    </w:p>
    <w:p>
      <w:pPr>
        <w:spacing w:after="100"/>
      </w:pPr>
      <w:r>
        <w:t xml:space="preserve">Reglamento europeo de productos sanitarios (MDR): coste de recertificación de 38-96 M USD al año en 2023-2025 para Stryker [1]. En EE. UU., reembolso de Medicare para prótesis (paso de prótesis de rodilla y cadera a cirugía ambulatoria) y aranceles: los de 2025 (IEEPA) se anularon y Stryker reversó 158 M en el 2T26 [3]; sigue abierta la investigación de la Sección 232 sobre dispositivos médicos.</w:t>
      </w:r>
    </w:p>
    <w:p>
      <w:pPr>
        <w:pStyle w:val="Heading2"/>
      </w:pPr>
      <w:r>
        <w:t xml:space="preserve">Tendencias y disrupción</w:t>
      </w:r>
    </w:p>
    <w:p>
      <w:pPr>
        <w:spacing w:after="100"/>
      </w:pPr>
      <w:r>
        <w:t xml:space="preserve">Robots: Mako supera los 2,5 millones de intervenciones según la prensa; competidores con ROSA (Zimmer), Velys (J&amp;J) y CORI (Smith &amp; Nephew). Stryker amplía a tejidos blandos con la inversión en CMR Surgical (robot Versius, distribución exclusiva en EE. UU. y opción de compra) [14, 21]. Trombectomía venosa y periférica (Inari, AVS) es el área de crecimiento rápido. La IA entra en planificación quirúrgica, navegación y comunicación clínica: Stryker la usa más que la sufre.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dispositivos ortopédicos junto a Zimmer Biomet (≈17 % del mercado ortopédico con 9.469 M USD de ventas de Ortopedia en 2025, estimación propia sobre ≈54.000 M); n.º 1 en camas y equipos de emergencia, n.º 1-2 en instrumental motorizado.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Zimmer Biomet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ZBH</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rodilla; robot ROSA; crece ≈4 %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(DePuy Synthes)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Ortopedia en proceso de escisión; robot Velys.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&amp; Nephew</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Robot CORI; reestructuración de ortopedia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neurovascular, columna e instrumental.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Inari en vascular periférico (AngioJet, compra de Silk Road).</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Penumbra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directo de Inari en trombectomía venosa.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intervenciones Mako mejoran la planificación, efecto pequeño.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Robot instalado, formación del cirujano y juegos de instrumental en consigna atan al hospital a las prótesis de Stryker.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 de Mako y datos clínicos; marca sólida entre cirujanos.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26,3 %, similar al de los grandes; sin ventaja clara de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Fuerza comercial especializada en quirófano y presencia en casi todos los hospitales de EE. UU.</w:t>
            </w:r>
          </w:p>
        </w:tc>
      </w:tr>
    </w:tbl>
    <w:p>
      <w:pPr>
        <w:spacing w:after="160" w:before="0"/>
      </w:pPr>
    </w:p>
    <w:p>
      <w:pPr>
        <w:pStyle w:val="Heading2"/>
      </w:pPr>
      <w:r>
        <w:t xml:space="preserve">Amenazas</w:t>
      </w:r>
    </w:p>
    <w:p>
      <w:pPr>
        <w:spacing w:after="100"/>
      </w:pPr>
      <w:r>
        <w:t xml:space="preserve">Tres amenazas con probabilidad media: (1) robots rivales y la entrada de Intuitive en ortopedia, que erosionarían el arrastre de Mako; (2) presión de precios de grupos de compra y de Medicare; (3) que la integración de Inari no recupere el crecimiento (el vascular de EE. UU. cayó un 6,7 % en el 2T26) [3]. Fármacos GLP-1 para la obesidad: riesgo de largo plazo, sin efecto observado en volúmenes.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spacing w:after="100"/>
      </w:pPr>
      <w:r>
        <w:t xml:space="preserve">Crecimiento anual compuesto 2016-2025: ingresos </w:t>
      </w:r>
      <w:r>
        <w:rPr>
          <w:b/>
          <w:bCs/>
        </w:rPr>
        <w:t xml:space="preserve">9,3 %</w:t>
      </w:r>
      <w:r>
        <w:t xml:space="preserve">, EBITDA </w:t>
      </w:r>
      <w:r>
        <w:rPr>
          <w:b/>
          <w:bCs/>
        </w:rPr>
        <w:t xml:space="preserve">9,5 %</w:t>
      </w:r>
      <w:r>
        <w:t xml:space="preserve">, BPA </w:t>
      </w:r>
      <w:r>
        <w:rPr>
          <w:b/>
          <w:bCs/>
        </w:rPr>
        <w:t xml:space="preserve">7,6 %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11.325 M USD en 2016 a 25.116 M en 2025 (TCAC del 9,3 %), con el orgánico casi siempre entre el 8 y el 11 % (10,3 % en 2025, con 9,9 puntos de volumen y 0,4 de precio) [6]. El resto son compras: Wright Medical (2020), Vocera (2022) e Inari (2025), y salidas como Spinal Implants (2025) [1]. El margen operativo ajustado de la empresa subió 100 pb en 2024 y otros 100 pb en 2025, hasta el 26,3 %, por volumen, precio y control del gasto general [6]. El EBIT publicado oscila más (16,3 % en 2024, 19,5 % en 2025) por deterioros (977 M en 2024 por el negocio de columna), amortización de intangibles comprados (732 M en 2025) y costes de integración [1]. 2026 está distorsionado: el ciberataque de marzo paró pedidos, fábricas y envíos (orgánico del 1T26 del 2,4 %) y el 2T26 recuperó (9,0 %), con una reversión de aranceles de 2025 de 158 M en el coste de ventas [3, 5, 12].</w:t>
      </w:r>
    </w:p>
    <w:p>
      <w:pPr>
        <w:pStyle w:val="Heading2"/>
      </w:pPr>
      <w:r>
        <w:t xml:space="preserve">Ajustes y partidas no recurrentes</w:t>
      </w:r>
    </w:p>
    <w:p>
      <w:pPr>
        <w:spacing w:after="100"/>
      </w:pPr>
      <w:r>
        <w:t xml:space="preserve">Usamos las cifras contables en la cuenta (BPA diluido publicado: 8,40 USD en 2025) y el BPA ajustado de la empresa para el objetivo a 12 meses, porque es la base del consenso y de los comparables (13,63 USD en 2025). La diferencia de 2025 (5,23 USD) son amortización de intangibles comprados (1,49), impuestos por traspasos de propiedad intelectual (1,71), integración de Inari y revalorización de existencias (1,12), reestructuración (0,37), deterioros (0,31) y retiradas y regulación (0,23) [1]. Los deterioros de cada año van en no recurrentes del EBITDA. La reestructuración y los costes de integración se repiten todos los años (1,5-3 % de las ventas): no son no recurrentes y los restamos también en el DCF. 2018 lleva un beneficio fiscal de 1.197 M (traspasos de propiedad intelectual): BPA de 9,34 USD no repetible.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enero la dirección prometió crecer «en la parte alta de la tecnología médica» en 2026: orgánico del 8-9,5 % y BPA ajustado de 14,90-15,10 USD [6]. El ciberataque del 11 de marzo (sin rescate ni programa malicioso, según la empresa) paró pedidos, fabricación y envíos hasta comienzos de abril [11, 12]; el 1T26 creció un 2,4 % orgánico, el margen operativo ajustado bajó 180 pb al 21,1 % y el BPA ajustado cayó un 8,5 %, pero la guía se mantuvo [5]. En el 2T26 el orgánico volvió al 9,0 %, el margen ajustado subió 170 pb al 27,4 % y la guía se estrechó a 8,3-9,3 % y 14,95-15,10 USD [3]. Lo que no cuadra: Vascular cayó un 6,7 % en EE. UU. por un problema de suministro en vascular periférico (Inari), y la reversión de aranceles de 158 M y el coste del ciberataque hacen que el margen del semestre (24,4 % ajustado) no sea limpio [3, 4]. La guía exige un segundo semestre con un orgánico de ≈12 % sobre una base fácil.</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Inari Medical, consolidada desde el 19-feb-2025 (4.810 M USD netos de caja; ≈600 M USD de ventas anuales); venta de Spinal Implants a VB Spine en abril de 2025 (≈0,7 % de las ventas).; 2020: Wright Medical, consolidada desde noviembre de 2020 (≈5.400 M USD de valor empresa): entra en balance con dos meses de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sube con cada compra grande y baja después: 13.991 M en 2020 (Wright), 12.995 M en 2023, 15.859 M en 2025 (Inari, financiada con 3.000 M de bonos en febrero de 2025) y 14.942 M en junio de 2026 tras amortizar 1.000 M [1, 4]. Deuda neta de ≈11.470 M a junio, 1,6 veces el EBITDA ajustado de 2025 (7.064 M). El circulante comercial es alto para el sector (≈30 % de las ventas: existencias de 5.521 M, 245 días de coste de ventas), por los juegos de implantes en consigna en hospitales; es la partida que más caja consume al crecer. El fondo de comercio (19.291 M) y los intangibles (5.681 M) son el 52 % del activo: el ROIC publicado los incluye.</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24.436</w:t>
      </w:r>
      <w:r>
        <w:t xml:space="preserve">, conversión </w:t>
      </w:r>
      <w:r>
        <w:rPr>
          <w:b/>
          <w:bCs/>
        </w:rPr>
        <w:t xml:space="preserve">103 %</w:t>
      </w:r>
      <w:r>
        <w:t xml:space="preserve"> del beneficio neto; adquisiciones 22.518, dividendos 9.191, recompras 850.</w:t>
      </w:r>
    </w:p>
    <w:p>
      <w:pPr>
        <w:spacing w:after="100"/>
      </w:pPr>
      <w:r>
        <w:t xml:space="preserve">El flujo operativo pasa de 1.915 M en 2016 a 5.044 M en 2025 y el capex en inmovilizado se mantiene en el 2,5-3,4 % de las ventas (761 M en 2025) [1, 2]. Caja libre de 4.283 M en 2025 (0,81 veces el BPA ajustado por acción × acciones). En diez años Stryker ha gastado 22.488 M en compras y 9.191 M en dividendos, y solo 850 M en recompras (ninguna desde 2020) [2]. Los años con poca conversión (2017, 2022) coinciden con pagos de impuestos por traspasos de propiedad intelectual y con acumulación de existencias. El capex de mantenimiento no se publica; estimación propia: ≈2 % de las ventas (la depreciación es el 1,8 %). Los sistemas Mako se venden o se ceden con contratos de uso; la empresa no separa los traspasos de existencias a inmovilizado, así que el capex del DCF va algo por encima del histórico.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control interno efectivo con Inari excluido en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pero con muchos ajustes: el BPA ajustado de 2025 (13,63 USD) es 1,6 veces el publicado (8,40) [1]. La amortización de intangibles comprados (1,49 USD) es un coste real en un comprador en serie, y la reestructuración «estructural» aparece todos los años (138-191 M en 2023-2025). La mitad del ajuste de 2025 es fiscal: 660 M por traspasos de propiedad intelectual entre países, que en 2018 dieron un beneficio de 1.197 M y que vuelven en 2026 (75 M en el semestre) [1, 3]. Pagos en acciones de 243 M (1 % de las ventas). La reversión de 158 M de aranceles de 2025 en el 2T26 se excluye del ajustado, lo que es coherente. Los indicadores del motor (Altman, Piotroski, Beneish) se leen con el cambio de perímetro de 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grande entre BPA ajustado y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Ajustes de 5,23 USD por acción en 2025; parte se repite cada año (reestructuración, integración).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fiscal muy variable por traspasos de propiedad intelectual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efectivo del −51 % en 2018, 28,1 % en 2025; el ajustado es del 15 %.</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Debilidad de control interno por el ciberataque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sistemas se restauraron desde copias; el 10-Q no informa de debilidad material.</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9,3 % · </w:t>
      </w:r>
      <w:r>
        <w:rPr>
          <w:b/>
          <w:bCs/>
        </w:rPr>
        <w:t xml:space="preserve">WACC</w:t>
      </w:r>
      <w:r>
        <w:t xml:space="preserve">: 9,3 %.</w:t>
      </w:r>
    </w:p>
    <w:p>
      <w:pPr>
        <w:spacing w:after="100"/>
      </w:pPr>
      <w:r>
        <w:t xml:space="preserve">El ROIC publicado, con todo el fondo de comercio de sesenta compras, es del 11,2 % en 2025 (13,5 % en 2024) frente a un WACC del 9,27 %: crea valor, pero solo 1,9 puntos por encima. Sin el fondo de comercio (19.291 M) el ROIC es del 27,7 % (NOPAT de 3.638 M sobre 13.133 M de capital): el negocio orgánico es excelente y lo que diluye el retorno es el precio pagado por las compras (Inari a 8,1 veces ventas, Wright a ≈5,4) [1, 13]. El ROIC incremental de diez años es del 9,3 %, por debajo del WACC actual: el crecimiento comprado apenas cubre su coste de capital con el bono al 5,21 % [35]. Lo mueve sobre todo la rotación (0,55 veces el capital), no el margen. Frente a los comparables, el ROIC publicado supera a Zimmer (6,2 %), Medtronic (8,6 %) y Abbott (7,5 %) y queda lejos de Intuitive (30,2 %), que no compra empresas [19]. Decidimos con el publicado: no pasa el requisito de calidad (ROIC − WACC ≥ 5 puntos).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líquidas de 3.476 M USD a 30-jun-2026 más una línea de crédito no dispuesta de 3.000 M USD hasta febrero de 2030; papel comercial dispuesto de 250 M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(la empresa no da la nota en el 10-Q; hueco registrado)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Contraprestación contingente de compras de 756 M USD a 30-jun-2026 (518 M a cierre de 2025; 271 M de AVS, comprada en mayo de 2026 por 435 M más hitos de hasta 400 M) [4]: la tratamos como deuda en el puente. Arrendamientos operativos de 501 M (US GAAP: su coste ya está en el EBITDA, no van al puente). Provisiones por retiradas de productos (prótesis de cadera Rejuvenate y ABG II) y litigios con cargos anuales de 17-58 M en 2023-2025 [1]. Sin pensiones relevantes ni factoring. La compra de CMR Surgical (≈400 M en acciones preferentes con opción de compra del 100 %) se anunció el 12-oct-2026 y aún no ha cerrado [14].</w:t>
      </w:r>
    </w:p>
    <w:p>
      <w:pPr>
        <w:pStyle w:val="Heading1"/>
      </w:pPr>
      <w:r>
        <w:t xml:space="preserve">12. Asignación de capital</w:t>
      </w:r>
    </w:p>
    <w:p>
      <w:pPr>
        <w:pStyle w:val="Confianza"/>
        <w:spacing w:after="100"/>
      </w:pPr>
      <w:r>
        <w:t xml:space="preserve">Confianza: Media</w:t>
      </w:r>
    </w:p>
    <w:p>
      <w:pPr>
        <w:spacing w:after="100"/>
      </w:pPr>
      <w:r>
        <w:t xml:space="preserve">Prioridades declaradas: (1) compras, (2) dividendo y (3) recompras [1]. Dividendo trimestral de 0,88 USD (3,52 al año, 1,2 % de rentabilidad), subido todos los años desde 1993. Sin recompras desde 2019; tras el 2T26 la empresa dijo que reanudaría recompras en el segundo semestre con la autorización existente [40]. Deuda neta objetivo implícita: vuelve a ≈1,5 veces el EBITDA ajustado tras cada compra grande.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 (trombectomía venosa)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3.000 M de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12,5 % del vascular de EE. UU. en el 1S26, pero el 2T26 cae un 6,7 % por un problema de suministro aún abierto en el 3T26 [3, 39].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Amplitude Vascular Systems (litotricia periférica)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(435 M) e hitos (271 M a valor razonable)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en desarrollo; sin ventas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CMR Surgical (≈400 M en preferentes y opción de compra del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el 12-oct-2026; pendiente de cierre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Vocera (comunicación clínica)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Medical;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Wright Medical (extremidades)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Traumatología y extremidades crece un 11,5 % a tipo constante en el 2T26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K2M y negocio de columna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456 M del fondo de comercio de columna y pérdida de 362 M en 2024; vendido a VB Spine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Mako Surgical (robot ortopédico)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mejor compra: Mako sostiene el crecimiento de rodilla y cadera y desde 2026 encabeza la unidad Ortho Tech [15].</w:t>
            </w:r>
          </w:p>
        </w:tc>
      </w:tr>
    </w:tbl>
    <w:p>
      <w:pPr>
        <w:spacing w:after="160" w:before="0"/>
      </w:pPr>
    </w:p>
    <w:p>
      <w:pPr>
        <w:spacing w:after="100"/>
      </w:pPr>
      <w:r>
        <w:t xml:space="preserve">En 2016-2025 Stryker gastó 22.488 M en compras, 9.191 M en dividendos y 850 M en recompras [2]. El resultado es mixto: Mako y Wright funcionan; columna terminó en un deterioro de 818 M y una venta; Inari aún no ha demostrado nada y ya tiene un problema de suministro. El ROIC incremental de diez años (9,3 %) y el ROIC publicado (11,2 %) dicen que el crecimiento comprado apenas cubre el coste de capital con tipos del 5 %. La dilución es mínima (acciones diluidas de 378,5 a 386,5 M en diez años) y la deuda se ha mantenido en grado de inversión. La inversión en CMR Surgical abre una nueva frontera (robots de tejidos blandos frente a Intuitive) y probablemente una compra grande más; es la decisión de capital que más vigilar.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A. Lobo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(presidente ejecutivo desde el 1-ene-2027)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octubre de 2012; ventas de 8.700 M USD en 2012 a más de 26.000 M en 2026, más de 60 compras y rentabilidad total del accionista del 450 % según la empresa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Spencer S. Stiles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consejero delegado desde el 1-ene-2027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años en Stryker; dirigió Ortopedia y Columna desde 2019 (la etapa de Mako y la venta de columna) [28, 29].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Preston W. Wells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2024; sus comentarios del 8-sep-2026 sobre vascular periférico tumbaron la acción un 8,8 %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Andrew Pierce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grupo MedSurg y Neurotecnología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división que integra Inari y AVS; consejero de CMR Surgical tras la inversión.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Dylan Crotty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grupo Ortopedia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Sustituye a Stiles en Ortopedia desde el 1-ene-2026; antes, Instruments [29].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8-9 %, BPA ajustado 13,45-13,65 USD (enero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10,3 %, BPA ajustado 13,63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6,5-8,5 %, BPA ajustado 9,85-10,25 USD (enero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9,7 %, BPA ajustado 9,34 USD (inflación de costes)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pos-COVID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9,0 %; BPA ajustado 9,09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6,5-7 %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8,0 %, BPA ajustado 8,26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8-9,5 %, BPA 14,90-15,10 USD; estrechada a 8,3-9,3 % y 14,95-15,10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1S26: orgánico 5,8 % y BPA ajustado 6,29 USD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con sucesión ordenada: Stiles fue nombrado director de operaciones en diciembre de 2025 y consejero delegado para enero de 2027, con Lobo como presidente ejecutivo [28, 29]. La dirección suele cumplir la guía (2019, 2021, 2025) y falló el BPA en 2022 por la inflación. Dos señales a vigilar: el relevo del director contable en septiembre de 2026 [30] y la comunicación del problema de vascular periférico, que en julio se dio por casi resuelto y en septiembre seguía abierto.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A. Lobo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Sherilyn S. McCoy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Mary K. Brainerd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Giovanni Caforio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Emmanuel P. Maceda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Rachel M. Ruggeri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K. Silvernail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M. Skeete Tatum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Ronda E. Stryker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(familia fundadora, 4,0 %)</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Rajeev Suri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control interno efectivo con Inari excluido en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0,03 / ventas 586,13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Brown (expresidente)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de 2021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Ronda E. Stryker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 fundadora (consejera)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≈581 M USD en mayo-agosto de 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 E. Stryker (consejera), mayo-agosto de 2026 (suma de las ventas)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580,89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directivos (6), total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Mary K. Brainerd (consejera), total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Lobo cobró 21,4 M USD en 2025: 1,49 de fijo, 2,25 de bonus, 9,76 en acciones por objetivos y 6,92 en opciones [25]. El bonus pesa ventas y BPA ajustado (30 % el BPA) y el plan de acciones a tres años mide crecimiento de ventas frente a un grupo de comparables y crecimiento del BPA ajustado; el de 2023-2025 pagó el 200 %. Ninguna métrica de retorno sobre el capital: premia crecer, también comprando, y el BPA ajustado excluye la amortización de lo comprado. Ratio de 264 veces el empleado mediano. El voto consultivo obtuvo un 92,8 % a favor en 2026 [26].</w:t>
      </w:r>
    </w:p>
    <w:p>
      <w:pPr>
        <w:pStyle w:val="Heading2"/>
      </w:pPr>
      <w:r>
        <w:t xml:space="preserve">Operaciones vinculadas, estructura de control y defensas</w:t>
      </w:r>
    </w:p>
    <w:p>
      <w:pPr>
        <w:spacing w:after="100"/>
      </w:pPr>
      <w:r>
        <w:t xml:space="preserve">Sin accionista de control: la familia Stryker (Ronda Stryker, 4,0 %) y John Brown (5,2 %) no controlan la junta. Una acción, un voto; consejeros elegidos cada año por mayoría [25]. El presidente es ejecutivo y lo seguirá siendo con Lobo desde 2027, con una consejera coordinadora independiente. Ronda Stryker vendió acciones por ≈581 M USD entre mayo y agosto de 2026 a 310-344 USD [27]: es diversificación de una consejera de 71 años, pero coincide con la caída de la acción.</w:t>
      </w:r>
    </w:p>
    <w:p>
      <w:pPr>
        <w:pStyle w:val="Heading2"/>
      </w:pPr>
      <w:r>
        <w:t xml:space="preserve">Señales de alerta</w:t>
      </w:r>
    </w:p>
    <w:p>
      <w:pPr>
        <w:pStyle w:val="ListParagraph"/>
        <w:numPr>
          <w:ilvl w:val="0"/>
          <w:numId w:val="2"/>
        </w:numPr>
        <w:spacing w:after="60"/>
      </w:pPr>
      <w:r>
        <w:t xml:space="preserve">Ventas de la consejera Ronda Stryker por ≈581 M USD en mayo-agosto de 2026, antes del aviso del 8-sep.</w:t>
      </w:r>
    </w:p>
    <w:p>
      <w:pPr>
        <w:pStyle w:val="ListParagraph"/>
        <w:numPr>
          <w:ilvl w:val="0"/>
          <w:numId w:val="2"/>
        </w:numPr>
        <w:spacing w:after="60"/>
      </w:pPr>
      <w:r>
        <w:t xml:space="preserve">Bufetes investigan si se informó a tiempo del problema de fabricación de vascular periférico (septiembre de 2026).</w:t>
      </w:r>
    </w:p>
    <w:p>
      <w:pPr>
        <w:pStyle w:val="ListParagraph"/>
        <w:numPr>
          <w:ilvl w:val="0"/>
          <w:numId w:val="2"/>
        </w:numPr>
        <w:spacing w:after="60"/>
      </w:pPr>
      <w:r>
        <w:t xml:space="preserve">Relevo del director contable (septiembre de 2026) en un año con ciberataque.</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(30-jul-2026): orgánico del 8,3-9,3 % y BPA ajustado de 14,95-15,10 USD, con efecto de precio ligeramente positivo y divisa algo favorable [3]. En enero era del 8-9,5 % y 14,90-15,10 [6]. El 8-sep el director financiero dijo que el problema de vascular periférico seguía en el 3T, pero mantuvo la guía [39]. Objetivo a medio plazo: crecer en la parte alta del sector y +100 pb de margen operativo ajustado al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(ventas, EBITDA y EBIT ajustados) y Barchart (BPA ajustado) [32,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y Barchart [32,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sin BPA ajustado de consenso (el de MarketScreener, 16,59 USD, es contable) [32]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362,62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Tendencia de recortes en 3 meses: Truist bajó su objetivo de 340 a 310 USD tras la conferencia de septiembre [38], Stifel de 360 a 330 y BTIG de 371 a 358 tras el 2T26. El BPA de 2026 apenas se mueve (guía mantenida) y el recorte es de múltiplo. Una sola fuente gratuita con estimaciones completas (MarketScreener), cuyo BPA es contable; el ajustado de 2026-2027 sale de Barchart.</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cae un 23,9 % en un año frente al +16,2 % del S&amp;P 500 y el +22,2 % del sector salud (XLV) [31]. Desde el máximo de 392,55 USD (22-oct-2025) acumula una caída del 32,5 %, con cinco golpes: guía de 2026 por debajo de lo esperado, ciberataque (marzo), 1T26 (−6,5 % el 1-may), 2T26 pese a batir (−6,4 % el 31-jul) y el aviso de vascular periférico en la conferencia de Wells Fargo (−8,8 % el 8-sep) [39]. El mínimo de 52 semanas, 267 USD, es del 11-sep-2026.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ajustado, Stryker cotizó entre 23 y 29 veces el beneficio del año siguiente en 2020-2025 (mediana de 5 años de 24,6x) y hoy cotiza a 17,0 veces nuestro BPA de 2027 [31]. Es el nivel más bajo en una década: el mercado ha pasado de pagar una prima de crecedor de calidad a pagar el múltiplo de Medtronic (14,1x) o Abbott (16,5x). Se excluyen 2018 (BPA contable inflado por un beneficio fiscal de 1.197 M) y 2024 (deterioro de 977 M de columna) del PER contable.</w:t>
      </w:r>
    </w:p>
    <w:p>
      <w:pPr>
        <w:pStyle w:val="Heading1"/>
      </w:pPr>
      <w:r>
        <w:t xml:space="preserve">18. Comparables cotizados</w:t>
      </w:r>
    </w:p>
    <w:p>
      <w:pPr>
        <w:pStyle w:val="Confianza"/>
        <w:spacing w:after="100"/>
      </w:pPr>
      <w:r>
        <w:t xml:space="preserve">Confianza: Media</w:t>
      </w:r>
    </w:p>
    <w:p>
      <w:pPr>
        <w:spacing w:after="100"/>
      </w:pPr>
      <w:r>
        <w:t xml:space="preserve">Grandes fabricantes de tecnología médica con exposición a quirófano, ortopedia o vascular: Zimmer Biomet y Smith &amp; Nephew (prótesis), Medtronic, Boston Scientific y Abbott (diversificados, rivales de Inari y en neurovascular), Intuitive (robots), Edwards y Straumann (crecedores de calidad del repositorio). Cifras de los informes del repositorio a 6-14 de octubre de 2026 (MarketScreener y Stock Analysis) sin cambios; Straumann pasada a USD con el BCE [19, 34]. J&amp;J (ortopedia en escisión) no tiene múltiplo propio de ese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Stryker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Zimmer Biomet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Smith &amp; Nephew</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Medtronic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Boston Scientific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Abbott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Intuitive Surgical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Edwards Lifesciences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Straumann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11,7x / 16,7x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12,6x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 / 15,8x / 26,4x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 / 3,5x / 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4,7 + 1,18 × crecimiento; R² = 0,53. Para el crecimiento esperado de la empresa (9,5 %), el múltiplo ajustado es 15,9x y el valor por acción, 293,82.</w:t>
      </w:r>
    </w:p>
    <w:p>
      <w:pPr>
        <w:spacing w:after="100"/>
      </w:pPr>
      <w:r>
        <w:t xml:space="preserve">Stryker cotiza a 17,3 veces el BPA de los próximos 12 meses y 15,3 veces el EBITDA, por encima de la mediana de los comparables (15,9x y 11,7x) y muy por debajo de los crecedores de calidad (Intuitive 39,2x, Edwards 27,1x, Straumann 26,2x) [19]. La prima frente a Medtronic, Zimmer o Boston se justifica por crecer el doble (8-9 % orgánico frente a 4-6 %) con un ROIC publicado similar o mejor. Usaríamos el PER: el EV/EBITDA mezcla EBITDA ajustados de distinta definición. Con la mediana de PER, el valor sale en 257,38 USD; con el percentil 75, 429,10. El mercado ya no paga a Stryker como crecedor de calidad.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Inari Medical (trombectomía venosa)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USD por acción; ventas 2024 guiadas de 601,5-604,5 M [1,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Wright Medical (extremidades)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«cercanas a 1.000 M USD»; múltiplo aproximado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Axonics (neuromodulación)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Boston Scientific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2023 preliminares de ≈366 M USD [23]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Shockwave Medical (litotricia intravascular)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≈13.100 M USD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Amplitude Vascular Systems (AVS)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435 M en caja y 271 M de hitos a valor razonable; sin ventas (en desarrollo) [4]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420,15 – 550,67</w:t>
            </w:r>
          </w:p>
        </w:tc>
      </w:tr>
    </w:tbl>
    <w:p>
      <w:pPr>
        <w:spacing w:after="160" w:before="0"/>
      </w:pPr>
    </w:p>
    <w:p>
      <w:pPr>
        <w:spacing w:after="100"/>
      </w:pPr>
      <w:r>
        <w:t xml:space="preserve">Las compras de crecimiento en vascular se pagan a 8-9 veces ventas (Inari, Axonics) y Shockwave aún más: son activos sin beneficio que Stryker amortiza durante años. Stryker es comprador, no objetivo: con ≈108.700 M USD de capitalización y sin accionista de control, una OPA es improbable. Las transacciones no entran en la valoración (peso 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un 8,5 % en 2026e (guía orgánica del 8,3-9,3 % más divisa y AVS; consenso 27.195 M) [3, 32], 8,5 % en 2027e y bajando hasta el 5 % en 2032e. Solo crecimiento orgánico: no proyectamos compras, aunque Stryker hará más. La historia apoya el 8-10 % (orgánico de 9,7-11 % en 2023-2025) [6]; bajamos hacia el 5 % porque el mercado ortopédico crece un 4-5 % y las cuotas no suben siempre [18].</w:t>
      </w:r>
    </w:p>
    <w:p>
      <w:pPr>
        <w:keepNext/>
        <w:spacing w:after="100"/>
      </w:pPr>
      <w:r>
        <w:rPr>
          <w:b/>
          <w:bCs/>
        </w:rPr>
        <w:t xml:space="preserve">Márgenes.</w:t>
      </w:r>
    </w:p>
    <w:p>
      <w:pPr>
        <w:spacing w:after="100"/>
      </w:pPr>
      <w:r>
        <w:t xml:space="preserve">EBITDA contable sin deterioros del 26,8 % en 2026e subiendo al 29,0 % en 2032e. Parte del 26,4 % de 2025 (6.629 M) y del margen operativo ajustado de la empresa (26,3 % en 2025, objetivo de +100 pb al año) [6], restando ≈1,7 % de las ventas de reestructuración e integración, que se repiten. Asumimos +40-60 pb al año, la mitad de lo que promete la empresa, por aranceles y precio plano.</w:t>
      </w:r>
    </w:p>
    <w:p>
      <w:pPr>
        <w:keepNext/>
        <w:spacing w:after="100"/>
      </w:pPr>
      <w:r>
        <w:rPr>
          <w:b/>
          <w:bCs/>
        </w:rPr>
        <w:t xml:space="preserve">Inversión y circulante.</w:t>
      </w:r>
    </w:p>
    <w:p>
      <w:pPr>
        <w:spacing w:after="100"/>
      </w:pPr>
      <w:r>
        <w:t xml:space="preserve">Capex del 3,1-3,3 % de las ventas (3,0 % en 2025, más sistemas Mako cedidos que no pasan por el capex) y amortización del 4,6 % bajando al 3,3 %: la depreciación es el 1,8 % y la amortización de intangibles comprados (732 M en 2025) baja a medida que se amortiza lo comprado sin compras nuevas. Circulante del 30 % de las ventas, igual que en 2025 (existencias en consigna) [1].</w:t>
      </w:r>
    </w:p>
    <w:p>
      <w:pPr>
        <w:keepNext/>
        <w:spacing w:after="100"/>
      </w:pPr>
      <w:r>
        <w:rPr>
          <w:b/>
          <w:bCs/>
        </w:rPr>
        <w:t xml:space="preserve">Coste del capital.</w:t>
      </w:r>
    </w:p>
    <w:p>
      <w:pPr>
        <w:spacing w:after="100"/>
      </w:pPr>
      <w:r>
        <w:t xml:space="preserve">Tasa libre del 5,21 % (bono del Tesoro a 10 años del 13-oct-2026) [35], beta de 0,87 (ajustada mensual de 5 años; la semanal de 2 años es 0,58 y la de 5 años 0,87) [31], prima de mercado del 5,5 %, coste de la deuda del 4,8 % antes de impuestos (cupones de las emisiones de 2025 del 4,55-5,2 %) y peso de la deuda del 12 % a valor de mercado. WACC del 9,27 %. Con la prima implícita del mercado (4,2 %) el WACC baja al 8,28 %.</w:t>
      </w:r>
    </w:p>
    <w:p>
      <w:pPr>
        <w:keepNext/>
        <w:spacing w:after="100"/>
      </w:pPr>
      <w:r>
        <w:rPr>
          <w:b/>
          <w:bCs/>
        </w:rPr>
        <w:t xml:space="preserve">Valor terminal.</w:t>
      </w:r>
    </w:p>
    <w:p>
      <w:pPr>
        <w:spacing w:after="100"/>
      </w:pPr>
      <w:r>
        <w:t xml:space="preserve">Gordon con crecimiento del 3,0 %: inflación esperada en USD de ≈2,5 % más 0,5 de crecimiento real, por debajo de la tasa libre menos medio punto (4,71 %). El múltiplo de salida implícito se compara con los 11,7 veces EBITDA de la mediana de comparables. El valor terminal pesa un 71 %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236,85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294,51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 M (6 % del NOPAT)</w:t>
            </w:r>
          </w:p>
        </w:tc>
      </w:tr>
    </w:tbl>
    <w:p>
      <w:pPr>
        <w:spacing w:after="160" w:before="0"/>
      </w:pPr>
    </w:p>
    <w:p>
      <w:pPr>
        <w:spacing w:after="100"/>
      </w:pPr>
      <w:r>
        <w:t xml:space="preserve">La proyección apenas necesita inversión neta de la amortización (reinversión acumulada de 3.129 M, el 6 % del NOPAT, con un capex bruto medio del 3,2 % de las ventas). En un negocio de activos ligeros, el crecimiento medio del 7,2 %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orgánica 8,3-9,3 %, casi todo volumen; precio ligeramente positivo; divisa y AVS +0,4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Mako, traumatología y endoscopia; vuelta de Inari; precio +0,5.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7,5 %, en línea con 2023-2025; precio +0,5.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mercado: volumen 7 %.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6,5 %: cuota ortopédica de ≈17 % a ≈19 %.</w:t>
            </w:r>
          </w:p>
        </w:tc>
      </w:tr>
    </w:tbl>
    <w:p>
      <w:pPr>
        <w:spacing w:after="160" w:before="0"/>
      </w:pPr>
    </w:p>
    <w:p>
      <w:pPr>
        <w:spacing w:after="100"/>
      </w:pPr>
      <w:r>
        <w:t xml:space="preserve">Sí. El motor no hace la prueba de reinversión (6 % del NOPAT) porque la amortización de intangibles comprados supera al capex; la hacemos a mano. Reinversión orgánica real: capex neto de depreciación (≈1,2 % de las ventas) más circulante (30 % del aumento de ventas) ≈ 960 M al año, un 17 % del NOPAT ajustado. Al ROIC sin fondo de comercio (27,7 %) financia un 4,7 % y sobre el capital tangible (sin intangibles, ≈50 %) un 8,5 %, frente al 7,2 % medio proyectado. La historia lo confirma: diez años de orgánico del 8-11 % con el mismo capex. Cuota en ortopedia: de ≈17 % a ≈19 % en 2032 (mercado al 4,8 %), dentro de 1,5 veces. Foso amplio (robot instalado, costes de cambio) y precio casi plano: el crecimiento es volumen, no precio.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 (base: 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 (base: 29,0 %)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(WACC: 9,3 %)</w:t>
            </w:r>
          </w:p>
        </w:tc>
      </w:tr>
    </w:tbl>
    <w:p>
      <w:pPr>
        <w:spacing w:after="160" w:before="0"/>
      </w:pPr>
    </w:p>
    <w:p>
      <w:pPr>
        <w:spacing w:after="100"/>
      </w:pPr>
      <w:r>
        <w:t xml:space="preserve">El DCF da 248,23 USD por acción (−11,9 %) con un WACC del 9,27 %, y el valor terminal pesa un 71 %. El valor intrínseco ponderado (DCF, comparables y escenarios) es de 241,89 USD, un 14,1 % por debajo del precio. El DCF inverso dice que el precio de 281,62 USD descuenta un crecimiento del 10,2 % anual en 2027e-2032e frente a nuestro 7,0 %, o un margen EBITDA del 31,8 % frente a nuestro 29,0 %; o, con nuestras cifras, una rentabilidad del 8,6 % anual frente a un WACC del 9,27 % y un 8,28 % con la prima del mercado. Es exigente frente a nuestro caso base, pero no frente a la historia de Stryker (crecimientos del 10 % con compras). La distancia la explica casi toda la tasa libre del 5,21 %: con la prima implícita del mercado el valor sube a 302,03 USD. Nuestro DCF no incluye compras futuras, que es como Stryker ha crecido.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problema de Inari se alarga a 2027, la Sección 232 trae aranceles y el margen deja de subir: orgánico del 6 % y margen 1 punto por debajo; el mercado exige más rentabilidad (+0,5 pp de WACC). Ya pasó con columna (2019-2024).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8,5 % en 2026-2027 bajando al 5 %, margen +40-60 pb al año e Inari recuperado en 2027.</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Mako y vascular sostienen un orgánico del 9-10 % y el margen sube como promete la empresa (+100 pb al año en 2026-2028).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281,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240,19 USD (-14,7 %).</w:t>
      </w:r>
    </w:p>
    <w:p>
      <w:pPr>
        <w:spacing w:after="100"/>
      </w:pPr>
      <w:r>
        <w:t xml:space="preserve">Asimetría negativa con nuestro WACC: el alcista da 264,45 USD (−6,1 %) y el bajista 199,84 (−29,0 %), porque los tres escenarios quedan por debajo del precio con una tasa libre del 5,21 %. Con la prima implícita del mercado la asimetría es de 0,96 veces (bajista 239,93, alcista 321,72). La lectura a 12 meses es distinta: con el múltiplo de su historia, el objetivo a 12 meses es de 350,47 USD. El valor intrínseco dice que el precio no tiene margen de seguridad; el múltiplo, que está barata frente a su historia.</w:t>
      </w:r>
    </w:p>
    <w:p>
      <w:pPr>
        <w:pStyle w:val="Heading1"/>
      </w:pPr>
      <w:r>
        <w:t xml:space="preserve">22. Suma de partes</w:t>
      </w:r>
    </w:p>
    <w:p>
      <w:pPr>
        <w:pStyle w:val="Confianza"/>
        <w:spacing w:after="100"/>
      </w:pPr>
      <w:r>
        <w:t xml:space="preserve">Confianza: Media</w:t>
      </w:r>
    </w:p>
    <w:p>
      <w:pPr>
        <w:spacing w:after="100"/>
      </w:pPr>
      <w:r>
        <w:t xml:space="preserve">No aplica: los dos segmentos tienen márgenes casi iguales (29,9 % y 29,8 % de EBIT de segmento en 2025) y comparables comunes (grandes de tecnología médica); separar Inari no cambia el valor porque su contribución es ≈2,5 % de las ventas.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281,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241,89 USD (-14,1 % sobre 281,62).</w:t>
      </w:r>
    </w:p>
    <w:p>
      <w:pPr>
        <w:spacing w:after="100"/>
      </w:pPr>
      <w:r>
        <w:t xml:space="preserve">Pesos: DCF 40 %, comparables (PER) 20 %, escenarios 40 %; transacciones y suma de partes, 0 (Stryker es compradora, y sus segmentos tienen márgenes iguales). El DCF es el método más fiable para una empresa estable, pero aquí depende de la tasa libre: con la prima del mercado el valor sube de 248,23 a 302,03. Los comparables por PER dan 257,38 en la mediana y 429,10 en el percentil 75: la dispersión refleja que el mercado paga 10-16 veces a los grandes que crecen poco y 26-39 a los crecedores de calidad. Las transacciones (EV/ventas de 5-9 veces) darían más de 500 USD, pero son compras de activos pequeños de crecimiento rápido, no comparables con el grupo entero.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(17x) × 1.1 (tope: la mediana de 5 años, 24.6x,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+69,1 %</w:t>
            </w:r>
          </w:p>
        </w:tc>
      </w:tr>
    </w:tbl>
    <w:p>
      <w:pPr>
        <w:spacing w:after="160" w:before="0"/>
      </w:pPr>
    </w:p>
    <w:p>
      <w:pPr>
        <w:spacing w:after="100"/>
      </w:pPr>
      <w:r>
        <w:rPr>
          <w:b/>
          <w:bCs/>
        </w:rPr>
        <w:t xml:space="preserve">Objetivo a 12 meses (ponderado):</w:t>
      </w:r>
      <w:r>
        <w:t xml:space="preserve"> 350,47 USD · rentabilidad +25,7 % (base +22,1 %) · señal Mantener.</w:t>
      </w:r>
    </w:p>
    <w:p>
      <w:pPr>
        <w:spacing w:after="100"/>
      </w:pPr>
      <w:r>
        <w:t xml:space="preserve">Para comparar, con la regla v2 (historia al cierre, mismo precio): 14,5x / 17,0x / 22,1x, 15,2 % Mantener; con el tope anterior del base (×1,3, 14-oct mediodía): 33,2 %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2027e (16,55 USD) coincide con el consenso (16,58) [33]; el de 2028e (18,20) no tiene consenso ajustado gratuito, pero con el EBIT ajustado de MarketScreener para 2028 (8.855 M) y nuestro gasto financiero y tipo sale ≈18,3 [32]. Nuestro precio base (340,34 USD) queda un 6,1 % por debajo del objetivo medio de 29 analistas (362,62), que vienen recortando (Truist a 310, Stifel a 330) [38]: la diferencia es de múltiplo, no de beneficio.</w:t>
      </w:r>
    </w:p>
    <w:p>
      <w:pPr>
        <w:keepNext/>
        <w:spacing w:after="100"/>
      </w:pPr>
      <w:r>
        <w:rPr>
          <w:b/>
          <w:bCs/>
        </w:rPr>
        <w:t xml:space="preserve">Del valor intrínseco al objetivo a 12 meses.</w:t>
      </w:r>
    </w:p>
    <w:p>
      <w:pPr>
        <w:spacing w:after="100"/>
      </w:pPr>
      <w:r>
        <w:t xml:space="preserve">Base del BPA: el objetivo usa el BPA AJUSTADO (13,63 USD en 2025), el del consenso y los comparables; el control del motor que pide explicar un crecimiento del 29,4 % anual mide desde el BPA contable (8,40), que lleva 660 M de impuestos no recurrentes y la amortización de lo comprado. En base ajustada el crecimiento es del 10,1 % anual. El objetivo a 12 meses (350,47 USD, +25,7 % con dividendo; base 340,34, +22,1 %) queda un 45 % por encima del valor intrínseco (241,89): la regla supone que el PER vuelve a 18,7 veces (de 17,0) y el DCF dice que, con el bono al 5,21 % y sin compras futuras, el negocio no vale el precio actual. Para cerrar la distancia hace falta que bajen los tipos o que Stryker siga creciendo al 10 % con compras que rindan más que su coste. La tesis a 12 meses es de múltiplo y el filtro de valor real la bloquea.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[37]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Comprobar si el problema de vascular periférico se resolvió y si la guía (8,3-9,3 % y 14,95-15,10 USD) se mantiene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y relevo del consejero delegado (Stiles) [28]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del nuevo consejero delegado; el consenso espera un BPA de 16,58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Reanudación de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≈1.000 M con la autorización existente; apoyo al BPA del 0,5-1 %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inversión en CMR Surgical y decisión sobre la opción de compra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robots de tejidos blandos; posible compra grande y más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de la Sección 232 sobre dispositivos médicos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arancel nuevo devolvería un coste de ≈150-200 M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Inari no recupera el crecimiento (problema de suministro en vascular periférico que se alarga)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 integración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(≈1,5 pp menos de crecimiento del grupo un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Vascular periférico pesa ≈2,5 %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Vascular de EE. UU. negativo otra vez en el 3T26 (29-oct)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credibilidad de la dirección y del múltiplo (relevo del consejero delegado, aviso de septiembre, posibles demandas)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(PER a 15x, nivel de Medtronic)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Sucesión interna; historial de cumplir la guía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la guía de 2026 o guía de 2027 por debajo del 8 % orgánico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grande nueva (CMR Surgical u otra) a múltiplo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dilución del ROIC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Disciplina relativa: deuda neta ≈1,6 veces EBITDA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de la opción sobre CMR o una compra por encima de 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a dispositivos médicos (Sección 232) y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(≈0,6 pp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mayoritaria en EE. UU.; los aranceles de 2025 se anularon y se reversaron 158 M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Sección 232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ciberataque o fallo de sistemas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(un trimestre perdido como el 1T26)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Sistemas reconstruidos con Microsoft y Unit 42 [11,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8-K de incidente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Robots rivales en ortopedia (Velys, ROSA, CORI) o entrada de Intuitive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(rodilla y cadera pierden 2 pp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Mako y datos de 2,5 millones de intervenciones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Rodilla de EE. UU. por debajo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cambia el negocio (riesgo de que «se coma» parte del valor)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objetos físicos implantados en quirófano; la IA mejora la planificación (Mako) y la comunicación clínica (Vocera) que vende Stryker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Que la planificación con IA reduzca la ventaja de Mako frente a robots baratos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Fármacos GLP-1 retrasan prótesis de rodilla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efecto en volúmenes de 2025-2026 (rodilla +8 % en el 2T26)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Volúmenes de rodilla en EE. UU. por debajo del 3 %</w:t>
            </w:r>
          </w:p>
        </w:tc>
      </w:tr>
    </w:tbl>
    <w:p>
      <w:pPr>
        <w:spacing w:after="160" w:before="0"/>
      </w:pPr>
    </w:p>
    <w:p>
      <w:pPr>
        <w:pStyle w:val="Heading2"/>
      </w:pPr>
      <w:r>
        <w:t xml:space="preserve">Pre-mortem</w:t>
      </w:r>
    </w:p>
    <w:p>
      <w:pPr>
        <w:spacing w:after="100"/>
      </w:pPr>
      <w:r>
        <w:t xml:space="preserve">Es octubre de 2029 y la acción ha perdido un 40 %, hasta ≈170 USD. Lo más probable: el problema de vascular periférico fue el primer síntoma de una integración de Inari peor de lo dicho y Penumbra ganó cuota en trombectomía venosa; Stryker reconoció un deterioro de parte de los 4.810 M pagados. El nuevo consejero delegado, para mantener el «crecimiento en la parte alta del sector», ejerció la opción sobre CMR Surgical y compró otra empresa de vascular a 8-10 veces ventas, con deuda al 5 %: el ROIC publicado bajó del 11 % al 9 %, por debajo del WACC. A la vez, la Sección 232 trajo aranceles del 10-15 % y el margen ajustado dejó de subir 100 pb al año. El mercado pasó a pagar a Stryker como a Zimmer (10-12 veces) en lugar de 17. Indicadores que lo habrían anticipado: el vascular de EE. UU. del 3T26 y 4T26, el tamaño de la siguiente compra y la guía de margen de 2027.</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que mueve las cifras: calidad y seguridad del producto (retiradas de caderas Rejuvenate y ABG II, cargos de 17-58 M al año) y cumplimiento del MDR europeo (38-96 M al año) [1]; ciberseguridad (ataque de marzo de 2026 que paró la fabricación).</w:t>
      </w:r>
    </w:p>
    <w:p>
      <w:pPr>
        <w:pStyle w:val="Heading2"/>
      </w:pPr>
      <w:r>
        <w:t xml:space="preserve">Controversias</w:t>
      </w:r>
    </w:p>
    <w:p>
      <w:pPr>
        <w:spacing w:after="100"/>
      </w:pPr>
      <w:r>
        <w:t xml:space="preserve">Ciberataque de marzo de 2026 atribuido por la prensa a un grupo vinculado a Irán; investigaciones de bufetes por la información sobre el problema de fabricación de septiembre de 2026; litigios históricos de prótesis de cadera.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Inari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causó exactamente el problema de suministro de vascular periférico, cuándo se resolverá y cuántas ventas se han perdido de forma definitiva?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tesis de la compra de 4.810 M y el motivo de la caída de septiembre.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y con qué condiciones se ejercería la opción sobre CMR Surgical, y qué ROIC exigen a esa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compra grande más diluye un ROIC publicado que ya está solo 1,9 puntos sobre 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+100 pb anual de margen ajustado se mantiene en 2027 sin la reversión de aranceles y con el coste del ciberataque fuera?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de 2028 depende de ese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exposición tiene Stryker a la Sección 232 sobre dispositivos médicos, por país de fabricación?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los aranceles costaron ≈158 M de beneficio bruto.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Mako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las rodillas de Stryker en EE. UU. se hace ya con Mako y cuánto margen queda de penetración?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cuánto dura el arrastre del robot.</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anunciadas son recurrentes o solo usan la autorización vieja?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BPA en ≈1 %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terminan los traspasos de propiedad intelectual entre países que cargan el tipo contable (28,1 %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contable va 1,7 USD por debajo del ajustado por ellos.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artículos de ago-oct ven la caída como oportunidad («finalmente barata otra vez», «los problemas operativos crean una oportunidad»); uno pide esperar a otra caída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de caídas tras el 2T26 pese a batir, tras la conferencia de septiembre y salida de un fondo sectorial de Baron [39,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($SYK)</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compradores que ven suelo («buen momento para empezar posición») y bajistas que hablan de despidos y de investigaciones; quejas por el daño de los comentarios del director financiero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Webs de bufetes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Investigaciones sobre si la empresa informó a tiempo del problema de fabricación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Problema de suministro en vascular periférico (Inari)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el vascular de EE. UU. cayó un 6,7 % en el 2T26 [3] y el problema sigue en el 3T. Pesa ≈2 % de las ventas del grupo; no rompe la tesis, pero sí la credibilidad.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mínimos de una década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17,0 veces nuestro BPA ajustado de 2027 frente a una mediana adelantada de 24,6x: es cierto.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Relevo del consejero delegado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Sucesión interna anunciada con tres meses de margen y Lobo como presidente ejecutivo: bajo riesgo operativo.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CMR Surgical (robot de tejidos blandos)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 M USD con opción de compra [14]: abre un frente frente a Intuitive y añade riesgo de otra compra grande.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«Maquillaje de cuentas» y despidos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indicio en el 10-Q: opinión sin datos.</w:t>
            </w:r>
          </w:p>
        </w:tc>
      </w:tr>
    </w:tbl>
    <w:p>
      <w:pPr>
        <w:spacing w:after="160" w:before="0"/>
      </w:pPr>
    </w:p>
    <w:p>
      <w:pPr>
        <w:spacing w:after="100"/>
      </w:pPr>
      <w:r>
        <w:t xml:space="preserve">El particular está dividido: los artículos largos ven una compra de calidad a buen precio y los mensajes cortos castigan la pérdida de credibilidad de la dirección tras el aviso de septiembre. No hay euforia ni capitulación clara. Lo que aporta: el riesgo de vascular periférico y de la comunicación de la dirección ya está en el precio y en el informe; el foco en una posible demanda colectiva es ruido salvo que aparezca algo en el 3T26 (29-oct).</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42 (24 primarias); citas distintas en el texto: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30,1 % real: genera una variación de circulante de 625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(18,20) supone un 29,4 % anual desde 8,40 (2025): explícalo en valoracion.objetivo_12m.comentario o la confianza es baja. Explicación: Diferencia de base, no de crecimiento: el último real es el BPA contable de 2025 (8,40 USD, con 660 M de impuestos por traspasos de propiedad intelectual y 732 M de amortización de intangibles comprados); en la base ajustada del objetivo (13,63 USD) el BPA base de 2028e (18,20) crece un 10,1 % anual, en línea con la guía y el consenso (16,58 en 2027).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(24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y consenso de 1T25-3T25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trimestrales de 2025 no descargadas por tiempo; 2) XBRL trimestral sin el año anterior; 3) prensa: sin cifras primarias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2023-2025); 2) 8-K de 26-jun-2026 (reexpresa trimestres 2023-2025); 3) 10-K anteriores con Ortopedia y Columna juntas, no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Zimmer y Smith &amp; Nephew no descargados por tiempo; 2) comparables del repositorio (márgenes EBITDA, no EBIT); 3) prensa sin cifras primarias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Stryker; 2) MSCI y Sustainalytics (de pago o sin fecha); 3) sin búsqueda adicional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exacto por operación de Ronda Stryker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form4.mjs (varias ejecuciones por día); 2) suma total 580,9 M USD; 3) se resume el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del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2) 10-K; 3) sin dato en el texto descargado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 por tipo y objetivo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y número); 2) Barchart (sin desglose); 3) Investing no consultado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(no la da); 2) Stock Analysis no consultado; 3) FINRA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de consenso 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(BPA contable); 2) Barchart (solo 2026-2027); 3) Tickflow y Seeking Alpha no abren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consolidadas, notas de deuda, adquisiciones, impuestos,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https://www.sec.gov/Archives/edgar/data/310764/000031076426000010/syk-20251231.htm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XBRL companyfacts de Stryker (CIK 310764):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https://data.sec.gov/api/xbrl/companyfacts/CIK0000310764.json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reports second quarter 2026 operating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https://www.sec.gov/Archives/edgar/data/310764/000031076426000048/sykex991earningsq22026.htm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(balance a 30-jun-2026, deuda, contraprestación contingente, compra de AVS)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https://www.sec.gov/Archives/edgar/data/310764/000031076426000050/syk-20260630.htm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reports first quarter 2026 operating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https://www.sec.gov/Archives/edgar/data/310764/000031076426000025/sykex991earningsq12026.htm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reports 2025 operating results and 2026 outlook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https://www.sec.gov/Archives/edgar/data/310764/000031076426000006/sykex991earningsq42025.htm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reports fourth quarter and full year 2022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https://www.sec.gov/Archives/edgar/data/310764/000031076423000005/sykex991earningsq42022.htm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reports fourth quarter and full year 2021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https://www.sec.gov/Archives/edgar/data/310764/000031076422000008/sykex991earningsq42021.htm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reports fourth quarter and full year 2019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https://www.sec.gov/Archives/edgar/data/310764/000031076420000004/sykex991earningsq42019.htm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reports fourth quarter and full year 2017 results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https://www.sec.gov/Archives/edgar/data/310764/000031076418000014/sykex991earningsrelea13017.htm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8.01: incidente de ciberseguridad (entorno Microsoft)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https://www.sec.gov/Archives/edgar/data/310764/000119312526102460/d76279d8k.htm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7.01: actualización del incidente (pedidos, fabricación y envíos interrumpidos)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https://www.sec.gov/Archives/edgar/data/310764/000119312526104431/d101097d8k.htm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resultados del 3T24 y guía de ingresos 2024 de 601,5-604,5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Inari Medical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https://www.sec.gov/Archives/edgar/data/1531048/000153104824000058/nari-20240930xex991xpressr.htm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and CMR Surgical announce strategic alliance to advance robotic-assisted surgery (inversión de ≈400 M USD y opción de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https://www.stryker.com/us/en/about/news/2026/stryker-cmr-surgical-announce-strategic-alliance-advance-robotic-assisted-surgery.html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8.01: nueva organización (Ortho Tech) y segmentos reexpresados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https://www.sec.gov/Archives/edgar/data/310764/000031076426000041/syk-20260626.htm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Orthopedic Devices Market size, share and forecast 2026-2034 (65.280 M USD en 2025; TCAC 5,5 %)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https://www.fortunebusinessinsights.com/markt-f-r-orthop-dische-ger-te-102586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Orthopedic Devices Market 2025-2034 (≈56.500 M USD en 2025; TCAC 3,6 %)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https://www.gminsights.com/industry-analysis/orthopedic-devices-market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Orthopedic Devices Market (51.610 M USD en 2024; TCAC 4,8 %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https://www.marketsandmarkets.com/Market-Reports/orthopedic-devices-market-280.html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tecnología médica de los informes del repositorio (Edwards e Intuitive, MarketScreener y Stock Analysis, 6 a 14-oct-2026; Straumann,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analisis-inversion (informes propios)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«Tecnología médica: ortopedia y equipos quirúrgicos» (sectores/medtech-ortopedia-2026-10-14.md)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analisis-inversion (ficha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invests $400M in CMR Surgical, secures option to acquire soft-tissue robotics rival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MD+DI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https://www.mddionline.com/ma/stryker-invests-400m-in-cmr-surgical-secures-option-to-acquire-soft-tissue-robotics-rival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Shockwave Medical (valor empresa ≈13.100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https://www.jnj.com/media-center/press-releases/johnson-johnson-to-acquire-shockwave-medical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Boston Scientific buying Axonics for $3.7 billion: details (valor empresa ≈3.400 M USD; ingresos 2023 ≈366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https://pulse2.com/boston-scientific-buying-axonics-for-3-7-billion-details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announces definitive agreement to acquire Wright Medical (valor empresa ≈5.400 M USD; ventas cercanas a 1.000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https://www.stryker.com/ir/en/about/news/2019/stryker-announces-definitive-agreement-to-acquire-wright-medical.html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https://www.sec.gov/Archives/edgar/data/310764/000031076426000013/syk-20260323.htm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del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https://www.sec.gov/Archives/edgar/data/310764/000031076426000029/syk-20260506.htm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Stryker, 14-oct-2025 a 14-oct-2026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https://www.sec.gov/cgi-bin/browse-edgar?action=getcompany&amp;CIK=0000310764&amp;type=4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y nota de prensa: Kevin Lobo pasa a presidente ejecutivo; Spencer Stiles, consejero delegado desde el 1-ene-2027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https://www.sec.gov/Archives/edgar/data/310764/000119312526414956/d84795dex991.htm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Spencer Stiles, presidente y director de operaciones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https://www.sec.gov/Archives/edgar/data/310764/000119312525308097/d78127dex991.htm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jubilación del director contable (William Berry); le sustituye Emily Baculik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https://www.sec.gov/Archives/edgar/data/310764/000119312526232643/d51680d8k.htm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SYK, ^GSPC y XLV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https://finance.yahoo.com/quote/SYK/history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Corporation: finances (estimaciones 2026-2028, 29 analistas, objetivo medio 362,62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https://in.marketscreener.com/quote/stock/STRYKER-CORPORATION-14536/finances/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Stryker's quarterly earnings preview: what you need to know (BPA ajustado de consenso 2026 y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https://www.barchart.com/story/news/3208930/stryker-s-quarterly-earnings-preview-what-you-need-to-know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1,1195; CHF 0,9330)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Tesoro a 10 años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to announce third quarter 2026 financial results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GlobeNewswire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https://finviz.com/news/397638/stryker-to-announce-third-quarter-2026-financial-results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navigates manufacturing challenges amidst strong growth prospects (Truist recorta a 310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Modeling Prep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https://site.financialmodelingprep.com/market-news/stryker-stock-manufacturing-issues-growth-310-price-target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Stryker drops after comments on vascular and ortho segments (conferencia de Wells Fargo)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https://seekingalpha.com/symbol/SYK/news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de SYK (jul-oct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https://seekingalpha.com/api/sa/combined/SYK.xml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$SYK (sep-oct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https://api.stocktwits.com/api/2/streams/symbol/SYK.json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Investigación de posibles demandas de accionistas sobre la información del problema de fabricación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Glancy Prongay &amp; Murray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https://www.glancylaw.com/cases/stryker-corporation-1/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consenso</w:t>
      </w:r>
      <w:r>
        <w:t xml:space="preserve"> · Generado el 14 oct 2026.</w:t>
      </w:r>
    </w:p>
    <w:p>
      <w:pPr>
        <w:pStyle w:val="Nota"/>
        <w:spacing w:after="100"/>
      </w:pPr>
      <w:r>
        <w:t xml:space="preserve">Línea cotizada: NYSE (SYK), cuentas en USD (US GAAP). Cuenta, balance y flujos de 2016-2025 del XBRL de la SEC; la deuda se corrigió con la nota de deuda del 10-K (el XBRL solo sumaba la deuda a largo y el papel comercial: faltaba el vencimiento corriente) y el patrimonio de 2019-2025 con el 10-K. Los arrendamientos son operativos (US GAAP): su coste ya está en el EBITDA y no van al puente. Segmentos solo 2023-2025 (la segmentación cambió con la venta de columna y con Ortho Tech en 2026). Objetivo a 12 meses, PER histórico y comparables en BPA AJUSTADO de la empresa (base del consenso); la cuenta, en BPA contable. Comparables tomados de los informes del repositorio de Edwards, Intuitive y Straumann (6-14 oct-2026), sin rehacerlos uno a uno. BPA ajustado de consenso 2028 no disponible gratis. Análisis hecho por un solo analista en una sesión.</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Stryker Corporation (SYK)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281,62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(267,00 – 392,55)</c:v>
                </c:pt>
                <c:pt idx="1">
                  <c:v>Comparables: EV/EBITDA NTM (165,88 – 310,20)</c:v>
                </c:pt>
                <c:pt idx="2">
                  <c:v>Comparables: PER NTM (222,46 – 429,10)</c:v>
                </c:pt>
                <c:pt idx="3">
                  <c:v>Transacciones precedentes (EV/ventas) (420,15 – 550,67)</c:v>
                </c:pt>
                <c:pt idx="4">
                  <c:v>DCF (WACC y g ± 0,5) (214,06 – 295,25)</c:v>
                </c:pt>
                <c:pt idx="5">
                  <c:v>Escenarios (bajista – alcista) (199,84 – 264,45)</c:v>
                </c:pt>
                <c:pt idx="6">
                  <c:v>DCF con la prima implícita del mercado (4,2 %)</c:v>
                </c:pt>
                <c:pt idx="7">
                  <c:v>Precio actual (281,62)</c:v>
                </c:pt>
              </c:strCache>
            </c:strRef>
          </c:cat>
          <c:val>
            <c:numRef>
              <c:f>Hoja1!$B$2:$B$9</c:f>
              <c:numCache>
                <c:formatCode>#,##0</c:formatCode>
                <c:ptCount val="8"/>
                <c:pt idx="0">
                  <c:v>267</c:v>
                </c:pt>
                <c:pt idx="1">
                  <c:v>165.88</c:v>
                </c:pt>
                <c:pt idx="2">
                  <c:v>222.46</c:v>
                </c:pt>
                <c:pt idx="3">
                  <c:v>420.15</c:v>
                </c:pt>
                <c:pt idx="4">
                  <c:v>214.06</c:v>
                </c:pt>
                <c:pt idx="5">
                  <c:v>199.84</c:v>
                </c:pt>
                <c:pt idx="6">
                  <c:v>272.67</c:v>
                </c:pt>
                <c:pt idx="7">
                  <c:v>280.21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(267,00 – 392,55)</c:v>
                </c:pt>
                <c:pt idx="1">
                  <c:v>Comparables: EV/EBITDA NTM (165,88 – 310,20)</c:v>
                </c:pt>
                <c:pt idx="2">
                  <c:v>Comparables: PER NTM (222,46 – 429,10)</c:v>
                </c:pt>
                <c:pt idx="3">
                  <c:v>Transacciones precedentes (EV/ventas) (420,15 – 550,67)</c:v>
                </c:pt>
                <c:pt idx="4">
                  <c:v>DCF (WACC y g ± 0,5) (214,06 – 295,25)</c:v>
                </c:pt>
                <c:pt idx="5">
                  <c:v>Escenarios (bajista – alcista) (199,84 – 264,45)</c:v>
                </c:pt>
                <c:pt idx="6">
                  <c:v>DCF con la prima implícita del mercado (4,2 %)</c:v>
                </c:pt>
                <c:pt idx="7">
                  <c:v>Precio actual (281,62)</c:v>
                </c:pt>
              </c:strCache>
            </c:strRef>
          </c:cat>
          <c:val>
            <c:numRef>
              <c:f>Hoja1!$C$2:$C$9</c:f>
              <c:numCache>
                <c:formatCode>#,##0</c:formatCode>
                <c:ptCount val="8"/>
                <c:pt idx="0">
                  <c:v>125.55000000000001</c:v>
                </c:pt>
                <c:pt idx="1">
                  <c:v>144.32</c:v>
                </c:pt>
                <c:pt idx="2">
                  <c:v>206.64000000000001</c:v>
                </c:pt>
                <c:pt idx="3">
                  <c:v>130.51999999999998</c:v>
                </c:pt>
                <c:pt idx="4">
                  <c:v>81.19</c:v>
                </c:pt>
                <c:pt idx="5">
                  <c:v>64.60999999999999</c:v>
                </c:pt>
                <c:pt idx="6">
                  <c:v>64.91999999999996</c:v>
                </c:pt>
                <c:pt idx="7">
                  <c:v>2.819999999999993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MedSurg y Neurotecnología</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12163</c:v>
                </c:pt>
                <c:pt idx="1">
                  <c:v>13518</c:v>
                </c:pt>
                <c:pt idx="2">
                  <c:v>15647</c:v>
                </c:pt>
              </c:numCache>
            </c:numRef>
          </c:val>
        </c:ser>
        <c:ser>
          <c:idx val="1"/>
          <c:order val="1"/>
          <c:tx>
            <c:strRef>
              <c:f>Hoja1!$C$1</c:f>
              <c:strCache>
                <c:ptCount val="1"/>
                <c:pt idx="0">
                  <c:v>Ortopedia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8335</c:v>
                </c:pt>
                <c:pt idx="1">
                  <c:v>9077</c:v>
                </c:pt>
                <c:pt idx="2">
                  <c:v>9469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MedSurg y Neurotecnología</c:v>
                </c:pt>
                <c:pt idx="1">
                  <c:v>Ortopedia</c:v>
                </c:pt>
              </c:strCache>
            </c:strRef>
          </c:cat>
          <c:val>
            <c:numRef>
              <c:f>Hoja1!$B$2:$B$3</c:f>
              <c:numCache>
                <c:formatCode>General</c:formatCode>
                <c:ptCount val="2"/>
                <c:pt idx="0">
                  <c:v>62.3</c:v>
                </c:pt>
                <c:pt idx="1">
                  <c:v>37.7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75.7</c:v>
                </c:pt>
                <c:pt idx="1">
                  <c:v>24.3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(dispositivos ortopédicos,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2030e</c:v>
                </c:pt>
              </c:strCache>
            </c:strRef>
          </c:cat>
          <c:val>
            <c:numRef>
              <c:f>Hoja1!$B$2:$B$4</c:f>
              <c:numCache>
                <c:formatCode>#,##0</c:formatCode>
                <c:ptCount val="3"/>
                <c:pt idx="0">
                  <c:v>49630</c:v>
                </c:pt>
                <c:pt idx="1">
                  <c:v>51610</c:v>
                </c:pt>
                <c:pt idx="2">
                  <c:v>68500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Stryker</c:v>
                </c:pt>
                <c:pt idx="1">
                  <c:v>Zimmer Biomet</c:v>
                </c:pt>
                <c:pt idx="2">
                  <c:v>Johnson &amp; Johnson (DePuy Synthes)</c:v>
                </c:pt>
                <c:pt idx="3">
                  <c:v>Smith &amp; Nephew</c:v>
                </c:pt>
                <c:pt idx="4">
                  <c:v>Medtronic</c:v>
                </c:pt>
                <c:pt idx="5">
                  <c:v>Boston Scientific</c:v>
                </c:pt>
                <c:pt idx="6">
                  <c:v>Penumbra</c:v>
                </c:pt>
              </c:strCache>
            </c:strRef>
          </c:cat>
          <c:val>
            <c:numRef>
              <c:f>Hoja1!$B$2:$B$8</c:f>
              <c:numCache>
                <c:formatCode>0.0"%"</c:formatCode>
                <c:ptCount val="7"/>
                <c:pt idx="0">
                  <c:v>20.1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Hoja1!$B$2:$B$18</c:f>
              <c:numCache>
                <c:formatCode>#,##0</c:formatCode>
                <c:ptCount val="17"/>
                <c:pt idx="0">
                  <c:v>11325</c:v>
                </c:pt>
                <c:pt idx="1">
                  <c:v>12444</c:v>
                </c:pt>
                <c:pt idx="2">
                  <c:v>13601</c:v>
                </c:pt>
                <c:pt idx="3">
                  <c:v>14884</c:v>
                </c:pt>
                <c:pt idx="4">
                  <c:v>14351</c:v>
                </c:pt>
                <c:pt idx="5">
                  <c:v>17108</c:v>
                </c:pt>
                <c:pt idx="6">
                  <c:v>18449</c:v>
                </c:pt>
                <c:pt idx="7">
                  <c:v>20498</c:v>
                </c:pt>
                <c:pt idx="8">
                  <c:v>22595</c:v>
                </c:pt>
                <c:pt idx="9">
                  <c:v>25116</c:v>
                </c:pt>
                <c:pt idx="10">
                  <c:v>27251</c:v>
                </c:pt>
                <c:pt idx="11">
                  <c:v>29567</c:v>
                </c:pt>
                <c:pt idx="12">
                  <c:v>31933</c:v>
                </c:pt>
                <c:pt idx="13">
                  <c:v>34327</c:v>
                </c:pt>
                <c:pt idx="14">
                  <c:v>36730</c:v>
                </c:pt>
                <c:pt idx="15">
                  <c:v>38934</c:v>
                </c:pt>
                <c:pt idx="16">
                  <c:v>40881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strCache>
            </c:strRef>
          </c:cat>
          <c:val>
            <c:numRef>
              <c:f>Hoja1!$C$2:$C$18</c:f>
              <c:numCache>
                <c:formatCode>#,##0</c:formatCode>
                <c:ptCount val="17"/>
                <c:pt idx="0">
                  <c:v>2927</c:v>
                </c:pt>
                <c:pt idx="1">
                  <c:v>3156</c:v>
                </c:pt>
                <c:pt idx="2">
                  <c:v>3517</c:v>
                </c:pt>
                <c:pt idx="3">
                  <c:v>3773</c:v>
                </c:pt>
                <c:pt idx="4">
                  <c:v>3514</c:v>
                </c:pt>
                <c:pt idx="5">
                  <c:v>4120</c:v>
                </c:pt>
                <c:pt idx="6">
                  <c:v>4389</c:v>
                </c:pt>
                <c:pt idx="7">
                  <c:v>5265</c:v>
                </c:pt>
                <c:pt idx="8">
                  <c:v>6092</c:v>
                </c:pt>
                <c:pt idx="9">
                  <c:v>6629</c:v>
                </c:pt>
                <c:pt idx="10">
                  <c:v>7303</c:v>
                </c:pt>
                <c:pt idx="11">
                  <c:v>8101</c:v>
                </c:pt>
                <c:pt idx="12">
                  <c:v>8909</c:v>
                </c:pt>
                <c:pt idx="13">
                  <c:v>9715</c:v>
                </c:pt>
                <c:pt idx="14">
                  <c:v>10505</c:v>
                </c:pt>
                <c:pt idx="15">
                  <c:v>11213</c:v>
                </c:pt>
                <c:pt idx="16">
                  <c:v>11855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66.3</c:v>
                </c:pt>
                <c:pt idx="1">
                  <c:v>65.7</c:v>
                </c:pt>
                <c:pt idx="2">
                  <c:v>65.7</c:v>
                </c:pt>
                <c:pt idx="3">
                  <c:v>65.1</c:v>
                </c:pt>
                <c:pt idx="4">
                  <c:v>63.1</c:v>
                </c:pt>
                <c:pt idx="5">
                  <c:v>64.1</c:v>
                </c:pt>
                <c:pt idx="6">
                  <c:v>62.8</c:v>
                </c:pt>
                <c:pt idx="7">
                  <c:v>63.7</c:v>
                </c:pt>
                <c:pt idx="8">
                  <c:v>63.9</c:v>
                </c:pt>
                <c:pt idx="9">
                  <c:v>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25.8</c:v>
                </c:pt>
                <c:pt idx="1">
                  <c:v>25.4</c:v>
                </c:pt>
                <c:pt idx="2">
                  <c:v>25.9</c:v>
                </c:pt>
                <c:pt idx="3">
                  <c:v>25.3</c:v>
                </c:pt>
                <c:pt idx="4">
                  <c:v>24.5</c:v>
                </c:pt>
                <c:pt idx="5">
                  <c:v>24.1</c:v>
                </c:pt>
                <c:pt idx="6">
                  <c:v>23.8</c:v>
                </c:pt>
                <c:pt idx="7">
                  <c:v>25.7</c:v>
                </c:pt>
                <c:pt idx="8">
                  <c:v>27</c:v>
                </c:pt>
                <c:pt idx="9">
                  <c:v>26.4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19.2</c:v>
                </c:pt>
                <c:pt idx="1">
                  <c:v>18.5</c:v>
                </c:pt>
                <c:pt idx="2">
                  <c:v>18.8</c:v>
                </c:pt>
                <c:pt idx="3">
                  <c:v>18.3</c:v>
                </c:pt>
                <c:pt idx="4">
                  <c:v>17</c:v>
                </c:pt>
                <c:pt idx="5">
                  <c:v>16.6</c:v>
                </c:pt>
                <c:pt idx="6">
                  <c:v>16.9</c:v>
                </c:pt>
                <c:pt idx="7">
                  <c:v>19.1</c:v>
                </c:pt>
                <c:pt idx="8">
                  <c:v>20.7</c:v>
                </c:pt>
                <c:pt idx="9">
                  <c:v>20.1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14.5</c:v>
                </c:pt>
                <c:pt idx="1">
                  <c:v>8.2</c:v>
                </c:pt>
                <c:pt idx="2">
                  <c:v>26.1</c:v>
                </c:pt>
                <c:pt idx="3">
                  <c:v>14</c:v>
                </c:pt>
                <c:pt idx="4">
                  <c:v>11.1</c:v>
                </c:pt>
                <c:pt idx="5">
                  <c:v>11.7</c:v>
                </c:pt>
                <c:pt idx="6">
                  <c:v>12.8</c:v>
                </c:pt>
                <c:pt idx="7">
                  <c:v>15.4</c:v>
                </c:pt>
                <c:pt idx="8">
                  <c:v>13.2</c:v>
                </c:pt>
                <c:pt idx="9">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2">
                  <c:v>10.2</c:v>
                </c:pt>
                <c:pt idx="3">
                  <c:v>11.4</c:v>
                </c:pt>
                <c:pt idx="4">
                  <c:v>2.6</c:v>
                </c:pt>
                <c:pt idx="5">
                  <c:v>9.4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3">
                  <c:v>11</c:v>
                </c:pt>
                <c:pt idx="4">
                  <c:v>2.4</c:v>
                </c:pt>
                <c:pt idx="5">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63</c:v>
                </c:pt>
                <c:pt idx="1">
                  <c:v>64</c:v>
                </c:pt>
                <c:pt idx="2">
                  <c:v>63</c:v>
                </c:pt>
                <c:pt idx="3">
                  <c:v>71</c:v>
                </c:pt>
                <c:pt idx="4">
                  <c:v>69</c:v>
                </c:pt>
                <c:pt idx="5">
                  <c:v>64</c:v>
                </c:pt>
                <c:pt idx="6">
                  <c:v>71</c:v>
                </c:pt>
                <c:pt idx="7">
                  <c:v>67</c:v>
                </c:pt>
                <c:pt idx="8">
                  <c:v>64</c:v>
                </c:pt>
                <c:pt idx="9">
                  <c:v>59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194</c:v>
                </c:pt>
                <c:pt idx="1">
                  <c:v>211</c:v>
                </c:pt>
                <c:pt idx="2">
                  <c:v>231</c:v>
                </c:pt>
                <c:pt idx="3">
                  <c:v>210</c:v>
                </c:pt>
                <c:pt idx="4">
                  <c:v>241</c:v>
                </c:pt>
                <c:pt idx="5">
                  <c:v>197</c:v>
                </c:pt>
                <c:pt idx="6">
                  <c:v>212</c:v>
                </c:pt>
                <c:pt idx="7">
                  <c:v>238</c:v>
                </c:pt>
                <c:pt idx="8">
                  <c:v>214</c:v>
                </c:pt>
                <c:pt idx="9">
                  <c:v>214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42</c:v>
                </c:pt>
                <c:pt idx="1">
                  <c:v>42</c:v>
                </c:pt>
                <c:pt idx="2">
                  <c:v>51</c:v>
                </c:pt>
                <c:pt idx="3">
                  <c:v>47</c:v>
                </c:pt>
                <c:pt idx="4">
                  <c:v>56</c:v>
                </c:pt>
                <c:pt idx="5">
                  <c:v>67</c:v>
                </c:pt>
                <c:pt idx="6">
                  <c:v>75</c:v>
                </c:pt>
                <c:pt idx="7">
                  <c:v>74</c:v>
                </c:pt>
                <c:pt idx="8">
                  <c:v>75</c:v>
                </c:pt>
                <c:pt idx="9">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1425</c:v>
                </c:pt>
                <c:pt idx="1">
                  <c:v>961</c:v>
                </c:pt>
                <c:pt idx="2">
                  <c:v>2038</c:v>
                </c:pt>
                <c:pt idx="3">
                  <c:v>1542</c:v>
                </c:pt>
                <c:pt idx="4">
                  <c:v>2790</c:v>
                </c:pt>
                <c:pt idx="5">
                  <c:v>2738</c:v>
                </c:pt>
                <c:pt idx="6">
                  <c:v>2036</c:v>
                </c:pt>
                <c:pt idx="7">
                  <c:v>3136</c:v>
                </c:pt>
                <c:pt idx="8">
                  <c:v>3487</c:v>
                </c:pt>
                <c:pt idx="9">
                  <c:v>4283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1647</c:v>
                </c:pt>
                <c:pt idx="1">
                  <c:v>1020</c:v>
                </c:pt>
                <c:pt idx="2">
                  <c:v>3553</c:v>
                </c:pt>
                <c:pt idx="3">
                  <c:v>2083</c:v>
                </c:pt>
                <c:pt idx="4">
                  <c:v>1599</c:v>
                </c:pt>
                <c:pt idx="5">
                  <c:v>1994</c:v>
                </c:pt>
                <c:pt idx="6">
                  <c:v>2358</c:v>
                </c:pt>
                <c:pt idx="7">
                  <c:v>3165</c:v>
                </c:pt>
                <c:pt idx="8">
                  <c:v>2993</c:v>
                </c:pt>
                <c:pt idx="9">
                  <c:v>3246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c:v>
                </c:pt>
                <c:pt idx="1">
                  <c:v>9.8</c:v>
                </c:pt>
                <c:pt idx="2">
                  <c:v>15.6</c:v>
                </c:pt>
                <c:pt idx="3">
                  <c:v>11.8</c:v>
                </c:pt>
                <c:pt idx="4">
                  <c:v>9.1</c:v>
                </c:pt>
                <c:pt idx="5">
                  <c:v>10.3</c:v>
                </c:pt>
                <c:pt idx="6">
                  <c:v>10.5</c:v>
                </c:pt>
                <c:pt idx="7">
                  <c:v>12</c:v>
                </c:pt>
                <c:pt idx="8">
                  <c:v>13.5</c:v>
                </c:pt>
                <c:pt idx="9">
                  <c:v>11.2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9.3</c:v>
                </c:pt>
                <c:pt idx="1">
                  <c:v>9.3</c:v>
                </c:pt>
                <c:pt idx="2">
                  <c:v>9.3</c:v>
                </c:pt>
                <c:pt idx="3">
                  <c:v>9.3</c:v>
                </c:pt>
                <c:pt idx="4">
                  <c:v>9.3</c:v>
                </c:pt>
                <c:pt idx="5">
                  <c:v>9.3</c:v>
                </c:pt>
                <c:pt idx="6">
                  <c:v>9.3</c:v>
                </c:pt>
                <c:pt idx="7">
                  <c:v>9.3</c:v>
                </c:pt>
                <c:pt idx="8">
                  <c:v>9.3</c:v>
                </c:pt>
                <c:pt idx="9">
                  <c:v>9.3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17.2</c:v>
                </c:pt>
                <c:pt idx="1">
                  <c:v>10.5</c:v>
                </c:pt>
                <c:pt idx="2">
                  <c:v>32.8</c:v>
                </c:pt>
                <c:pt idx="3">
                  <c:v>17</c:v>
                </c:pt>
                <c:pt idx="4">
                  <c:v>12.4</c:v>
                </c:pt>
                <c:pt idx="5">
                  <c:v>14.3</c:v>
                </c:pt>
                <c:pt idx="6">
                  <c:v>15</c:v>
                </c:pt>
                <c:pt idx="7">
                  <c:v>18</c:v>
                </c:pt>
                <c:pt idx="8">
                  <c:v>15.3</c:v>
                </c:pt>
                <c:pt idx="9">
                  <c:v>15.1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1.3</c:v>
                </c:pt>
                <c:pt idx="1">
                  <c:v>1.48</c:v>
                </c:pt>
                <c:pt idx="2">
                  <c:v>1.78</c:v>
                </c:pt>
                <c:pt idx="3">
                  <c:v>1.79</c:v>
                </c:pt>
                <c:pt idx="4">
                  <c:v>3.14</c:v>
                </c:pt>
                <c:pt idx="5">
                  <c:v>2.31</c:v>
                </c:pt>
                <c:pt idx="6">
                  <c:v>2.55</c:v>
                </c:pt>
                <c:pt idx="7">
                  <c:v>1.9</c:v>
                </c:pt>
                <c:pt idx="8">
                  <c:v>1.63</c:v>
                </c:pt>
                <c:pt idx="9">
                  <c:v>1.79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1000</c:v>
                </c:pt>
                <c:pt idx="1">
                  <c:v>1379</c:v>
                </c:pt>
                <c:pt idx="2">
                  <c:v>1998</c:v>
                </c:pt>
                <c:pt idx="3">
                  <c:v>1683</c:v>
                </c:pt>
                <c:pt idx="4">
                  <c:v>2548</c:v>
                </c:pt>
                <c:pt idx="5">
                  <c:v>876</c:v>
                </c:pt>
                <c:pt idx="6">
                  <c:v>6375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4332</c:v>
                </c:pt>
                <c:pt idx="1">
                  <c:v>831</c:v>
                </c:pt>
                <c:pt idx="2">
                  <c:v>2451</c:v>
                </c:pt>
                <c:pt idx="3">
                  <c:v>802</c:v>
                </c:pt>
                <c:pt idx="4">
                  <c:v>4222</c:v>
                </c:pt>
                <c:pt idx="5">
                  <c:v>339</c:v>
                </c:pt>
                <c:pt idx="6">
                  <c:v>2563</c:v>
                </c:pt>
                <c:pt idx="7">
                  <c:v>390</c:v>
                </c:pt>
                <c:pt idx="8">
                  <c:v>1628</c:v>
                </c:pt>
                <c:pt idx="9">
                  <c:v>4960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568</c:v>
                </c:pt>
                <c:pt idx="1">
                  <c:v>636</c:v>
                </c:pt>
                <c:pt idx="2">
                  <c:v>703</c:v>
                </c:pt>
                <c:pt idx="3">
                  <c:v>778</c:v>
                </c:pt>
                <c:pt idx="4">
                  <c:v>863</c:v>
                </c:pt>
                <c:pt idx="5">
                  <c:v>950</c:v>
                </c:pt>
                <c:pt idx="6">
                  <c:v>1051</c:v>
                </c:pt>
                <c:pt idx="7">
                  <c:v>1139</c:v>
                </c:pt>
                <c:pt idx="8">
                  <c:v>1219</c:v>
                </c:pt>
                <c:pt idx="9">
                  <c:v>1284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13</c:v>
                </c:pt>
                <c:pt idx="1">
                  <c:v>230</c:v>
                </c:pt>
                <c:pt idx="2">
                  <c:v>300</c:v>
                </c:pt>
                <c:pt idx="3">
                  <c:v>307</c:v>
                </c:pt>
                <c:pt idx="4">
                  <c:v>0</c:v>
                </c:pt>
                <c:pt idx="5">
                  <c:v>0</c:v>
                </c:pt>
                <c:pt idx="6">
                  <c:v>0</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1</c:v>
                </c:pt>
                <c:pt idx="1">
                  <c:v>8</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John W. Brown (expresidente)</c:v>
                </c:pt>
                <c:pt idx="3">
                  <c:v>Ronda E. Stryker</c:v>
                </c:pt>
              </c:strCache>
            </c:strRef>
          </c:cat>
          <c:val>
            <c:numRef>
              <c:f>Hoja1!$B$2:$B$5</c:f>
              <c:numCache>
                <c:formatCode>0.0"%"</c:formatCode>
                <c:ptCount val="4"/>
                <c:pt idx="0">
                  <c:v>8.1</c:v>
                </c:pt>
                <c:pt idx="1">
                  <c:v>6.5</c:v>
                </c:pt>
                <c:pt idx="2">
                  <c:v>5.2</c:v>
                </c:pt>
                <c:pt idx="3">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28.9</c:v>
                </c:pt>
                <c:pt idx="1">
                  <c:v>29.2</c:v>
                </c:pt>
                <c:pt idx="2">
                  <c:v>1.2</c:v>
                </c:pt>
                <c:pt idx="3">
                  <c:v>33.9</c:v>
                </c:pt>
                <c:pt idx="4">
                  <c:v>16.7</c:v>
                </c:pt>
                <c:pt idx="5">
                  <c:v>9.1</c:v>
                </c:pt>
                <c:pt idx="6">
                  <c:v>-8.6</c:v>
                </c:pt>
                <c:pt idx="7">
                  <c:v>22.5</c:v>
                </c:pt>
                <c:pt idx="8">
                  <c:v>20.2</c:v>
                </c:pt>
                <c:pt idx="9">
                  <c:v>-2.4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16.8</c:v>
                </c:pt>
                <c:pt idx="1">
                  <c:v>20.1</c:v>
                </c:pt>
                <c:pt idx="2">
                  <c:v>18.7</c:v>
                </c:pt>
                <c:pt idx="3">
                  <c:v>22.9</c:v>
                </c:pt>
                <c:pt idx="4">
                  <c:v>29.7</c:v>
                </c:pt>
                <c:pt idx="5">
                  <c:v>27.1</c:v>
                </c:pt>
                <c:pt idx="6">
                  <c:v>23.8</c:v>
                </c:pt>
                <c:pt idx="7">
                  <c:v>23.7</c:v>
                </c:pt>
                <c:pt idx="8">
                  <c:v>24.4</c:v>
                </c:pt>
                <c:pt idx="9">
                  <c:v>22.3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23.3</c:v>
                </c:pt>
                <c:pt idx="1">
                  <c:v>23.3</c:v>
                </c:pt>
                <c:pt idx="2">
                  <c:v>23.3</c:v>
                </c:pt>
                <c:pt idx="3">
                  <c:v>23.3</c:v>
                </c:pt>
                <c:pt idx="4">
                  <c:v>23.3</c:v>
                </c:pt>
                <c:pt idx="5">
                  <c:v>23.3</c:v>
                </c:pt>
                <c:pt idx="6">
                  <c:v>23.3</c:v>
                </c:pt>
                <c:pt idx="7">
                  <c:v>23.3</c:v>
                </c:pt>
                <c:pt idx="8">
                  <c:v>23.3</c:v>
                </c:pt>
                <c:pt idx="9">
                  <c:v>23.3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Stryker</c:v>
                </c:pt>
                <c:pt idx="1">
                  <c:v>Zimmer Biomet</c:v>
                </c:pt>
                <c:pt idx="2">
                  <c:v>Smith &amp; Nephew</c:v>
                </c:pt>
                <c:pt idx="3">
                  <c:v>Medtronic</c:v>
                </c:pt>
                <c:pt idx="4">
                  <c:v>Boston Scientific</c:v>
                </c:pt>
                <c:pt idx="5">
                  <c:v>Abbott Laboratories</c:v>
                </c:pt>
                <c:pt idx="6">
                  <c:v>Intuitive Surgical</c:v>
                </c:pt>
                <c:pt idx="7">
                  <c:v>Edwards Lifesciences</c:v>
                </c:pt>
                <c:pt idx="8">
                  <c:v>Straumann</c:v>
                </c:pt>
              </c:strCache>
            </c:strRef>
          </c:cat>
          <c:val>
            <c:numRef>
              <c:f>Hoja1!$B$2:$B$10</c:f>
              <c:numCache>
                <c:formatCode>0.0"x"</c:formatCode>
                <c:ptCount val="9"/>
                <c:pt idx="0">
                  <c:v>15.3</c:v>
                </c:pt>
                <c:pt idx="1">
                  <c:v>8.4</c:v>
                </c:pt>
                <c:pt idx="2">
                  <c:v>8.2</c:v>
                </c:pt>
                <c:pt idx="3">
                  <c:v>11.7</c:v>
                </c:pt>
                <c:pt idx="4">
                  <c:v>10.9</c:v>
                </c:pt>
                <c:pt idx="5">
                  <c:v>14</c:v>
                </c:pt>
                <c:pt idx="6">
                  <c:v>28.6</c:v>
                </c:pt>
                <c:pt idx="7">
                  <c:v>19.4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Stryker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9.5</c:v>
                </c:pt>
              </c:numCache>
            </c:numRef>
          </c:xVal>
          <c:yVal>
            <c:numRef>
              <c:f>Hoja1!$C$2</c:f>
              <c:numCache>
                <c:formatCode>0.0"x"</c:formatCode>
                <c:ptCount val="1"/>
                <c:pt idx="0">
                  <c:v>15.3</c:v>
                </c:pt>
              </c:numCache>
            </c:numRef>
          </c:yVal>
          <c:smooth val="0"/>
        </c:ser>
        <c:ser>
          <c:idx val="1"/>
          <c:order val="1"/>
          <c:tx>
            <c:strRef>
              <c:f>Hoja1!$A$3</c:f>
              <c:strCache>
                <c:ptCount val="1"/>
                <c:pt idx="0">
                  <c:v>Zimmer Biomet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3.8</c:v>
                </c:pt>
              </c:numCache>
            </c:numRef>
          </c:xVal>
          <c:yVal>
            <c:numRef>
              <c:f>Hoja1!$C$3</c:f>
              <c:numCache>
                <c:formatCode>0.0"x"</c:formatCode>
                <c:ptCount val="1"/>
                <c:pt idx="0">
                  <c:v>8.4</c:v>
                </c:pt>
              </c:numCache>
            </c:numRef>
          </c:yVal>
          <c:smooth val="0"/>
        </c:ser>
        <c:ser>
          <c:idx val="2"/>
          <c:order val="2"/>
          <c:tx>
            <c:strRef>
              <c:f>Hoja1!$A$4</c:f>
              <c:strCache>
                <c:ptCount val="1"/>
                <c:pt idx="0">
                  <c:v>Smith &amp; Nephew</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5.1</c:v>
                </c:pt>
              </c:numCache>
            </c:numRef>
          </c:xVal>
          <c:yVal>
            <c:numRef>
              <c:f>Hoja1!$C$4</c:f>
              <c:numCache>
                <c:formatCode>0.0"x"</c:formatCode>
                <c:ptCount val="1"/>
                <c:pt idx="0">
                  <c:v>8.2</c:v>
                </c:pt>
              </c:numCache>
            </c:numRef>
          </c:yVal>
          <c:smooth val="0"/>
        </c:ser>
        <c:ser>
          <c:idx val="3"/>
          <c:order val="3"/>
          <c:tx>
            <c:strRef>
              <c:f>Hoja1!$A$5</c:f>
              <c:strCache>
                <c:ptCount val="1"/>
                <c:pt idx="0">
                  <c:v>Medtronic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5.5</c:v>
                </c:pt>
              </c:numCache>
            </c:numRef>
          </c:xVal>
          <c:yVal>
            <c:numRef>
              <c:f>Hoja1!$C$5</c:f>
              <c:numCache>
                <c:formatCode>0.0"x"</c:formatCode>
                <c:ptCount val="1"/>
                <c:pt idx="0">
                  <c:v>11.7</c:v>
                </c:pt>
              </c:numCache>
            </c:numRef>
          </c:yVal>
          <c:smooth val="0"/>
        </c:ser>
        <c:ser>
          <c:idx val="4"/>
          <c:order val="4"/>
          <c:tx>
            <c:strRef>
              <c:f>Hoja1!$A$6</c:f>
              <c:strCache>
                <c:ptCount val="1"/>
                <c:pt idx="0">
                  <c:v>Boston Scientific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4.9</c:v>
                </c:pt>
              </c:numCache>
            </c:numRef>
          </c:xVal>
          <c:yVal>
            <c:numRef>
              <c:f>Hoja1!$C$6</c:f>
              <c:numCache>
                <c:formatCode>0.0"x"</c:formatCode>
                <c:ptCount val="1"/>
                <c:pt idx="0">
                  <c:v>10.9</c:v>
                </c:pt>
              </c:numCache>
            </c:numRef>
          </c:yVal>
          <c:smooth val="0"/>
        </c:ser>
        <c:ser>
          <c:idx val="5"/>
          <c:order val="5"/>
          <c:tx>
            <c:strRef>
              <c:f>Hoja1!$A$7</c:f>
              <c:strCache>
                <c:ptCount val="1"/>
                <c:pt idx="0">
                  <c:v>Abbott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14.9</c:v>
                </c:pt>
              </c:numCache>
            </c:numRef>
          </c:xVal>
          <c:yVal>
            <c:numRef>
              <c:f>Hoja1!$C$7</c:f>
              <c:numCache>
                <c:formatCode>0.0"x"</c:formatCode>
                <c:ptCount val="1"/>
                <c:pt idx="0">
                  <c:v>14</c:v>
                </c:pt>
              </c:numCache>
            </c:numRef>
          </c:yVal>
          <c:smooth val="0"/>
        </c:ser>
        <c:ser>
          <c:idx val="6"/>
          <c:order val="6"/>
          <c:tx>
            <c:strRef>
              <c:f>Hoja1!$A$8</c:f>
              <c:strCache>
                <c:ptCount val="1"/>
                <c:pt idx="0">
                  <c:v>Intuitive Surgical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13.2</c:v>
                </c:pt>
              </c:numCache>
            </c:numRef>
          </c:xVal>
          <c:yVal>
            <c:numRef>
              <c:f>Hoja1!$C$8</c:f>
              <c:numCache>
                <c:formatCode>0.0"x"</c:formatCode>
                <c:ptCount val="1"/>
                <c:pt idx="0">
                  <c:v>28.6</c:v>
                </c:pt>
              </c:numCache>
            </c:numRef>
          </c:yVal>
          <c:smooth val="0"/>
        </c:ser>
        <c:ser>
          <c:idx val="7"/>
          <c:order val="7"/>
          <c:tx>
            <c:strRef>
              <c:f>Hoja1!$A$9</c:f>
              <c:strCache>
                <c:ptCount val="1"/>
                <c:pt idx="0">
                  <c:v>Edwards Lifesciences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10.5</c:v>
                </c:pt>
              </c:numCache>
            </c:numRef>
          </c:xVal>
          <c:yVal>
            <c:numRef>
              <c:f>Hoja1!$C$9</c:f>
              <c:numCache>
                <c:formatCode>0.0"x"</c:formatCode>
                <c:ptCount val="1"/>
                <c:pt idx="0">
                  <c:v>19.4</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4805</c:v>
                </c:pt>
                <c:pt idx="1">
                  <c:v>5304</c:v>
                </c:pt>
                <c:pt idx="2">
                  <c:v>5891</c:v>
                </c:pt>
                <c:pt idx="3">
                  <c:v>6445</c:v>
                </c:pt>
                <c:pt idx="4">
                  <c:v>7023</c:v>
                </c:pt>
                <c:pt idx="5">
                  <c:v>7593</c:v>
                </c:pt>
                <c:pt idx="6">
                  <c:v>8136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31061</c:v>
                </c:pt>
                <c:pt idx="1">
                  <c:v>76979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281,62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199.84</c:v>
                </c:pt>
                <c:pt idx="1">
                  <c:v>248.23</c:v>
                </c:pt>
                <c:pt idx="2">
                  <c:v>264.45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281,62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(267,00 – 392,55)</c:v>
                </c:pt>
                <c:pt idx="1">
                  <c:v>Comparables: EV/EBITDA NTM (165,88 – 310,20)</c:v>
                </c:pt>
                <c:pt idx="2">
                  <c:v>Comparables: PER NTM (222,46 – 429,10)</c:v>
                </c:pt>
                <c:pt idx="3">
                  <c:v>Transacciones precedentes (EV/ventas) (420,15 – 550,67)</c:v>
                </c:pt>
                <c:pt idx="4">
                  <c:v>DCF (WACC y g ± 0,5) (214,06 – 295,25)</c:v>
                </c:pt>
                <c:pt idx="5">
                  <c:v>Escenarios (bajista – alcista) (199,84 – 264,45)</c:v>
                </c:pt>
                <c:pt idx="6">
                  <c:v>DCF con la prima implícita del mercado (4,2 %)</c:v>
                </c:pt>
                <c:pt idx="7">
                  <c:v>Precio actual (281,62)</c:v>
                </c:pt>
              </c:strCache>
            </c:strRef>
          </c:cat>
          <c:val>
            <c:numRef>
              <c:f>Hoja1!$B$2:$B$9</c:f>
              <c:numCache>
                <c:formatCode>#,##0</c:formatCode>
                <c:ptCount val="8"/>
                <c:pt idx="0">
                  <c:v>267</c:v>
                </c:pt>
                <c:pt idx="1">
                  <c:v>165.88</c:v>
                </c:pt>
                <c:pt idx="2">
                  <c:v>222.46</c:v>
                </c:pt>
                <c:pt idx="3">
                  <c:v>420.15</c:v>
                </c:pt>
                <c:pt idx="4">
                  <c:v>214.06</c:v>
                </c:pt>
                <c:pt idx="5">
                  <c:v>199.84</c:v>
                </c:pt>
                <c:pt idx="6">
                  <c:v>272.67</c:v>
                </c:pt>
                <c:pt idx="7">
                  <c:v>280.21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(267,00 – 392,55)</c:v>
                </c:pt>
                <c:pt idx="1">
                  <c:v>Comparables: EV/EBITDA NTM (165,88 – 310,20)</c:v>
                </c:pt>
                <c:pt idx="2">
                  <c:v>Comparables: PER NTM (222,46 – 429,10)</c:v>
                </c:pt>
                <c:pt idx="3">
                  <c:v>Transacciones precedentes (EV/ventas) (420,15 – 550,67)</c:v>
                </c:pt>
                <c:pt idx="4">
                  <c:v>DCF (WACC y g ± 0,5) (214,06 – 295,25)</c:v>
                </c:pt>
                <c:pt idx="5">
                  <c:v>Escenarios (bajista – alcista) (199,84 – 264,45)</c:v>
                </c:pt>
                <c:pt idx="6">
                  <c:v>DCF con la prima implícita del mercado (4,2 %)</c:v>
                </c:pt>
                <c:pt idx="7">
                  <c:v>Precio actual (281,62)</c:v>
                </c:pt>
              </c:strCache>
            </c:strRef>
          </c:cat>
          <c:val>
            <c:numRef>
              <c:f>Hoja1!$C$2:$C$9</c:f>
              <c:numCache>
                <c:formatCode>#,##0</c:formatCode>
                <c:ptCount val="8"/>
                <c:pt idx="0">
                  <c:v>125.55000000000001</c:v>
                </c:pt>
                <c:pt idx="1">
                  <c:v>144.32</c:v>
                </c:pt>
                <c:pt idx="2">
                  <c:v>206.64000000000001</c:v>
                </c:pt>
                <c:pt idx="3">
                  <c:v>130.51999999999998</c:v>
                </c:pt>
                <c:pt idx="4">
                  <c:v>81.19</c:v>
                </c:pt>
                <c:pt idx="5">
                  <c:v>64.60999999999999</c:v>
                </c:pt>
                <c:pt idx="6">
                  <c:v>64.91999999999996</c:v>
                </c:pt>
                <c:pt idx="7">
                  <c:v>2.819999999999993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