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Medpace Holdings, Inc.</w:t>
      </w:r>
    </w:p>
    <w:p>
      <w:pPr>
        <w:spacing w:after="60"/>
        <w:rPr>
          <w:color w:val="52514E"/>
          <w:sz w:val="22"/>
          <w:szCs w:val="22"/>
        </w:rPr>
      </w:pPr>
      <w:r>
        <w:rPr>
          <w:color w:val="52514E"/>
          <w:sz w:val="22"/>
          <w:szCs w:val="22"/>
        </w:rPr>
        <w:t xml:space="preserve">MEDP · Nasdaq Global Select Market · ISIN US58506Q1094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662,48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608,29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-8,2 % (base -0,2 %)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342,09 USD · mercado 399,86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18.814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27,2x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Medpace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MEDP / US58506Q1094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 como referencia de rentabilidad)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y servicios para ciencias de la vida (CRO)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5375 Medpace Way, Cincinnati, Ohio · 1992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www.medpace.com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662,48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373,00 – 677,90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18.814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18.109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171,4 M USD/día (283.843 acciones/día,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608,29 USD</w:t>
      </w:r>
      <w:r>
        <w:t xml:space="preserve"> frente a 662,48 · Rentabilidad a 12 meses </w:t>
      </w:r>
      <w:r>
        <w:rPr>
          <w:b/>
          <w:bCs/>
        </w:rPr>
        <w:t xml:space="preserve">-8,2 % (base -0,2 %)</w:t>
      </w:r>
      <w:r>
        <w:t xml:space="preserve"> · Valor intrínseco 342,09 USD · con la prima implícita del mercado: 399,86 (-39,6 %) · Alcista / bajista -29,8 % / -66,3 %</w:t>
      </w:r>
    </w:p>
    <w:p>
      <w:pPr>
        <w:spacing w:after="100"/>
      </w:pPr>
      <w:r>
        <w:rPr>
          <w:b/>
        </w:rPr>
        <w:t xml:space="preserve">La recomendación y por qué.</w:t>
      </w:r>
      <w:r>
        <w:t xml:space="preserve"> Mantener, con convicción Baja. A 12 meses, con nuestro PER y nuestro BPA de 2028e, Medpace vale 608,29 USD ponderado (−8,2 % sobre 662,48 USD) y 661,39 USD en el caso base (−0,2 %): no da para comprar (hace falta +15 % y +12 %) ni para vender (−10 %). El valor intrínseco es mucho menor, 342,09 USD (−48,4 %): el precio descuenta un crecimiento del 17,4 % anual durante nueve años, más del doble del 7,3 % de nuestro caso base, que coincide con el consenso de 2026-2028. La convicción es Baja porque la acción está en máximos tras subir un 25 % en tres meses, la venta empieza a solo un 2 % por encima del precio (675,88 USD) y la reacción a los resultados no se conocerá hasta el cierre del 22-oct.</w:t>
      </w:r>
    </w:p>
    <w:p>
      <w:pPr>
        <w:spacing w:after="100"/>
      </w:pPr>
      <w:r>
        <w:rPr>
          <w:b/>
        </w:rPr>
        <w:t xml:space="preserve">El negocio.</w:t>
      </w:r>
      <w:r>
        <w:t xml:space="preserve"> Medpace es la CRO de servicio completo de las biotecnológicas pequeñas y medianas y la más rentable del sector: margen operativo del 23,1 % en el 3T26 frente al 5,4-14,0 % de IQVIA, ICON y Thermo Fisher [1, 18, 23]. Los anticipos de clientes (961,9 M USD) financian todo el circulante, de modo que crece sin capital [18]. La calidad sostiene el 7,8 % anual que proyectamos (cuota del 3,4 % al 4,2 % en 2030e), pero no el 17,4 % que pide el precio.</w:t>
      </w:r>
    </w:p>
    <w:p>
      <w:pPr>
        <w:spacing w:after="100"/>
      </w:pPr>
      <w:r>
        <w:rPr>
          <w:b/>
        </w:rPr>
        <w:t xml:space="preserve">Finanzas.</w:t>
      </w:r>
      <w:r>
        <w:t xml:space="preserve"> El 3T26 fue bueno en contratación y beneficio: ingresos de 716,0 M USD (+8,5 %), contratación récord de 873,4 M (book-to-bill de 1,22), cartera de 3.167,2 M (+5,6 %) y BPA de 4,84 USD (+25 %) [18]. La guía de 2026 sube en beneficio (BPA de 17,97-18,32 USD) pero no en ingresos (punto medio de 2.845 M), y deja un 4T26 casi plano. Sin deuda y con 705,3 M de caja; el consejo ha aprobado recompras de hasta 1.000 M USD hasta 2028 [19].</w:t>
      </w:r>
    </w:p>
    <w:p>
      <w:pPr>
        <w:spacing w:after="100"/>
      </w:pPr>
      <w:r>
        <w:rPr>
          <w:b/>
        </w:rPr>
        <w:t xml:space="preserve">Equipo y gobierno.</w:t>
      </w:r>
      <w:r>
        <w:t xml:space="preserve"> Resta. El fundador, de 69 años, es presidente, primer ejecutivo y President interino, sin sucesor; controla el 19,1 % y ha vendido mucho en 12 meses [37, 43, 45]. Hay operaciones vinculadas y el variable a largo plazo no lleva métricas; cumple 8 de 13 criterios de gobierno [37]. A favor: ha subido la guía de BPA dos veces este año y la ha superado todos los años desde 2020 [9, 18, 48, 49, 50, 51, 52, 53].</w:t>
      </w:r>
    </w:p>
    <w:p>
      <w:pPr>
        <w:spacing w:after="100"/>
      </w:pPr>
      <w:r>
        <w:rPr>
          <w:b/>
        </w:rPr>
        <w:t xml:space="preserve">Valoración.</w:t>
      </w:r>
      <w:r>
        <w:t xml:space="preserve"> Todos los métodos de valor coinciden: DCF 334,21 USD, comparables 373,67 y transacciones 369,96. Cotiza a 27,2 veces el EBITDA de los próximos 12 meses frente a 13,9 veces de mediana de sus comparables [74]. Con nuestros flujos el precio rinde un 7,0 % anual, frente a un coste de capital del 11,13 % y el 9,7 % que pide el mercado. A 12 meses el precio se sostiene porque la historia de Medpace es de múltiplos altos: 32,2 veces el BPA en el caso base, a mitad de camino entre su PER actual y su mediana adelantada. Los analistas, con 2 compras, 11 mantener y 1 venta y un objetivo medio de 595,92 USD, quedan por debajo del precio [56].</w:t>
      </w:r>
    </w:p>
    <w:p>
      <w:pPr>
        <w:spacing w:after="100"/>
      </w:pPr>
      <w:r>
        <w:rPr>
          <w:b/>
        </w:rPr>
        <w:t xml:space="preserve">Riesgos y catalizadores.</w:t>
      </w:r>
      <w:r>
        <w:t xml:space="preserve"> El riesgo para la tesis de valor es que el crecimiento vuelva al 15-20 % y el mercado siga pagando más de 30 veces el beneficio. A la baja, un nuevo frenazo de la contratación como el del 1T26 (book-to-bill de 0,88), la concentración en obesidad y un 4T26 plano [1, 8, 18]. Catalizadores: la conferencia del 22-oct y la guía de 2027 en febrero. Los foros siguen divididos [65].</w:t>
      </w:r>
    </w:p>
    <w:p>
      <w:pPr>
        <w:spacing w:after="100"/>
      </w:pPr>
      <w:r>
        <w:rPr>
          <w:b/>
        </w:rPr>
        <w:t xml:space="preserve">Qué cambiaría la decisión.</w:t>
      </w:r>
      <w:r>
        <w:t xml:space="preserve"> Compraríamos por debajo de 342,09 USD y venderíamos por encima de 675,88 USD. Una guía de 2027 por encima del 12 % de ingresos y un book-to-bill por encima de 1,2 dos trimestres más subirían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608,29 USD</w:t>
      </w:r>
      <w:r>
        <w:t xml:space="preserve"> (rentabilidad -8,2 % (base -0,2 %)) · Valor intrínseco: 342,09 USD (-48,4 % sobre 662,48) · con la prima implícita del mercado: 399,86 (-39,6 %)</w:t>
      </w:r>
    </w:p>
    <w:p>
      <w:pPr>
        <w:spacing w:after="100"/>
      </w:pPr>
      <w:r>
        <w:t xml:space="preserve">Medpace es la CRO de servicio completo de referencia para las biotecnológicas pequeñas y medianas, con el margen operativo más alto del sector, sin deuda y con un circulante financiado por los clientes (961,9 M USD de anticipos) que le permite crecer sin capital [1, 18, 23]. El 3T26 trajo contratación récord (book-to-bill de 1,22) y una guía de beneficio más alta [18].</w:t>
      </w:r>
    </w:p>
    <w:p>
      <w:pPr>
        <w:spacing w:after="100"/>
      </w:pPr>
      <w:r>
        <w:t xml:space="preserve">El precio, 662,48 USD, descuenta que el crecimiento de 2018-2025 siga: un 17,4 % anual entre 2027e y 2035e con nuestro margen. Cotiza a 27,2 veces el EBITDA y a 35,1 veces el beneficio de los próximos 12 meses, más del doble que sus comparables, con un crecimiento previsto parecido al de IQVIA [56, 74].</w:t>
      </w:r>
    </w:p>
    <w:p>
      <w:pPr>
        <w:spacing w:after="100"/>
      </w:pPr>
      <w:r>
        <w:t xml:space="preserve">Creemos que el mercado se equivoca en la duración del crecimiento, no en su calidad, pero a 12 meses eso no basta para vender: con el múltiplo que Medpace ha tenido siempre, el precio está en su sitio. Es una acción para mantener quien la tenga y para comprar solo muy por debajo.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 × 16,21 = 351,76 · 32,2x × 20,54 = 661,39 · 32,2x × 23,56 = 758,63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 -0,2 %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595,92 (nuestro base +11,0 %)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342,09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 / -66,3 %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11,1 %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399,86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342,09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342,09 y 675,88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675,88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sube por encima de 675,88 USD, pasaríamos a Vender; por debajo de 342,09 USD, a Comprar.</w:t>
      </w:r>
    </w:p>
    <w:p>
      <w:pPr>
        <w:pStyle w:val="ListParagraph"/>
        <w:numPr>
          <w:ilvl w:val="0"/>
          <w:numId w:val="2"/>
        </w:numPr>
        <w:spacing w:after="60"/>
      </w:pPr>
      <w:r>
        <w:t xml:space="preserve">Si el book-to-bill supera 1,2 dos trimestres más y la cartera crece más de un 12 % interanual, revisaríamos el caso base al alza.</w:t>
      </w:r>
    </w:p>
    <w:p>
      <w:pPr>
        <w:pStyle w:val="ListParagraph"/>
        <w:numPr>
          <w:ilvl w:val="0"/>
          <w:numId w:val="2"/>
        </w:numPr>
        <w:spacing w:after="60"/>
      </w:pPr>
      <w:r>
        <w:t xml:space="preserve">Si la guía de 2027 (febrero) prevé más de un 12 % de crecimiento de ingresos, revisaríamos el crecimiento de 2027-2030.</w:t>
      </w:r>
    </w:p>
    <w:p>
      <w:pPr>
        <w:pStyle w:val="ListParagraph"/>
        <w:numPr>
          <w:ilvl w:val="0"/>
          <w:numId w:val="2"/>
        </w:numPr>
        <w:spacing w:after="60"/>
      </w:pPr>
      <w:r>
        <w:t xml:space="preserve">Si el Tesoro a 10 años baja del 4 %, el coste de capital caería en torno a 1,1 puntos y revisaríamos el valor.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Medpace mantenga durante casi una década un crecimiento cercano al 17 % anual y que la prima de más de 30 veces el beneficio sea permanente. La rentabilidad implícita en el precio con nuestros flujos es del 7,0 % anual, por debajo del 9,7 % que el mercado pide de media a una acción con su beta.</w:t>
      </w:r>
    </w:p>
    <w:p>
      <w:pPr>
        <w:keepNext/>
        <w:spacing w:after="100"/>
      </w:pPr>
      <w:r>
        <w:rPr>
          <w:b/>
          <w:bCs/>
        </w:rPr>
        <w:t xml:space="preserve">Lo que creemos nosotros.</w:t>
      </w:r>
    </w:p>
    <w:p>
      <w:pPr>
        <w:spacing w:after="100"/>
      </w:pPr>
      <w:r>
        <w:t xml:space="preserve">La calidad es real, pero el crecimiento de 2018-2025 tuvo dos impulsos irrepetibles: la financiación biotecnológica récord de 2021 y la ola de ensayos de obesidad [1, 35]. Esperamos un 7-9,5 % anual en 2027-2031, en línea con el consenso y con una cartera que crece un 5,6 %, que vale 334,21 USD por acción.</w:t>
      </w:r>
    </w:p>
    <w:p>
      <w:pPr>
        <w:keepNext/>
        <w:spacing w:after="100"/>
      </w:pPr>
      <w:r>
        <w:rPr>
          <w:b/>
          <w:bCs/>
        </w:rPr>
        <w:t xml:space="preserve">Por qué podemos tener razón.</w:t>
      </w:r>
    </w:p>
    <w:p>
      <w:pPr>
        <w:spacing w:after="100"/>
      </w:pPr>
      <w:r>
        <w:t xml:space="preserve">Porque las cifras de los próximos tres años no están en disputa (nuestra proyección difiere menos de un 3 % del consenso) y aun así el precio solo cuadra con un crecimiento que la cartera no muestra. Los analistas lo reflejan con 11 recomendaciones de mantener de 14 y un objetivo medio por debajo del precio [56].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62,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Margen líder del sector</w:t>
      </w:r>
      <w:r>
        <w:t xml:space="preserve">: 23,1 % operativo en el 3T26 frente al 5,4-14,0 % de sus grandes rivales [1, 18].</w:t>
      </w:r>
    </w:p>
    <w:p>
      <w:pPr>
        <w:pStyle w:val="ListParagraph"/>
        <w:numPr>
          <w:ilvl w:val="0"/>
          <w:numId w:val="2"/>
        </w:numPr>
        <w:spacing w:after="60"/>
      </w:pPr>
      <w:r>
        <w:rPr>
          <w:b/>
        </w:rPr>
        <w:t xml:space="preserve">Contratación récord</w:t>
      </w:r>
      <w:r>
        <w:t xml:space="preserve">: 873,4 M USD en el 3T26, book-to-bill de 1,22 [18].</w:t>
      </w:r>
    </w:p>
    <w:p>
      <w:pPr>
        <w:pStyle w:val="ListParagraph"/>
        <w:numPr>
          <w:ilvl w:val="0"/>
          <w:numId w:val="2"/>
        </w:numPr>
        <w:spacing w:after="60"/>
      </w:pPr>
      <w:r>
        <w:rPr>
          <w:b/>
        </w:rPr>
        <w:t xml:space="preserve">Balance sin deuda</w:t>
      </w:r>
      <w:r>
        <w:t xml:space="preserve">: 705,3 M USD de caja y recompras autorizadas de hasta 1.000 M USD [18, 19].</w:t>
      </w:r>
    </w:p>
    <w:p>
      <w:pPr>
        <w:pStyle w:val="ListParagraph"/>
        <w:numPr>
          <w:ilvl w:val="0"/>
          <w:numId w:val="2"/>
        </w:numPr>
        <w:spacing w:after="60"/>
      </w:pPr>
      <w:r>
        <w:rPr>
          <w:b/>
        </w:rPr>
        <w:t xml:space="preserve">Dirección que cumple</w:t>
      </w:r>
      <w:r>
        <w:t xml:space="preserve">: guía de BPA subida dos veces en 2026 y superada todos los años desde 2020 [9, 18, 48, 49, 50, 51, 52, 53].</w:t>
      </w:r>
    </w:p>
    <w:p>
      <w:pPr>
        <w:pStyle w:val="ListParagraph"/>
        <w:numPr>
          <w:ilvl w:val="0"/>
          <w:numId w:val="2"/>
        </w:numPr>
        <w:spacing w:after="60"/>
      </w:pPr>
      <w:r>
        <w:rPr>
          <w:b/>
        </w:rPr>
        <w:t xml:space="preserve">Crece sin capital</w:t>
      </w:r>
      <w:r>
        <w:t xml:space="preserve">: anticipos de 961,9 M USD y capex en torno al 1,5-2 % de las ventas [18].</w:t>
      </w:r>
    </w:p>
    <w:p>
      <w:pPr>
        <w:pStyle w:val="Heading2"/>
      </w:pPr>
      <w:r>
        <w:t xml:space="preserve">En contra</w:t>
      </w:r>
    </w:p>
    <w:p>
      <w:pPr>
        <w:pStyle w:val="ListParagraph"/>
        <w:numPr>
          <w:ilvl w:val="0"/>
          <w:numId w:val="2"/>
        </w:numPr>
        <w:spacing w:after="60"/>
      </w:pPr>
      <w:r>
        <w:rPr>
          <w:b/>
        </w:rPr>
        <w:t xml:space="preserve">Precio exigente</w:t>
      </w:r>
      <w:r>
        <w:t xml:space="preserve">: descuenta un 17,4 % de crecimiento anual hasta 2035, frente al 7,3 % del caso base.</w:t>
      </w:r>
    </w:p>
    <w:p>
      <w:pPr>
        <w:pStyle w:val="ListParagraph"/>
        <w:numPr>
          <w:ilvl w:val="0"/>
          <w:numId w:val="2"/>
        </w:numPr>
        <w:spacing w:after="60"/>
      </w:pPr>
      <w:r>
        <w:rPr>
          <w:b/>
        </w:rPr>
        <w:t xml:space="preserve">Múltiplo doble que el de las CRO</w:t>
      </w:r>
      <w:r>
        <w:t xml:space="preserve">: 27,2 veces el EBITDA de los próximos 12 meses frente a 13,9 veces de mediana [74].</w:t>
      </w:r>
    </w:p>
    <w:p>
      <w:pPr>
        <w:pStyle w:val="ListParagraph"/>
        <w:numPr>
          <w:ilvl w:val="0"/>
          <w:numId w:val="2"/>
        </w:numPr>
        <w:spacing w:after="60"/>
      </w:pPr>
      <w:r>
        <w:rPr>
          <w:b/>
        </w:rPr>
        <w:t xml:space="preserve">Guía de ingresos sin cambios</w:t>
      </w:r>
      <w:r>
        <w:t xml:space="preserve">: implica un 4T26 casi plano (+0,9 %) [18].</w:t>
      </w:r>
    </w:p>
    <w:p>
      <w:pPr>
        <w:pStyle w:val="ListParagraph"/>
        <w:numPr>
          <w:ilvl w:val="0"/>
          <w:numId w:val="2"/>
        </w:numPr>
        <w:spacing w:after="60"/>
      </w:pPr>
      <w:r>
        <w:rPr>
          <w:b/>
        </w:rPr>
        <w:t xml:space="preserve">Cartera que crece poco</w:t>
      </w:r>
      <w:r>
        <w:t xml:space="preserve">: +5,6 % interanual a septiembre [18].</w:t>
      </w:r>
    </w:p>
    <w:p>
      <w:pPr>
        <w:pStyle w:val="ListParagraph"/>
        <w:numPr>
          <w:ilvl w:val="0"/>
          <w:numId w:val="2"/>
        </w:numPr>
        <w:spacing w:after="60"/>
      </w:pPr>
      <w:r>
        <w:rPr>
          <w:b/>
        </w:rPr>
        <w:t xml:space="preserve">Fundador que vende y sin sucesor</w:t>
      </w:r>
      <w:r>
        <w:t xml:space="preserve">: President interino desde mayo [22, 43].</w:t>
      </w:r>
    </w:p>
    <w:p>
      <w:pPr>
        <w:pStyle w:val="ListParagraph"/>
        <w:numPr>
          <w:ilvl w:val="0"/>
          <w:numId w:val="2"/>
        </w:numPr>
        <w:spacing w:after="60"/>
      </w:pPr>
      <w:r>
        <w:rPr>
          <w:b/>
        </w:rPr>
        <w:t xml:space="preserve">En máximos</w:t>
      </w:r>
      <w:r>
        <w:t xml:space="preserve">: +25 % en tres meses, a un 2 % del precio de venta de la regla [55].</w:t>
      </w:r>
    </w:p>
    <w:p>
      <w:pPr>
        <w:pStyle w:val="Heading2"/>
      </w:pPr>
      <w:r>
        <w:t xml:space="preserve">Qué tiene que pasar para que la tesis funcione</w:t>
      </w:r>
    </w:p>
    <w:p>
      <w:pPr>
        <w:spacing w:after="100"/>
      </w:pPr>
      <w:r>
        <w:t xml:space="preserve">La tesis de valor depende de que el crecimiento se modere al 7-9 % anual a partir de 2027, como indican la cartera (+5,6 %) y el consenso [18, 56]. La señal de que no se cumple sería una contratación sostenida muy por encima de los ingresos: un book-to-bill por encima de 1,2 dos trimestres más y una cartera creciendo a doble dígito, con una guía de 2027 por encima del 12 %. A 12 meses, lo que mueve la señal es el precio: por encima de 675,88 USD pasaría a Vender.</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neto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 (3T26); 1,13x (2T26); 0,88x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1,2x dos trimestres más (contra la tesis de valor) o &lt;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12-24 meses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crecimiento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crecimiento de doble dígito contradiría la desaceleración del caso base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reembolsados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crecimiento y diluyen el margen total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sobre ingresos totales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 o &gt;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utilización del personal y el poder de precios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 M USD (sep-26)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de los ingresos LTM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caída consume caja y señala menos contratos nuevos [18].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frente a la regla a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662,48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675,88 (Vender) o &lt; 342,09 (Comprar)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Límites de la señal.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 / 27,2x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36,8x / 35,1x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August J. Troendle fundó Medpace en Cincinnati en 1992 como CRO de fases II-IV, con un modelo de servicio completo y fuerte peso científico, y la sigue dirigiendo como consejero delegado [1, 21]. Creció casi solo de forma orgánica [21]. En junio de 2011 el fondo CCMP Capital compró el 80 % y en abril de 2014 Cinven adquirió el 100 % por 921,3 M USD, con un préstamo de 530 M USD [21]. Salió a bolsa en el Nasdaq en agosto de 2016 a 23 USD por acción, con 2.300 empleados en 35 países y Cinven aún con un 58 % [21]. Desde entonces los ingresos pasaron de 925,9 M USD en 2020 a 2.530,2 M USD en 2025, impulsados en 2025 por el área metabólica (obesidad) [1, 2]. En 2026 el presidente Jesse Geiger se jubiló, Troendle volvió a asumir ese cargo (President) además del de consejero delegado, y los accionistas demandaron a la empresa por sus declaraciones sobre el book-to-bill [5, 22]. En el tercer trimestre de 2026 la contratación neta volvió a superar a la facturación (873,4 M USD frente a 716,0 M USD) y el consejo aprobó una nueva autorización de recompra de 1.000 M USD hasta 2028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funda Medpace como CRO de fases II-IV con modelo de servicio completo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CCMP Capital compra el 80 % de la empresa (acuerdo del 17 de junio); el resto queda en manos de directivos y antiguos consejeros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Cinven compra el 100 % de Medpace IntermediateCo por 921,3 M USD (1 de abril), con un préstamo a plazo de 530 M USD; Cinven queda con el 75 % y los directivos con el 25 %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a 23 USD por acción (7 millones de acciones nuevas); Cinven conserva cerca del 58 %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pandemia apenas frena el crecimiento: ingresos +7,5 %, de 861,0 a 925,9 M USD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+29,2 %, hasta 1.885,8 M USD, pese a la caída de la financiación biotecnológica de 2022 [2,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2.530,2 M USD (+20,0 %) y margen operativo del 21,1 %; el área metabólica crece un 62,8 % y ya pesa tanto como oncología; 6.200 empleados en 46 países y sin deuda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Book-to-bill de 0,88 en el primer trimestre; demanda colectiva (6 de abril) y demanda derivada (22 de junio) por las declaraciones sobre el book-to-bill; Jesse Geiger deja el cargo de President el 31 de mayo y Troendle lo reasume [5, 8, 22]. En el tercer trimestre, contratación neta de 873,4 M USD (+10,6 %), cartera de 3.167,2 M USD (+5,6 %) y nueva autorización de recompra de 1.000 M USD hasta el 31 de diciembre de 2028, que sustituye a la anterior (527,0 M USD pendientes) [18,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Medpace es una CRO clínica de servicio completo: diseña y ejecuta ensayos de fases I a IV para biotecnológicas, farmacéuticas y fabricantes de productos sanitarios [1]. Su oferta cubre el departamento médico (líderes terapéuticos que diseñan el estudio y tratan con los reguladores), gestión del ensayo con su sistema propio ClinTrak, viabilidad y puesta en marcha, reclutamiento de pacientes, monitorización, asuntos regulatorios, redacción médica, bioestadística, farmacovigilancia, laboratorio central (Cincinnati, Lovaina, Shanghái y Singapur), laboratorio bioanalítico y una clínica de fase I en su campus de Cincinnati [1]. A diferencia de IQVIA, ICON o Fortrea, apenas ofrece provisión funcional de personal (FSP): vende el ensayo entero [1, 21]. Es fuerte en oncología (29,5 % de los ingresos de 2025), metabolismo (29,4 %), sistema nervioso central (10,1 %), cardiología (9,5 %) y antivirales y antiinfecciosos (5,3 %) [1]. Tiene unos 6.600 empleados en 46 países (septiembre de 2026, frente a 6.500 en junio) y factura casi todo (99 %) desde su sociedad estadounidense [1, 7, 18].</w:t>
      </w:r>
    </w:p>
    <w:p>
      <w:pPr>
        <w:pStyle w:val="Heading2"/>
      </w:pPr>
      <w:r>
        <w:t xml:space="preserve">Cómo gana dinero</w:t>
      </w:r>
    </w:p>
    <w:p>
      <w:pPr>
        <w:spacing w:after="100"/>
      </w:pPr>
      <w:r>
        <w:t xml:space="preserve">Cobra contratos individuales de precio fijo o por unidad de servicio, de unos meses a varios años, y reconoce el ingreso por coste incurrido [1]. Los ingresos totales (2.530,2 M USD en 2025) incluyen los gastos que repercute al cliente a coste sin margen, sobre todo pagos a los centros investigadores y viajes: 1.037,5 M USD en 2025, el 41,0 % de los ingresos, frente al 36,5 % en 2024 [1]. Sin ellos, los ingresos netos de servicio fueron unos 1.492,7 M USD y el margen operativo sobre esa base, del 35,8 % (estimación propia: ingresos menos gastos repercutidos) [1]. Por eso el margen operativo publicado (21,1 %) baja cuando crecen los gastos repercutidos aunque el negocio no empeore [1]. En el tercer trimestre de 2026 se vio al revés: los ingresos totales crecieron un 8,5 %, pero los gastos repercutidos solo un 3,8 % (287,3 M USD) y los ingresos netos de servicio un 11,9 % (428,7 M USD, estimación propia), y el margen operativo subió del 21,5 % al 23,1 % [18]. La mayoría de los contratos llevan un anticipo que se cobra al firmar: los cobros anticipados sumaban 854,4 M USD a cierre de 2025 (34 % de los ingresos del año) y 961,9 M USD a 30 de septiembre de 2026, y financian el circulante [1, 18]. El coste es casi todo personal, así que el margen depende de la utilización; el cliente puede cancelar con 30 días de preaviso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Metabolismo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 nervioso central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Antivirales y antiinfecciosos (AVAI)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Oncología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Metabolismo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 nervioso central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Cardiología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Antivirales y antiinfecciosos (AVAI)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 muy biotecnológica: en 2025 el 82 % de los ingresos netos vino de biotecnológicas pequeñas y el 13 % de medianas, que dependen de la financiación externa [1]. Ningún cliente llega al 10 % de los ingresos y los diez primeros suman el 35,1 % [1]. Hay ingresos con partes vinculadas: CinRx, biotecnológica en la que participan el consejero delegado y otros directivos, aportó 45,3 M USD en 2025 (28,3 M en 2024) y LIB Therapeutics 7,9 M USD (43,7 M en 2023) [1]. Los contratos son proyecto a proyecto y cancelables con 30 días de preaviso, aunque el cliente paga el trabajo hecho y el cierre del estudio [1]. Medpace no publica subidas de tarifas; su poder de precios se ve en el margen operativo del 21,1 % frente al 5,4-14,0 % de los grandes rivales en 2025 [1, 23, 30, 31]. El riesgo de crédito se mitiga con los anticipos y las pérdidas por insolvencia han sido inmateriales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(backlog) al cierre,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3.027,2 (dic-25); 3.014,2 (jun-26); 3.167,2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en 2025; +5,6 % interanual a sep-26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los gastos reembolsables; no recoge importes a más de tres años. De la cartera de dic-25, 1.890-1.910 M se esperaban convertir en ingresos en 2026 [1, 7]. Serie: 1.283,2 (2019), 1.541,7 (2020), 1.997,1 (2021), 2.339,6 (2022). Sep-25: 3.000,6 M [3, 4,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adjudicaciones netas,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Brutas menos cancelaciones. Serie: 899,4 (2018), 1.094,4 (2019), 1.175,0 (2020), 1.610,4 (2021), 1.829,5 (2022). 9M26: 2.287,6 M (1.414,2 M en 1S26 y 873,4 M en el 3T26, récord trimestral) frente a 1.910,2 M en 9M25 (+19,8 %) [1, 3, 4, 5,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neto (adjudicaciones netas /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(2025); 0,88x (1T26); 1,13x (2T26); 1,22x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por la empresa sobre ingresos totales; 2024 y 3T26 son estimación propia (2.230,0 / 2.109,1; 873,4 / 716,0) [7, 8, 9,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reembolsados (pass-through), M USD y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 (36,5 %) en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1.037,5 (41,0 %) en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236,8 (2018), 294,3 (2019), 292,8 (2020), 373,1 (2021), 492,7 (2022), 723,1 (2023). 1S26: 615,1 M, 43,5 % de los ingresos; 3T26: 287,3 M, 40,1 %; 9M26: 902,4 M, 42,4 % [1, 3, 4, 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netos de servicio (estimación propia: totales menos reembolsados),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1.492,7 (2025); LTM sep-26: 1.614,9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467,8 (2018), 566,7 (2019), 633,2 (2020), 769,2 (2021), 967,3 (2022), 1.162,8 (2023). 3T26: 428,7 M (+11,9 %). La empresa no publica esta cifra; sale de la cuenta de resultados [1, 3, 4, 7,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conversión de la cartera (ingresos del trimestre / cartera inicial)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4T25: 23,6 %; 1T26: 23,3 %; 2T26: 24,1 % [7, 8, 9, 10, 18].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diez primeros clientes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(2022)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p.p. aprox.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cliente supera el 10 %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desarrollo clínico externalizado (fases I-IV y laboratorio asociado), mundial y sin el preclínico [1]. IQVIA estima que en 2025 el gasto biofarmacéutico en desarrollo fue de unos 199.000 M USD, de los que 159.000 M USD eran gasto clínico y unos 75.000 M USD se externalizaron [23]. Fortrea prevé un gasto clínico de fases I-IV de unos 145.000 M USD en 2026 [29]. El nicho de Medpace, el servicio completo para biotecnológicas pequeñas y medianas, no tiene serie pública: en su folleto de 2016 la empresa lo estimaba en unos 7.000 M USD en 2014 (el 69 % de su gasto en desarrollo se externalizaba) [21]. Usamos la serie de IQVIA del gasto total en desarrollo, porque en 2024 IQVIA amplió el perímetro del gasto clínico (de 99.000 a 155.000 M USD) y la serie externalizada no es homogénea [27, 28]. La CR5 del 44,2 % es estimación propia: ingresos de 2025 de la división de ensayos de IQVIA, ICON, la investigación clínica de Thermo Fisher y Fortrea, más Syneos con su último dato (2022), sobre los 75.000 M USD externalizados [23, 29, 30, 31,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75.000 M USD de desarrollo clínico externalizado en 2025, sobre 159.000 M USD de gasto clínico y 199.000 M USD de gasto total en desarrollo [23]; Fortrea estima 145.000 M USD de gasto clínico de fases I-IV en 2026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gasto biofarmacéutico mundial en desarrollo de fármacos (estimación de IQV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 (capital riesgo, salidas a bolsa, ampliaciones)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clave para Medpace, con el 95 % de sus ingresos en biotecnológicas pequeñas y medianas [1]. La financiación de biotecnológicas de EE. UU. y Europa cayó de 121.074 M USD en 2021 a 55.274 M USD en 2022 y fue de 68.450 M USD en 2025; el capital riesgo bajó un 17 %, hasta 20.600 M USD, y el 33 % de las biotecnológicas emergentes tenía menos de un año de caja a cierre de 2025 [35]. Las salidas a bolsa se reactivan en 2026 (Kailera, 718 M USD en abril)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de la industria y tasa de externalización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desarrollo pasó de 130.000 M USD en 2020 a 150.000 M en 2021, 160.000 M en 2022, 184.000 M en 2023 y 199.000 M USD en 2025 según IQVIA, un 8,9 % anual [23, 24, 25, 26, 27]; el I+D de las grandes farmacéuticas crecerá un 4-5 % anual en 2025-2030 según Fortrea [29]. La parte externalizada del gasto clínico accesible fue del 48 % en 2020 y del 47 % en 2025, con el perímetro nuevo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metabolismo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metabólicos de Medpace crecieron un 62,8 % en 2025, de 457,5 a 745,0 M USD, y explican el 68 % del crecimiento del año [1]. El capital riesgo premia los activos de esta área: Kailera, con un GLP-1/GIP en fase 3, levantó 600 M USD en serie B en 2025 [35]. Concentra riesgo: el 29,4 % de los ingresos de Medpace depende de un área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y retrasos de los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pueden cancelar con 30 días de preaviso [1]. El book-to-bill neto de Medpace cayó a 0,90 en el primer trimestre de 2025 y a 0,88 en el de 2026, y se recuperó a 1,04 en el cuarto de 2025, 1,13 en el segundo de 2026 y 1,22 en el tercero (estimación propia: 873,4 M USD de contratación neta entre 716,0 M USD de ingresos; la empresa ya no publica el ratio en el comunicado) [7, 8, 9, 18]; la cartera creció solo un 4,3 % en 2025, frente al 20,0 % de los ingresos, y un 5,6 % interanual a septiembre de 2026, frente al 16,9 % de los ingresos de los nueve meses [1,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Política sanitaria de EE. UU. (precios de nación más favorecida, aranceles, NIH)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administración firmó 17 acuerdos de precio de nación más favorecida con grandes farmacéuticas a cambio de aplazar los aranceles de la sección 232, y la industria comprometió unos 370.000 M USD de inversión en EE. UU.; las convocatorias de los NIH cayeron en 2025 y el presupuesto de 2027 propone más recortes [35]. Presiona los márgenes de los clientes y la financiación pública de las biotecnológicas en fase temprana.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como fuente de moléculas y Ley Biosecure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39 % del gasto de licencias de EE. UU. (biobucks) fue a China en 2025; la Ley Biosecure, firmada el 18 de diciembre de 2025, limita el acceso a fondos estadounidenses de biotecnológicas y fabricantes chinos señalados por el Pentágono [35]. Medpace tiene un laboratorio central en Shanghái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grupo reducido de CRO globales compite por los mismos concursos y por precio cuando la demanda flojea: en 2025 el margen operativo fue del 21,1 % en Medpace, del 13,4 % en IQVIA, del 14,0 % en el segmento de Thermo Fisher que incluye PPD, del 5,4 % en ICON y del −32,0 % en Fortrea [1, 23, 29, 30,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concentran su gasto en pocos socios, pero los clientes de Medpace son biotecnológicas pequeñas sin equipos clínicos propios: ningún cliente llega al 10 % de sus ingresos y los diez primeros suman el 35,1 % [1]. Todos pueden cancelar con 30 días de preaviso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personal cualificado (médicos, doctores, monitores) y el acceso a centros e investigadores; Medpace destaca la competencia por ese personal como riesgo y cubrió el 75 % de sus nuevos puestos directivos con promoción interna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cientos de CRO pequeñas y especializadas, pero llegar a escala global exige experiencia terapéutica, infraestructura y capacidad regulatoria en muchos países, barreras que la propia Medpace cita [1]; las nuevas CRO chinas topan con la Ley Biosecure en EE. UU. [35].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hacer el ensayo en casa, algo poco viable para biotecnológicas pequeñas; Medpace estimaba en 2016 que estas externalizaban el 69 % de su gasto en desarrollo [21]. En el conjunto del mercado la externalización ronda la mitad del gasto clínico desde 2020 [23, 24].</w:t>
            </w:r>
          </w:p>
        </w:tc>
      </w:tr>
    </w:tbl>
    <w:p>
      <w:pPr>
        <w:spacing w:after="160" w:before="0"/>
      </w:pPr>
    </w:p>
    <w:p>
      <w:pPr>
        <w:pStyle w:val="Heading2"/>
      </w:pPr>
      <w:r>
        <w:t xml:space="preserve">Ciclo</w:t>
      </w:r>
    </w:p>
    <w:p>
      <w:pPr>
        <w:spacing w:after="100"/>
      </w:pPr>
      <w:r>
        <w:t xml:space="preserve">El book-to-bill de Medpace tocó fondo en 0,90 en el primer trimestre de 2025 y en 0,88 en el de 2026, y volvió a 1,13 en el segundo trimestre de 2026 y a 1,22 en el tercero (estimación propia), con una contratación neta un 10,6 % mayor que un año antes [7, 8, 18]; la financiación biotecnológica de 2025 (68.450 M USD) seguía lejos de los 121.074 M de 2021 [35]. El sector es poco cíclico: ICON creció un 2,6 % en 2009 [34] y Medpace un 7,5 % en 2020 [2]. El bache de 2022-2024 golpeó a las biotecnológicas (financiación −54 % en 2022) [35], pero Medpace creció un 29,2 % en 2023 y un 11,8 % en 2024 por su cartera previa [2].</w:t>
      </w:r>
    </w:p>
    <w:p>
      <w:pPr>
        <w:pStyle w:val="Heading2"/>
      </w:pPr>
      <w:r>
        <w:t xml:space="preserve">Regulación</w:t>
      </w:r>
    </w:p>
    <w:p>
      <w:pPr>
        <w:spacing w:after="100"/>
      </w:pPr>
      <w:r>
        <w:t xml:space="preserve">Los ensayos exigen autorización previa (IND ante la FDA, equivalentes en la EMA, la MHRA y otros) y se rigen por las buenas prácticas clínicas; un incumplimiento puede invalidar datos o suspender ensayos [1]. La nueva guía ICH E6(R3) de buena práctica clínica, con más enfoque en riesgos y cabida para ensayos descentralizados, rige en la UE desde el 23 de julio de 2025 y su anexo 2 desde el 15 de enero de 2027 [36]. En EE. UU. pesan sobre los clientes los acuerdos de nación más favorecida, los aranceles farmacéuticos de la sección 232 y los recortes en los NIH; la Ley Biosecure (18 de diciembre de 2025) restringe a proveedores chinos señalados [35]. Medpace está sujeta a HIPAA y al RGPD por los datos de pacientes [1].</w:t>
      </w:r>
    </w:p>
    <w:p>
      <w:pPr>
        <w:pStyle w:val="Heading2"/>
      </w:pPr>
      <w:r>
        <w:t xml:space="preserve">Tendencias y disrupción</w:t>
      </w:r>
    </w:p>
    <w:p>
      <w:pPr>
        <w:spacing w:after="100"/>
      </w:pPr>
      <w:r>
        <w:t xml:space="preserve">Tres cambios mueven el sector. Primero, la IA y los datos aplicados a la selección de centros y al reclutamiento: IQVIA parte con ventaja con más de 1.200 millones de historiales anonimizados [23]. Segundo, los ensayos descentralizados e híbridos y la monitorización basada en riesgos, que ICH E6(R3) ampara [1, 36]; Medpace ya hace monitorización remota y basada en riesgos [1]. Tercero, el paso de parte del gasto de las grandes farmacéuticas al modelo funcional (FSP), que da menos margen [29]: Medpace no compite ahí y depende del servicio completo para biotecnológicas [1]. A más largo plazo, China gana peso como origen de moléculas licenciadas por empresas de EE. UU. [35].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CRO clínica mediana: por ingresos va detrás de IQVIA, ICON, PPD (Thermo Fisher), Syneos y Fortrea entre las que publican cifras, con cerca del 3,4 % del desarrollo clínico externalizado (estimación propia: 2.530 M USD sobre los 75.000 M USD de IQVIA [1, 23]); en su nicho, el servicio completo para biotecnológicas pequeñas y medianas, es probablemente líder, pero no hay cifra pública de cuota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 (Research &amp; Development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del grupo; la cuota se calcula solo con la división de ensayos, que de ensayos facturó 8.896 M USD (+4,3 %) con un beneficio de segmento de 1.873 M USD y una cartera de 32.700 M USD [23]. Compite con datos sanitarios y tecnología propios, sobre todo en grandes farmacéuticas.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ICLR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+0,8 % en 2025; el margen operativo cae del 12,6 % al 5,4 % por deterioros [30]. Servicio completo y FSP, con más peso de grandes farmacéuticas.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(PPD, investigación clínica)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investigación clínica (+1,0 %); el margen es el del segmento de productos de laboratorio y servicios biofarmacéuticos que la incluye [31]. Vende el ensayo junto a fabricación y logística de material clínico.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Syneos Health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 2022, las últimas que presentó en la SEC antes de su exclusión de bolsa [33]. Combina CRO y servicios comerciales.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Escindida de Labcorp en 2023; el resultado operativo de −872,6 M USD incluye deterioros [29]. Compite en precio y en FSP, con cartera de 7.700 M USD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 River Laboratories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del preclínico, un mercado donde Medpace apenas está; el margen recoge 376 M USD de deterioros de fondo de comercio e intangibles [32].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cada ensayo se contrata por separado y la base de clientes está atomizada (ningún cliente llega al 10 % de los ingresos)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ensayo en marcha casi nunca cambia de CRO, y la cartera de 3.027 M USD cubría 1,2 veces los ingresos de 2025; a 30 de septiembre de 2026 era de 3.167,2 M USD, con una conversión trimestral del 23,8 % [1, 23]. Pero el cliente puede cancelar con 30 días de preaviso y el book-to-bill bajó a 0,88 en el primer trimestre de 2026 antes de volver a 1,22 en el tercero (estimación propia) [1, 5, 23].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protege como secreto comercial su sistema ClinTrak y su metodología [1]. Su reputación entre biotecnológicas se ve en el crecimiento: ingresos ×2,7 entre 2020 y 2025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21,1 % en 2025, frente al 13,4 % de IQVIA, el 14,0 % del segmento de Thermo Fisher, el 5,4 % de ICON y el 7,5 % de Syneos en 2022 [1, 9, 17, 16, 19]; en su salida a bolsa la empresa declaraba un margen EBITDA ajustado medio de cerca del 34 % en los quince años anteriores [2]. Lo explica un modelo estandarizado de servicio completo, sin FSP de bajo margen.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 por detrás de IQVIA, ICON, PPD, Syneos y Fortrea entre las CRO que publican cifras, con unos 6.600 empleados frente a los 40.100 de ICON; tiene escala suficiente para fases III globales en 46 países, pero no domina el mercado [23, 16, 1].</w:t>
            </w:r>
          </w:p>
        </w:tc>
      </w:tr>
    </w:tbl>
    <w:p>
      <w:pPr>
        <w:spacing w:after="160" w:before="0"/>
      </w:pPr>
    </w:p>
    <w:p>
      <w:pPr>
        <w:pStyle w:val="Heading2"/>
      </w:pPr>
      <w:r>
        <w:t xml:space="preserve">Amenazas</w:t>
      </w:r>
    </w:p>
    <w:p>
      <w:pPr>
        <w:spacing w:after="100"/>
      </w:pPr>
      <w:r>
        <w:t xml:space="preserve">La amenaza principal es la dependencia de la financiación biotecnológica: el 95 % de los ingresos viene de biotecnológicas pequeñas y medianas y un tercio de las emergentes tenía menos de un año de caja a cierre de 2025 [1, 35]. Probabilidad media: el capital riesgo cayó un 17 % en 2025 [35]. Segunda, la concentración en obesidad: el área metabólica creció un 62,8 % y ya es el 29,4 % de los ingresos; una caída del interés por los GLP-1 o la consolidación en pocos ganadores la frenaría [1]. Tercera, la credibilidad de las cifras de cartera tras la demanda colectiva de 2026 sobre el book-to-bill [5]. Cuarta, que las grandes CRO bajen precios para ganar biotecnológicas medianas (ICON y Fortrea tienen márgenes de entre −32 % y 5 %) [29,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2018-2025: ingresos </w:t>
      </w:r>
      <w:r>
        <w:rPr>
          <w:b/>
          <w:bCs/>
        </w:rPr>
        <w:t xml:space="preserve">20,0 %</w:t>
      </w:r>
      <w:r>
        <w:t xml:space="preserve">, EBITDA </w:t>
      </w:r>
      <w:r>
        <w:rPr>
          <w:b/>
          <w:bCs/>
        </w:rPr>
        <w:t xml:space="preserve">22,0 %</w:t>
      </w:r>
      <w:r>
        <w:t xml:space="preserve">, BPA </w:t>
      </w:r>
      <w:r>
        <w:rPr>
          <w:b/>
          <w:bCs/>
        </w:rPr>
        <w:t xml:space="preserve">34,0 %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Medpace ha multiplicado por 3,6 sus ingresos totales entre 2018 y 2025 (de 704,6 a 2.530,2 M USD; TCAC del 20 %) sin compras relevantes: el fondo de comercio está en 662,4 M desde 2019 [1, 2]. </w:t>
      </w:r>
      <w:r>
        <w:rPr>
          <w:b/>
        </w:rPr>
        <w:t xml:space="preserve">Los ingresos totales incluyen los gastos reembolsados</w:t>
      </w:r>
      <w:r>
        <w:t xml:space="preserve"> (pagos a investigadores, viajes y otros costes por cuenta del cliente), que se facturan a coste y sin margen: 1.037,5 M en 2025 (41 % de los ingresos) frente a 236,8 M en 2018 (34 %) [1, 4]. Por eso el coste de ventas de la tabla son los costes directos totales: costes directos propios (732,1 M en 2025) más reembolsados (1.037,5 M). Sobre ingresos totales, el margen EBITDA pasa del 19,8 % de 2018 al 22,3 % de 2025; sobre ingresos netos de servicio (estimación propia: totales menos reembolsados, 1.492,7 M en 2025) sería del 37,7 %, frente al 35,6 % de 2024. Es decir: en 2025 el margen total bajó (22,6 % en 2024) solo porque los reembolsos crecieron un 34,6 %, mientras los costes directos propios subieron un 7,3 % con unos ingresos netos de servicio que crecieron un 11,5 % [1]. La amortización de intangibles de la compra por Cinven (2014) casi ha desaparecido (de 29,6 M en 2018 a 0,9 M en 2025), lo que hace que el EBIT crezca más que el EBITDA en 2018-2021 [2]. Se omiten 2016-2017: antes de la ASC 606 (2018) los ingresos se reconocían con otro criterio (436,2 M en 2017 frente a 704,6 M en 2018) y no son comparables [2].</w:t>
      </w:r>
    </w:p>
    <w:p>
      <w:pPr>
        <w:pStyle w:val="Heading2"/>
      </w:pPr>
      <w:r>
        <w:t xml:space="preserve">Ajustes y partidas no recurrentes</w:t>
      </w:r>
    </w:p>
    <w:p>
      <w:pPr>
        <w:spacing w:after="100"/>
      </w:pPr>
      <w:r>
        <w:t xml:space="preserve">Cifras reportadas US GAAP. El EBITDA de la tabla es EBIT más depreciación y amortización (563,1 M en 2025). El EBITDA no GAAP de la empresa parte del beneficio neto y solo descuenta los ingresos financieros netos, de modo que incluye diferencias de cambio y otros resultados: 557,7 M en 2025 y 480,2 M en 2024 [9]; la diferencia con la tabla es de −5,3 M en 2025 y +4,1 M en 2024. La empresa no excluye la remuneración en acciones (34,8 M en 2025, 1,4 % de los ingresos; 25,5 M en 2024; 20,5 M en 2023) [1]. No hay deterioros, reestructuraciones ni partidas no recurrentes dentro del EBITDA. El LTM a sep-26 (ingresos 2.838,4 M; EBIT 607,1 M; EBITDA 634,4 M como EBIT más amortizaciones, frente a 635,1 M con la definición de la empresa; beneficio neto 517,8 M; BPA 17,02 + 13,37 − 10,64 = 18,01 USD; FCF 667,6 M = flujo operativo 723,0 M − capex 55,5 M) es 2025 + 9M26 − 9M25 [1, 18]. En 9M26 la remuneración en acciones fue de 16,9 M frente a 29,2 M en 9M25: la caída se concentró en 1S26 (9,3 M frente a 22,8 M), mientras que en el 3T26 volvió a un nivel normal (7,6 M frente a 6,4 M) [5, 7, 18]; el SG&amp;A de 9M26 (147,8 M) es inferior al de 9M25 (152,6 M) y el margen del LTM está algo favorecido por ello. Los gastos financieros de 2020-2025 son los intereses pagados del estado de flujos, porque la cuenta solo publica el neto financiero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trimestral según la definición de la empresa (incluye diferencias de cambio); crecimiento orgánico = a tipo de cambio constante, publicado solo en 2026 (no hay compras) [7, 8, 9, 10, 18]. Los crecimientos de 4T24 a 2T25 son estimación propia con los trimestres de 2023-2024 de los 10-Q [2]. Medpace batió el BPA de consenso en los ocho trimestres: 3,67 frente a 2,96 USD (4T24), 3,67 frente a 3,06 (1T25), 3,10 frente a 3,00 (2T25), 3,86 frente a 3,50 (3T25), 4,67 frente a 4,18 (4T25), 4,28 frente a 3,74 (1T26), 4,25 frente a 3,98 (2T26) y 4,84 frente a 4,44 (3T26), según el consenso previo que recoge MarketBeat [11, 12, 13, 14, 15, 16, 17, 20]. En el 3T26 los ingresos (716,0 M) quedaron en línea con el consenso (714,5 M) [20].</w:t>
      </w:r>
    </w:p>
    <w:p>
      <w:pPr>
        <w:spacing w:after="100"/>
      </w:pPr>
      <w:r>
        <w:rPr>
          <w:b/>
        </w:rPr>
        <w:t xml:space="preserve">1T26 (22-abr-26).</w:t>
      </w:r>
      <w:r>
        <w:t xml:space="preserve"> Ingresos +26,5 %, pero book-to-bill de solo 0,88x: el primer ejecutivo, August Troendle, dijo que las cancelaciones de cartera estaban en su punto más alto en más de un año, sobre todo en oncología y cardiovascular, y las atribuyó a causas «random», no a falta de financiación; las peticiones de oferta bajaron trimestre a trimestre y año a año. Mantuvo la guía 2026 y anunció la salida del presidente, Jesse Geiger, tras 18,5 años; Troendle reasume la presidencia sin sucesor a corto plazo [8, 11]. Las cancelaciones y el book-to-bill coparon las preguntas; Baird insistió en la menor cobertura de la cartera más allá de doce meses [11].</w:t>
      </w:r>
    </w:p>
    <w:p>
      <w:pPr>
        <w:spacing w:after="100"/>
      </w:pPr>
      <w:r>
        <w:rPr>
          <w:b/>
        </w:rPr>
        <w:t xml:space="preserve">2T26 (23-jul-26).</w:t>
      </w:r>
      <w:r>
        <w:t xml:space="preserve"> El tono mejoró: adjudicaciones netas récord de 795,7 M (book-to-bill 1,13x) porque las cancelaciones «came down quite a bit», con peticiones de oferta muy al alza interanual. La guía subió a 2.805-2.885 M de ingresos y 17,25-17,95 USD de BPA, sin recompras adicionales [7, 12]. Señales a vigilar: las adjudicaciones en cardiometabolismo «dropped off quite a bit», la oncología fue más de la mitad de las contrataciones y la dirección prevé reembolsos del 41-42 % de los ingresos en el 2S26. Evitó dar el ritmo de consumo de la cartera, el tamaño de la precartera, la tasa de éxito y la visión de 2027 [12].</w:t>
      </w:r>
    </w:p>
    <w:p>
      <w:pPr>
        <w:spacing w:after="100"/>
      </w:pPr>
      <w:r>
        <w:rPr>
          <w:b/>
        </w:rPr>
        <w:t xml:space="preserve">3T26 (21-oct-26, tras el cierre; la conferencia es el 22-oct, después de la fecha de corte, y no se ha podido leer).</w:t>
      </w:r>
      <w:r>
        <w:t xml:space="preserve"> El crecimiento de los ingresos se frena al 8,5 % (8,6 % a tipo constante), pero por los reembolsos: bajaron al 40,1 % de los ingresos (287,3 M, +3,8 %), mientras los ingresos netos de servicio (estimación propia: 428,7 M) crecieron un 11,9 % [18]. Adjudicaciones netas récord de 873,4 M (+10,6 %; book-to-bill 1,22x) y cartera de 3.167,2 M (+5,6 %), con una conversión del 23,8 % [18]. Margen EBITDA del 24,0 % (22,5 % en el 3T25) y BPA de 4,84 USD (+25 %), ayudado por los ingresos financieros (5,3 M) y por menos acciones [18]. La guía 2026 se estrecha a 2.835-2.855 M de ingresos (mismo punto medio que en julio, 2.845 M) y sube en beneficio: EBITDA de 638-652 M (618-642 M en julio) y BPA de 17,97-18,32 USD (17,25-17,95), con 28,6 M de acciones diluidas y sin recompras posteriores al 30-sep [7, 18]. </w:t>
      </w:r>
      <w:r>
        <w:rPr>
          <w:b/>
        </w:rPr>
        <w:t xml:space="preserve">Lo que implica para el 4T26</w:t>
      </w:r>
      <w:r>
        <w:t xml:space="preserve"> (estimación propia: guía menos 9M26): ingresos de 705-725 M frente a 708,5 M del 4T25 (entre −0,5 % y +2,3 %) y beneficio neto de 131-141 M frente a 135,1 M: la guía apunta a un 4T casi plano, aunque Medpace suele quedarse corta en sus guías. En la sesión ampliada del 21-oct la acción cedía un 1,4 % (652,98 USD) [20].</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de Medpace funciona con circulante muy negativo: los anticipos de clientes («advanced billings») sumaban 854,4 M a dic-25 (904,7 M a jun-26), frente a 402,1 M de clientes y obra pendiente de facturar (441,8 M a jun-26) [1, 7]. Los anticipos han crecido de 147,9 M en 2018 a 854,4 M en 2025, más deprisa que los ingresos (del 21 % al 34 % de las ventas), y son la principal fuente de caja de la empresa [2]. La deuda se amortizó en 2019 y desde entonces la caja oscila con las recompras: cayó a 28,3 M en 2022 (con 50 M dispuestos de la línea de crédito, ya devueltos en 2023) tras recomprar 847,8 M, y bajó de 669,4 M a 497,0 M en 2025 tras 917,4 M [2]. El patrimonio neto (459,1 M a dic-25; 433,9 M a jun-26) es bajo porque las acciones recompradas se amortizan contra reservas, que son negativas en −460,0 M [1, 7]. </w:t>
      </w:r>
      <w:r>
        <w:rPr>
          <w:b/>
        </w:rPr>
        <w:t xml:space="preserve">Para el puente a 30-sep-26:</w:t>
      </w:r>
      <w:r>
        <w:t xml:space="preserve"> caja 705,3 M, sin inversiones a corto ni deuda financiera; anticipos de clientes 961,9 M (+107,5 M en 9M26) frente a 447,6 M de clientes y obra pendiente de facturar; patrimonio neto 584,9 M; 27.966.686 acciones en circulación (sin contar 69.593 en autocartera) [18]. No hubo recompras en el 3T26 y tampoco entre el 1-oct y el 20-oct: la autorización anterior seguía con 527,0 M disponibles cuando el consejo la sustituyó el 20-oct [18, 19]. El inmovilizado material sube de 131,1 M a 175,0 M en nueve meses por las obras en instalaciones [18].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2.787</w:t>
      </w:r>
      <w:r>
        <w:t xml:space="preserve">, conversión </w:t>
      </w:r>
      <w:r>
        <w:rPr>
          <w:b/>
          <w:bCs/>
        </w:rPr>
        <w:t xml:space="preserve">148 %</w:t>
      </w:r>
      <w:r>
        <w:t xml:space="preserve"> del beneficio neto; adquisiciones 0, dividendos 0, recompras 2.240.</w:t>
      </w:r>
    </w:p>
    <w:p>
      <w:pPr>
        <w:spacing w:after="100"/>
      </w:pPr>
      <w:r>
        <w:t xml:space="preserve">La conversión de beneficio en caja es excepcional: el flujo operativo superó al beneficio neto todos los años, con un FCF de 681,9 M en 2025 (151 % del beneficio) y 572,3 M en 2024 (142 %) [1]. La causa es el circulante negativo: los anticipos de clientes aportaron 143,8 M en 2025 y 150,7 M en 2024, y en 2025 además los gastos devengados (+97,1 M) y el impuesto diferido (+80,8 M, con 39,7 M de impuestos pagados frente a 91,3 M de gasto) [1]. Es caja que depende de que sigan entrando contratos: si las adjudicaciones se frenan, los anticipos se consumen. En 9M26 el flujo operativo fue de 530,4 M (520,6 M en 9M25; 216,6 M solo en el 3T26), con los anticipos aportando 107,5 M (123,7 M en 9M25) y el impuesto diferido 28,2 M (63,4 M) [18]: crece poco porque la ayuda del circulante y de los impuestos diferidos se modera, aunque el 3T26 recuperó ritmo (anticipos +57,2 M). El capex es pequeño (1,2 % de los ingresos en 2025), pero sube: 50,9 M en 9M26 frente a 26,8 M en 9M25 (2,4 % de los ingresos), por obras en instalaciones [1, 7, 18]. FCF del LTM a sep-26: 667,6 M, por debajo de los 681,9 M de 2025. La empresa no separa mantenimiento y crecimiento; estimación propia: con una depreciación de 27,2 M, casi todo el capex es de reposición. Las recompras suman 2.239,5 M en 2020-2025, el 91 % del FCF acumulado del periodo (2.464,5 M) [2]. Los pagos de arrendamientos operativos están dentro del flujo operativo (US GAAP).</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y sobre el control interno; asunto clave de auditoría: estimación de los costes pendientes para reconocer los ingresos de los contratos clínicos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es auditor desde 2002 [1]. El riesgo contable principal es el reconocimiento de ingresos por grado de avance: depende de las estimaciones de costes pendientes de cada contrato, y Deloitte lo señala como asunto clave [1]. Los reembolsos se reconocen como ingreso y gasto por el mismo importe, lo que no afecta al beneficio pero sí a los márgenes y al crecimiento aparente (en 2025 explican 266,8 M de los 421,2 M de aumento de los ingresos) [1]. No se activan gastos de desarrollo ni intereses relevantes. La remuneración en acciones es moderada (34,8 M en 2025, el 7,7 % del beneficio neto) [1], pero cayó a 9,3 M en 1S26 frente a 22,8 M en 1S25 sin explicación detallada en el 10-Q; coincide con la salida del presidente, aunque atribuirlo a la baja de sus opciones y acciones restringidas es una hipótesis propia no confirmada [5, 7, 8]. En el 3T26 volvió a un nivel normal (7,6 M frente a 6,4 M en el 3T25), lo que apunta a un efecto puntual del 1S26 [18]. La diferencia entre impuesto contable y pagado es grande y cambia de signo: en 2025 el gasto fue de 91,3 M y el pago de 39,7 M, con un impuesto diferido de +80,8 M que consume el activo por anticipos de clientes (de 127,1 M a 15,0 M) [1]. El fondo de comercio (662,4 M) procede de la compra por Cinven en 2014 y nunca se ha deteriorado. El circulante negativo hará que Altman y Beneish den lecturas poco útiles: los anticipos de clientes deprimen el capital circulante sin indicar estrés.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y alquileres con partes vinculadas al primer ejecutivo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LIB Therapeutics y CinRx (53,2 M en 2025, 2,1 %), sede alquilada a sociedades del primer ejecutivo y su familia, hotel y vuelos privados controlados por él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remuneración en acciones en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 M frente a 22,8 M en 1S25; mejora el SG&amp;A en 12,9 M y el margen del LTM. En el 3T26, 7,6 M (6,4 M en el 3T25): no se repite [5, 7,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inflados por reembolsos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41 % de los ingresos de 2025 y el 42,4 % de los de 9M26 son costes reembolsados a margen cero; el crecimiento de los ingresos totales sobrestima el del negocio propio en 2025-1S26 y lo subestima en el 3T26 (+8,5 % total frente a +11,9 % neto de reembolsos) [1, 7,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apoyado en anticipos y en impuestos diferidos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2025, anticipos +143,8 M e impuesto diferido +80,8 M; en 9M26, +107,5 M y +28,2 M [1, 18].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662 M en 2025 (el 1.121 % del capital invertido medio); ha subido más de un 5 % en 0 de 7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11,1 %.</w:t>
      </w:r>
    </w:p>
    <w:p>
      <w:pPr>
        <w:spacing w:after="100"/>
      </w:pPr>
      <w:r>
        <w:t xml:space="preserve">Medpace crea valor con holgura desde hace años, pero su ROIC de 2025 (752,7 %) no es una medida útil: el capital invertido es casi nulo (59 M USD) porque los anticipos de clientes (854,4 M) financian todo el circulante y las recompras (2.240 M en 2018-2025) han dejado el patrimonio neto en 459,1 M con reservas negativas [1, 2]. La serie limpia es la de los años con capital positivo apreciable: un ROIC del 11,6 % en 2018, cerca del WACC (11,22 %), que sube al 35,1 % en 2021 y al 78,6 % en 2023 a medida que crece el margen EBITDA (del 19,8 % al 22,3 %) y los anticipos sustituyen al capital propio. El ROE de 2025 (70,2 %) también está inflado por el patrimonio reducido. Lo relevante es que el crecimiento no consume capital: la reinversión neta de la proyección es negativa (−225 M), así que el valor depende del margen y del crecimiento, no de cuánto invierta. Frente a sus rivales, el ROIC de IQVIA (9,8 %), Thermo Fisher (8,8 %) y Charles River (8,6 %) está por debajo del WACC, lastrado por el fondo de comercio de sus compras, y el de ICON (0,7 %) por el deterioro de 2025 [76]. El ROIC incremental del motor no se puede calcular con un capital invertido que se acerca a cero.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497,0 M a dic-25, 502,7 M a 30-jun-26 y 705,3 M a 30-sep-26, sin inversiones financieras a corto ni deuda [1, 7, 18]; línea de crédito no garantizada de 10,0 M, sin disponer, que vence el 30-abr-27 (SOFR + 100 p.b.) [1, 5, 7]. Solo 21,2 M de la caja de dic-25 estaba en filiales extranjeras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financiera ni bonos emitidos [1, 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covenants relevantes: la única financiación es la línea de 10 M, con covenants habituales que se cumplían a dic-25 [1]. Arrendamientos operativos de 144,1 M a jun-26 (136,9 M a dic-25; el pasivo a largo plazo sube a 146,0 M a sep-26, desde 113,6 M, con activos por derecho de uso de 152,5 M) [18], en buena parte oficinas de la sede de Cincinnati alquiladas a sociedades del primer ejecutivo y su familia (pasivos de 84,2 M a dic-25 entre los cuatro contratos vinculados) [1, 5]; en US GAAP no van a la deuda. No hay planes de pensiones de prestación definida, solo de aportación definida [1]. Otros pasivos a largo plazo de 57,7 M (dic-25), que incluyen posiciones fiscales inciertas con 8,3 M de intereses y sanciones reconocidos [1]. Gastos devengados de 408,4 M (dic-25), 451,1 M (jun-26) y 443,3 M (sep-26), que crecen con los costes reembolsables [1, 7, 18]. No hay litigios materiales ni pagos aplazados por compras [1].</w:t>
      </w:r>
    </w:p>
    <w:p>
      <w:pPr>
        <w:pStyle w:val="Heading1"/>
      </w:pPr>
      <w:r>
        <w:t xml:space="preserve">12. Asignación de capital</w:t>
      </w:r>
    </w:p>
    <w:p>
      <w:pPr>
        <w:pStyle w:val="Confianza"/>
        <w:spacing w:after="100"/>
      </w:pPr>
      <w:r>
        <w:t xml:space="preserve">Confianza: Alta</w:t>
      </w:r>
    </w:p>
    <w:p>
      <w:pPr>
        <w:spacing w:after="100"/>
      </w:pPr>
      <w:r>
        <w:t xml:space="preserve">Medpace no paga dividendos y dedica la caja libre a recomprar acciones [1]. El programa actual se aprobó en 2022 y se ha ampliado varias veces; quedaban 821,7 M disponibles a dic-25 y 527,0 M a jun-26 y a sep-26 [1, 7, 18]. El 20-oct-26 el consejo canceló esa autorización (vencía el 31-dic-26) y aprobó otra de hasta 1.000 M USD hasta el 31-dic-28, a discreción de la dirección y pagada con la caja [18, 19]. Las recompras se hacen en mercado abierto o de forma negociada, con planes 10b5-1, y las acciones se amortizan [1]. Son oportunistas: 2.961.924 acciones por 912,9 M en 2025, todas en los nueve primeros meses (ninguna en 4T25 ni en 1T26), y 705.616 por 294,7 M en 2T26; ninguna en el 3T26 [1, 6, 7, 10, 18]. La dirección cita como prioridades de uso de la caja la inversión en crecimiento orgánico, el capex, las recompras y adquisiciones complementarias «highly selective» [1]. La guía 2026 de octubre supone 28,6 M de acciones diluidas y no incluye recompras posteriores al 30-sep-26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En diez años Medpace no ha hecho adquisiciones relevantes: el fondo de comercio solo subió 1,4 M en 2019 y toda la expansión ha sido orgánica [2]. La asignación de capital se resume en recompras: 2.239,5 M entre 2020 y 2025, el 91 % del FCF acumulado (2.464,5 M), más 294,7 M en 1S26 y nada en el 3T26 [2, 7, 18]. Las acciones diluidas medias han bajado de 37,7 M en 2020-2021 a 29,5 M en 2025, 28,6 M en 2T26 y 28,4 M en el 3T26 (−25 %), lo que explica que el BPA creciera un 32 % anual entre 2020 y 2025 frente al 25 % del beneficio neto [2, 7, 18]. Hay compras concentradas a precios distintos: 5.691.491 acciones por 847,7 M en 2022 (≈149 USD de media), 781.068 por 144,0 M en 2023 (≈184 USD), 527.160 por 174,2 M en 2024 (≈330 USD), 2.961.924 por 912,9 M en 2025 (≈308 USD) y 705.616 por 294,7 M en 2T26 (≈418 USD) [1, 3, 5]. En 2022 llegó a disponer 50 M de la línea de crédito para recomprar. Con 705,3 M de caja a sep-26 y la nueva autorización de 1.000 M, la empresa tiene margen para otra tanda de recompras como la de 2025 [18, 19]. La remuneración en acciones (34,8 M en 2025) absorbe una parte pequeña de las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del consejo y consejero delegado (CEO); de nuevo President (presidente operativo) interino desde el 31-may-2026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Médico; fue revisor médico en la FDA (1986-1987) y responsable de desarrollo clínico de hipolipemiantes en Sandoz (1987-1992) antes de fundar Medpace en 1992 [37]. Con él al frente, las ventas pasaron de 861,0 M USD en 2019 a 2.530,2 M en 2025 y el BPA diluido de 3,84 USD en 2020 a 15,28 USD en 2025 [9, 48]; la acción salió a bolsa en agosto de 2016 a 23 USD [37] y cerró a 662,48 USD el 21-oct-2026. Tiene 69 años; su 19,1 % incluye las 4.733.019 acciones de Medpace Investors y 274.187 opciones; sin opciones controla un 18,2 % de las 27,9 M de acciones (estimación propia) [45].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M. Brady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Medpace en noviembre de 2018 como director ejecutivo de Finanzas; tesorero desde 2019 y CFO desde el 1-ago-2021. Antes, controller de Assurex Health y vicepresidente de Finanzas de Myriad Genetics, once años en Procter &amp; Gamble y auditoría en Ernst &amp; Young [37]. Con él de CFO, la empresa superó la guía inicial de BPA todos los años de 2022 a 2025 [9, 50, 51, 52, 53].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E. Burwig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Operaciones (comparte la dirección operativa con Brad Hansman)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Medpace desde agosto de 1993; vicepresidenta sénior de Operaciones Clínicas entre 2003 y 2015 y vicepresidenta ejecutiva de Operaciones desde enero de 2017. Enfermera de formación. Cobró en 2025 el bonus máximo (70 % del salario) y convive con el CEO, según el proxy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Brad W. Hansman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Medpace desde abril de 2011, primero en Finanzas y desde 2015 al frente de puesta en marcha de estudios, logística, asuntos regulatorios y redacción médica. Antes, supervisor de auditoría en Joseph Decosimo &amp; Company. Tiene 43 años y un salario de 492.250 USD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P. Ewald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Secretario general (General Counsel) y del consejo; dirige Recursos Humanos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antes de Medpace fue director jurídico de Brevet Capital Management, director en Cantor Fitzgerald y pasó diez años en Bank of America. Lleva Recursos Humanos desde 2017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Jesse J. Geiger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 (presidente operativo) hasta el 31-may-2026; jubilado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Medpace desde 2007, fue CFO entre 2011 y 2014, director operativo de Laboratorios y President desde agosto de 2021 [37]. Anunció su retirada el 21-abr-2026, sin desacuerdos según la empresa [22], y vendió 76.238 acciones por 41,1 M USD en los 12 meses anteriores al corte [43].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975,0-1.005,0 M USD; BPA diluido de 3,24-3,34 USD (febrero de 2020, antes de la COVID-19) [48]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925,9 M USD (−5,0 % frente al mínimo); BPA de 3,84 USD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1.075-1.175 M USD; BPA de 4,08-4,50 USD [49]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1.142,4 M USD (dentro del rango); BPA de 4,81 USD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1.400-1.460 M USD; BPA de 5,35-5,67 USD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1.460,0 M USD (techo del rango); BPA de 7,28 USD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1.690-1.750 M USD; BPA de 7,53-8,14 USD [51]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1.885,8 M USD; BPA de 8,88 USD [52]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2.150-2.200 M USD; BPA de 10,18-10,87 USD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2.109,1 M USD (−1,9 % frente al mínimo); BPA de 12,63 USD [53]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2.110-2.210 M USD; BPA de 11,93-12,69 USD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2.530,2 M USD (+14,5 % sobre el máximo); BPA de 15,28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2.755-2.855 M USD; BPA de 16,68-17,50 USD (febrero de 2026)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en julio la subió a 2.805-2.885 M USD de ventas y 17,25-17,95 USD de BPA [7]; el 21-oct estrechó las ventas a 2.835-2.855 M (mismo punto medio) y volvió a subir el BPA a 17,97-18,32 USD, tras un BPA de 13,37 USD en nueve meses (+25,7 %) [18]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creíble con sus cifras: en seis ejercicios (2020-2025) superó siempre la guía inicial de BPA, y en 2026 la ha subido dos veces, hasta 17,97-18,32 USD, un 6,2 % sobre el punto medio de febrero [9, 18] y solo falló la de ventas en 2020, por la pandemia, y en 2024, un 1,9 % por debajo del mínimo [9, 48, 49, 50, 51, 52, 53]; el bonus depende de esa misma guía, lo que da un incentivo a fijarla prudente [37]. El riesgo está en la sucesión. Troendle, de 69 años, es fundador, presidente y CEO desde 1992, y la empresa admite en su 10-K que depende de él [1]. El President Jesse Geiger, el sucesor natural, se jubiló en mayo de 2026 y Troendle recuperó el cargo sin nombrar sustituto [22]; la dirección operativa se reparte ahora entre Burwig, de 63 años, y Hansman, de 43 [41]. El proxy no describe un plan de sucesión [37]. Además, la cúpula vende: Troendle se ha desprendido de 358,5 M USD en acciones en 12 meses [43].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 (CEO);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 B. Davenport, Jr.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 desde octubre de 2018)</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T. Carley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experto financiero);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O. Kraft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Cornelius P. McCarthy III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Femida H. Gwadry-Sridhar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Dani S. Zander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sustituyó en julio de 2024 a Ashley Keating [42]</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y sobre el control interno; asunto clave de auditoría: estimación de los costes pendientes para reconocer los ingresos de los contratos clínicos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467,02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August J. Troendle (directo, fideicomiso y Medpace Investors,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5.653.390 acciones (19,6 %, marzo de 2026) a 5.396.508 (19,1 %, 24-sep-2026, con 274.187 opciones ejercitables) tras vender 586.377 acciones en 12 meses; las 4.733.019 de Medpace Investors no se han movido [37,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 Investors, LLC (incluida en Troendle)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directivos y empleados controlada por Troendle (85,8 % económico)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4.733.019 acciones en marzo y en septiembre de 2026 [37, 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2.417.994 acciones según su 13G/A de enero de 2024, último dato que recoge el proxy de 2026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declaración 13G: 2.069.679 acciones a 30-jun-2026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13G/A n.º 7 (marzo de 2026) declara 0 % tras una reorganización interna de enero de 2026: las filiales declaran por separado, no es una venta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69.623 acciones a 31-dic-2025 (70.073 un año antes): Medpace amortiza casi todas las que recompra y solo retiene una pequeña parte; porcentaje sobre 28,6 M de acciones, estimación propia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(presidente y CEO), ventas del 12-nov al 3-dic-2025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278.418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(presidente y CEO), ventas del 27-jul al 30-sep-2026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307.959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Jesse J. Geiger (presidente operativo hasta mayo de 2026), 12,81 M con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Susan E. Burwig (vicepresidenta ejecutiva de Operaciones)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P. Ewald (secretario general y del consejo)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Fred B. Davenport, Jr. (consejero coordinador)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O. Kraft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Kevin M. Brady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T. Carley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Cornelius P. McCarthy III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de August Troendle en 2025 sumó 11,44 M USD: 0,94 M de salario, 0,49 M de bonus en efectivo y 10,00 M en opciones sobre acciones (valor Black-Scholes), frente a 8,60 M en 2024 y 1,65 M en 2023; el ratio frente al empleado mediano (85.994 USD) es de 133 a 1 [37]. El variable anual depende en un 75 % de la guía de febrero (EBITDA 50 %, con umbral de 475 M USD; ventas 25 %, con umbral de 2.120 M USD) y en un 25 % de objetivos individuales; el máximo del CEO es el 100 % del salario y cobró el 52,5 % [37]. </w:t>
      </w:r>
      <w:r>
        <w:rPr>
          <w:b/>
        </w:rPr>
        <w:t xml:space="preserve">El variable a largo plazo no lleva métricas</w:t>
      </w:r>
      <w:r>
        <w:t xml:space="preserve">: las opciones de marzo de 2025 de Troendle y Burwig se consolidaron al concederse; las del resto consolidan en marzo de 2030 [37]. No hay métricas de ROIC, TSR ni flujo de caja. Hay </w:t>
      </w:r>
      <w:r>
        <w:rPr>
          <w:i/>
        </w:rPr>
        <w:t xml:space="preserve">clawback</w:t>
      </w:r>
      <w:r>
        <w:t xml:space="preserve"> conforme a la regla 10D-1 desde diciembre de 2023, sin indemnizaciones por despido del CEO ni acuerdos de cambio de control [37]. El say-on-pay obtuvo un 97,36 % a favor en 2024, un 94,80 % en 2025 y un 92,77 % en 2026 sobre los votos emitidos [38, 39, 40]; descontando los 5,38 M de votos de Troendle, el voto en contra de 2026 sube al 9,12 % del capital libre presente (estimación propia, suponiendo que votó a favor).</w:t>
      </w:r>
    </w:p>
    <w:p>
      <w:pPr>
        <w:pStyle w:val="Heading2"/>
      </w:pPr>
      <w:r>
        <w:t xml:space="preserve">Operaciones vinculadas, estructura de control y defensas</w:t>
      </w:r>
    </w:p>
    <w:p>
      <w:pPr>
        <w:spacing w:after="100"/>
      </w:pPr>
      <w:r>
        <w:t xml:space="preserve">August Troendle fundó Medpace en 1992, la preside y la dirige; controla el 19,1 % (5.396.508 acciones con opciones, de las que 4.733.019 son de Medpace Investors, LLC, sociedad de directivos que gestiona en exclusiva y de la que le corresponde el 85,8 %) [37, 45]. No es una «controlled company» según el Nasdaq ni tiene mayoría: en 2025 la propuesta de un accionista de pasar a mayoría simple salió con 18,21 M de votos a favor y 8,02 M en contra, y Troendle recibió 5,13 M de votos retenidos (19,5 %) [39]. Aun así decide de hecho quién dirige: su contrato obliga a la empresa a proponerle como consejero [37]. Las defensas se están desmontando: el consejo escalonado desaparece en la junta de 2027 (aprobado en 2024), y en 2026 se suprimieron las mayorías reforzadas y se dio a los accionistas con el 25 % el derecho a convocar juntas extraordinarias; la propuesta de un accionista de rebajar ese umbral obtuvo 8,31 M de votos a favor, un 43,6 % del capital libre presente según estimación propia [38]. Hay una sola clase de acciones. Las operaciones vinculadas con Troendle son relevantes: ingresos de CinRx (45,3 M USD en 2025) y LIB Therapeutics (7,9 M), cuatro sedes alquiladas a sociedades suyas (11,7 M de gasto en 2025), su hotel y aviones chárter de una empresa que controla (2,1 M) [37]. El 20-oct-2026 el consejo sustituyó la autorización de recompra pendiente (527,0 M USD) por una nueva de hasta 1.000 M USD hasta el 31-dic-2028 [18]; sin recompras en el 3T26, y si Troendle no vende, cada recompra eleva su peso.</w:t>
      </w:r>
    </w:p>
    <w:p>
      <w:pPr>
        <w:pStyle w:val="Heading2"/>
      </w:pPr>
      <w:r>
        <w:t xml:space="preserve">Señales de alerta</w:t>
      </w:r>
    </w:p>
    <w:p>
      <w:pPr>
        <w:pStyle w:val="ListParagraph"/>
        <w:numPr>
          <w:ilvl w:val="0"/>
          <w:numId w:val="2"/>
        </w:numPr>
        <w:spacing w:after="60"/>
      </w:pPr>
      <w:r>
        <w:t xml:space="preserve">El presidente operativo (President) Jesse Geiger anunció el 21-abr-2026 que se retiraba el 31 de mayo; Troendle, de 69 años, recuperó el cargo de forma interina y no se ha nombrado sucesor. El 1-jun-2026 Brad Hansman pasó a vicepresidente ejecutivo de Operaciones y comparte con Susan Burwig la función de director operativo [22, 41].</w:t>
      </w:r>
    </w:p>
    <w:p>
      <w:pPr>
        <w:pStyle w:val="ListParagraph"/>
        <w:numPr>
          <w:ilvl w:val="0"/>
          <w:numId w:val="2"/>
        </w:numPr>
        <w:spacing w:after="60"/>
      </w:pPr>
      <w:r>
        <w:t xml:space="preserve">Troendle vendió 586.377 acciones por 358,45 M USD en 12 meses. Al menos las ventas de agosto y septiembre de 2026 fueron órdenes limitadas en ventana abierta, no un plan 10b5-1; ningún consejero ni directivo compró acciones en mercado [43, 44, 45].</w:t>
      </w:r>
    </w:p>
    <w:p>
      <w:pPr>
        <w:pStyle w:val="ListParagraph"/>
        <w:numPr>
          <w:ilvl w:val="0"/>
          <w:numId w:val="2"/>
        </w:numPr>
        <w:spacing w:after="60"/>
      </w:pPr>
      <w:r>
        <w:t xml:space="preserve">Ventas de toda la cúpula: 467,0 M USD de nueve consejeros y directivos en los 12 meses hasta el 21-oct-2026, de los que solo 12,8 M (Geiger) fueron con plan 10b5-1 [43]. Desde el 12-oct no hay ventas nuevas: el único Form 4 posterior es de Susan Burwig, que ejercitó 5.000 opciones a 166,73 USD (7 y 12-oct, vencían el 27-oct) y conservó las acciones [54].</w:t>
      </w:r>
    </w:p>
    <w:p>
      <w:pPr>
        <w:pStyle w:val="ListParagraph"/>
        <w:numPr>
          <w:ilvl w:val="0"/>
          <w:numId w:val="2"/>
        </w:numPr>
        <w:spacing w:after="60"/>
      </w:pPr>
      <w:r>
        <w:t xml:space="preserve">Susan Burwig, vicepresidenta ejecutiva de Operaciones y una de las cinco directivas con remuneración publicada, convive con el CEO, según el proxy; sus opciones de 2025, como las de Troendle, se consolidaron al concederse [37].</w:t>
      </w:r>
    </w:p>
    <w:p>
      <w:pPr>
        <w:pStyle w:val="ListParagraph"/>
        <w:numPr>
          <w:ilvl w:val="0"/>
          <w:numId w:val="2"/>
        </w:numPr>
        <w:spacing w:after="60"/>
      </w:pPr>
      <w:r>
        <w:t xml:space="preserve">Operaciones vinculadas con el CEO por unos 67 M USD en 2025 (ingresos de CinRx y LIB, alquileres, hotel y aviones) [37].</w:t>
      </w:r>
    </w:p>
    <w:p>
      <w:pPr>
        <w:pStyle w:val="ListParagraph"/>
        <w:numPr>
          <w:ilvl w:val="0"/>
          <w:numId w:val="2"/>
        </w:numPr>
        <w:spacing w:after="60"/>
      </w:pPr>
      <w:r>
        <w:t xml:space="preserve">Antigüedad del auditor: Deloitte audita desde 2002; el presidente de la comisión de auditoría, Brian Carley, fue socio de Deloitte entre 2002 y 2014 [37].</w:t>
      </w:r>
    </w:p>
    <w:p>
      <w:pPr>
        <w:pStyle w:val="ListParagraph"/>
        <w:numPr>
          <w:ilvl w:val="0"/>
          <w:numId w:val="2"/>
        </w:numPr>
        <w:spacing w:after="60"/>
      </w:pPr>
      <w:r>
        <w:t xml:space="preserve">Dos de los seis independientes (Davenport y McCarthy) fueron consejeros de sociedades predecesoras de Medpace entre 2006-2007 y 2013, y Davenport recibió un 39 % de votos retenidos en 2024 [37,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Alta</w:t>
      </w:r>
    </w:p>
    <w:p>
      <w:pPr>
        <w:spacing w:after="100"/>
      </w:pPr>
      <w:r>
        <w:t xml:space="preserve">El 21 de octubre de 2026, con el 3T26, Medpace subió y estrechó la guía de 2026: ingresos de 2.835-2.855 M USD (+12,0 % a +12,8 % sobre 2.530 M de 2025; mismo punto medio que en julio, 2.845 M), EBITDA de 638-652 M USD (antes 618-642), beneficio neto GAAP de 514-524 M USD (antes 494-514) y BPA diluido de 17,97-18,32 USD (antes 17,25-17,95) [7, 18]. Supone un tipo impositivo del 19,0-19,5 %, ingresos financieros de 22,9 M USD, tipos de cambio a 30-sep y 28,6 M de acciones diluidas medias, sin recompras posteriores al 30-sep [18]. La guía implica un 4T26 de unos 715 M USD de ingresos (+0,9 % sobre los 708,4 M del 4T25) y un BPA de unos 4,78 USD (estimación propia: guía menos los nueve meses). La de febrero era de 2.755-2.855 M USD y 16,68-17,50 USD [9]. No publica objetivos a medio plazo.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14 analistas, a 21-oct-2026, antes de los resultados del 3T26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14 analistas, a 21-oct-2026, antes de los resultados del 3T26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14 analistas, a 21-oct-2026, antes de los resultados del 3T26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11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370,00 – 700,00</w:t>
            </w:r>
          </w:p>
        </w:tc>
      </w:tr>
    </w:tbl>
    <w:p>
      <w:pPr>
        <w:spacing w:after="160" w:before="0"/>
      </w:pPr>
    </w:p>
    <w:p>
      <w:pPr>
        <w:pStyle w:val="Heading2"/>
      </w:pPr>
      <w:r>
        <w:t xml:space="preserve">Revisiones de estimaciones</w:t>
      </w:r>
    </w:p>
    <w:p>
      <w:pPr>
        <w:spacing w:after="100"/>
      </w:pPr>
      <w:r>
        <w:t xml:space="preserve">MarketScreener solo publica las revisiones como gráficos, sin cifras [57]; a 21-oct su consenso no había cambiado desde el 9-oct (BPA de 17,59, 19,18 y 21,47 USD en 2026-2028) [56]. La nueva guía deja el consenso de 2026 por debajo de su mínimo: el punto medio del BPA pasa de 17,60 a 18,15 USD (+3,1 %) y el del EBITDA de 630 a 645 M USD (+2,4 %), con los ingresos sin cambios en el punto medio [7, 18]; cabe esperar subidas de alrededor del 3 % en el BPA de 2026 en los próximos días. En julio la guía ya había subido el BPA un 3,0 % [7, 8]. Los precios objetivo subían antes de los resultados: el 7-oct, Mizuho de 665 a 700 USD, Barclays de 450 a 625 USD y RBC reiteró 692 USD; UBS inició con 673 USD el 30-sep [58]. Las recomendaciones siguen prudentes: 2 de compra, 11 de mantener y 1 de venta [58].</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bl>
    <w:p>
      <w:pPr>
        <w:spacing w:after="160" w:before="0"/>
      </w:pPr>
    </w:p>
    <w:p>
      <w:pPr>
        <w:spacing w:after="100"/>
      </w:pPr>
      <w:r>
        <w:t xml:space="preserve">Medpace sube un 18,0 % en 2026, por delante del S&amp;P 500 (+14,3 %) y de XLV (+17,0 %), y en diez años rinde un 35,7 % anual frente al 15,5 % del índice [55]. El año ha ido a golpes de resultados: el 10 de febrero cayó un 15,9 % con la guía de 2026 y el 23 de abril otro 22,6 % con un book-to-bill de 0,88 veces, hasta el mínimo de 373 USD; el 23 de julio subió un 14,7 % con un book-to-bill de 1,13 veces y la guía al alza [7, 8, 9, 55]. El 20 y 21 de octubre, antes de sus resultados, subió un 0,4 % y un 6,4 % en una subida de todas las CRO tras el día del inversor de Charles River (+5,1 % y +9,3 %; ICON +3,6 % y +6,4 %) [55, 64], y cerró en máximo histórico (662,48 USD). Esos días disparan la volatilidad (46 %) y la beta semanal a cinco años (1,40); la mensual es 1,13 y la semanal a dos años 0,96 [55]. Las posiciones cortas sumaban 1,60 M de acciones a 30-sep-2026, el 5,7 % de las acciones y el 7,2 % del flotante, 5,8 días de volumen [60].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 / +25,4 % / +30,3 % / +21,2 %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 +77,6 %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23-abr tras el 1T26: book-to-bill de 0,88 veces y guía de 2026 sin cambios [8, 55]. Recuperada del todo desde julio.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23-jul (+14,7 % ese día) tras el 2T26: book-to-bill de 1,13 veces y guía de 2026 al alza [7,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del 21-oct, antes de sus resultados, con todo el sector de CRO tras el día del inversor de Charles River del 20-oct y la mejora de UBS a compra de esa empresa [55, 64]. No es un hecho propio de Medpace.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tras el cierre: ingresos de 716,0 M USD (+8,5 %), nuevos contratos netos de 873,4 M (+10,6 %; book-to-bill de 1,22 veces), cartera de 3.167,2 M (+5,6 %), BPA de 4,84 USD (+25,4 %) y guía de 2026 al alza en BPA (17,97-18,32 USD) y EBITDA, con los ingresos estrechados alrededor del mismo punto medio [18]. En la sesión fuera de hora la acción osciló entre 622 y 666 USD y hacia las 22:45 de Madrid cotizaba en torno a 655 USD (−1 %)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sustituye la autorización de recompra pendiente (527,0 M USD, vencía el 31-dic-2026) por una nueva de 1.000 M USD hasta el 31-dic-2028, pagada con caja; en el 3T26 no recompró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Mizuho sube su objetivo de 665 a 700 USD (compra), Barclays de 450 a 625 USD (mantener) y RBC reitera compra con 692 USD; el 30-sep UBS inició con mantener y 673 USD [58].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J. Troendle vendió entre el 10-ago y el 25-sep a unos 600 USD y declara el 19,1 % (5,40 M acciones) en su 13D/A n.º 24 [45]. Vende de forma periódica desde hace años; no hay colocación anunciada, pero es una oferta de papel latente.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2T26: book-to-bill de 1,13 veces y primera subida de la guía de 2026 (BPA de 17,25-17,95 USD)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cerró el 21-oct en máximo histórico (662,48 USD), con +25 % en tres meses, tras la subida de la guía de julio y una subida del sector del 6,4 % ese mismo día que no responde a nada propio [55, 64]. Los resultados del 3T26 llegaron tras el cierre: contratación fuerte (book-to-bill de 1,22 veces) y BPA al alza, pero los ingresos crecen ya solo un 8,5 % y la guía implica un 4T26 plano (+0,9 %) [18]. Fuera de hora la reacción fue errática (622-666 USD). El precio del informe no recoge los resultados: el veredicto es retrasar hasta el cierre del 22-oct, después de la conferencia. La venta periódica del fundador sigue siendo una oferta latente [45].</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BPA diluido contable de cada año, Medpace cerró 2021 a 45,2 veces (217,64 USD sobre 4,81 USD), 2022 a 29,2 veces, 2023 a 34,5 veces, 2024 a 26,3 veces y 2025 a 36,8 veces (561,65 USD sobre 15,28 USD) [9, 55]. Hoy, a 662,48 USD y con un BPA de los últimos doce meses de 18,01 USD (13,37 USD de los nueve meses de 2026 más 4,64 USD del 4T25), cotiza a 36,8 veces, en la parte alta de su rango; sobre el punto medio de la guía de 2026 (18,15 USD), a 36,5 veces [9, 18, 55]. La subida de 2025 (+69 %) fue sobre todo de múltiplo: el beneficio por acción creció un 21 %, ayudado por recompras que redujeron un 7,2 % las acciones en un año [56, 59]. Medpace salió a bolsa en agosto de 2016: el cierre de 2016 corresponde a un ejercicio cotizado solo en parte.</w:t>
      </w:r>
    </w:p>
    <w:p>
      <w:pPr>
        <w:pStyle w:val="Heading1"/>
      </w:pPr>
      <w:r>
        <w:t xml:space="preserve">18. Comparables cotizados</w:t>
      </w:r>
    </w:p>
    <w:p>
      <w:pPr>
        <w:pStyle w:val="Confianza"/>
        <w:spacing w:after="100"/>
      </w:pPr>
      <w:r>
        <w:t xml:space="preserve">Confianza: Media</w:t>
      </w:r>
    </w:p>
    <w:p>
      <w:pPr>
        <w:spacing w:after="100"/>
      </w:pPr>
      <w:r>
        <w:t xml:space="preserve">Quedan pocas CRO cotizadas: Syneos, PPD, PRA y Parexel ya no cotizan [33, 81, 82, 83]. Se usan IQVIA (la mayor CRO), ICON (CRO de servicio completo y funcional, el comparable más directo), Charles River (preclínica), Labcorp (laboratorio central de ensayos), Fortrea (CRO escindida de Labcorp, en reestructuración) y Thermo Fisher (dueña de PPD, conglomerado) [74, 75, 76, 77]. Ninguna se parece del todo: Medpace es la única centrada en biotecnológicas pequeñas, sin deuda y sin compras. Se excluyen WuXi AppTec y Tigermed (China, riesgo geopolítico y beneficios con plusvalías de inversiones)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Medpace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Fortrea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Labcorp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13,9x / 16,9x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15,3x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 / 21,0x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 / 2,9x / 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(6 comparables): múltiplo = 14,4 + 0,30 × crecimiento; R² = 0,04. El crecimiento explica poco los múltiplos de estos comparables (R² &lt; 0,3): la regresión no se usa en la valoración.</w:t>
      </w:r>
    </w:p>
    <w:p>
      <w:pPr>
        <w:spacing w:after="100"/>
      </w:pPr>
      <w:r>
        <w:t xml:space="preserve">Medpace cotiza a 27,2 veces el EBITDA de los próximos 12 meses y a 35,1 veces el beneficio, frente a una mediana de 13,9 y 21,0 veces de sus comparables, que han subido con el sector en octubre [64, 74, 75]. A los múltiplos medianos valdría 351,05 USD por EV/EBITDA y 396,29 USD por PER, 373,67 USD de media. Parte de la prima está justificada: su margen EBITDA del 22,4 % está entre los altos del grupo, no tiene deuda (−1,1 veces el EBITDA frente a 3,2 veces de mediana) y su ROIC es incomparable, mientras que el de IQVIA, Charles River y Labcorp no llega al 10 % [76]. Lo que no justifica la prima es el crecimiento de los próximos 12 meses: un 5,3 %, parecido al de IQVIA (5,8 %), que cotiza a 14,1 veces. La regresión no explica nada (R² 0,04) y la base de EBITDA de los comparables es ajustada, unos 1,4 puntos de margen por encima de la de Medpace: pesan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 (datos y tecnología de ensayos clínicos)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8.875 M USD en caja al cierre, más 125 M aplazados y hasta 400 M condicionados, por unos ingresos esperados de 1.250 M USD en 2025; no se publicó el EBITDA [80].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Syneos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Elliott, Patient Square Capital y Veritas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43,00 USD por acción en efectivo, un 24 % sobre el cierre del 13-feb-2023; unos 7.100 M USD con la deuda; múltiplo sobre el EBITDA ajustado previsto para 2023 (731 M USD)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Clinigen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farmacéuticos (suministro para ensayos). Múltiplo sobre el EBITDA ajustado de los últimos doce meses, del análisis de operaciones de BofA Securities en el proxy de Syneos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UDG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de comercialización y comunicación para la industria farmacéutica; EBITDA ajustado de los últimos doce meses [81].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PPD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 USD por acción en efectivo, un 23,8 % sobre el cierre previo a la filtración; EBITDA ajustado de los últimos doce meses [81, 82].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 Health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en efectivo y 0,4125 acciones de ICON por acción, unos 12.000 M USD; prima del 30 % sobre el cierre del 23-feb-2021; EBITDA ajustado de los últimos doce meses [81, 83].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Huntsworth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Clayton Dubilier &amp; Rice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Comunicación médica e investigación clínica (Huntsworth Health); EBITDA ajustado de los últimos doce meses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15,5x (11,1x – 22,0x)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369,96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273,35 – 515,15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 mediana de siete operaciones del sector, 15,5 veces el EBITDA ajustado, daría 369,96 USD por acción; no pesa en el valor objetivo [81]. Las dos más caras, PRA (24,4 veces) y PPD (23,4 veces), se pagaron en 2021 en pleno auge de la financiación biotecnológica; Syneos, en 2023, se vendió a 9,7 veces el EBITDA previsto con una prima del 24 % [81, 82, 83]. Ni siquiera el múltiplo de PRA, con prima de control, alcanza el EV/EBITDA actual de Medpace (28,5 veces el de los últimos 12 meses). Una OPA es improbable: el fundador controla el 19,1 % y dirige la compañía, y a 18.100 M USD de valor empresa solo Thermo Fisher o un gran fondo podrían pagarla [45].</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fijado en 2.845 M USD (+12,4 %), el punto medio de la guía del 21-oct (2.835-2.855 M), que estrecha la de julio sin moverla [18]. La guía implica un 4T26 casi plano (unos 715 M, +0,9 % interanual), porque los reembolsos crecen poco. 2027e crece un 7,0 %, algo por encima del consenso (+6,3 %): la cartera crece un 5,6 % interanual a septiembre, pero la contratación del 3T26 fue récord (873,4 M, book-to-bill de 1,22) [18, 56]. 2028e-2031e, entre el 9,5 % y el 8,0 %, en línea con el consenso de 2028 (+9,8 %) y con el 11,9 % al que crecieron en el 3T26 los ingresos netos de servicio [18, 56]. Después converge al 4,5 % en 2035e. Es la mitad del 20 % anual de 2018-2025, que se apoyó en el auge de la financiación biotecnológica de 2020-2021 y en la obesidad [1, 35].</w:t>
      </w:r>
    </w:p>
    <w:p>
      <w:pPr>
        <w:keepNext/>
        <w:spacing w:after="100"/>
      </w:pPr>
      <w:r>
        <w:rPr>
          <w:b/>
          <w:bCs/>
        </w:rPr>
        <w:t xml:space="preserve">Márgenes.</w:t>
      </w:r>
    </w:p>
    <w:p>
      <w:pPr>
        <w:spacing w:after="100"/>
      </w:pPr>
      <w:r>
        <w:t xml:space="preserve">El margen EBITDA sobre ingresos totales parte del 22,7 % de la guía de 2026 (EBITDA de 638-652 M USD, subida desde 618-642 M), frente al 22,3 % de 2025 [1, 18]. Con ese margen, 22,9 M de intereses y un 19,25 % de impuestos, el BPA de 2026e sale en 18,12 USD, dentro de la guía (17,97-18,32) [18]. En 2027e baja a 22,2 % y luego sube 0,2 puntos al año hasta el 23,0 % en 2031e por apalancamiento operativo, como entre 2018 (19,8 %) y 2024 [1]. No supone más: el margen del 3T26 (24,0 % de EBITDA) se apoya en que los reembolsos a margen cero solo crecen un 3,8 % y en una remuneración en acciones que en 9M26 es de 16,9 M frente a 29,2 M; ninguna de las dos cosas tiene por qué repetirse [5, 18]. Sobre ingresos netos de servicio, el 23,0 % equivale a un 38-39 %, frente al 37,7 % de 2025 (estimación propia).</w:t>
      </w:r>
    </w:p>
    <w:p>
      <w:pPr>
        <w:keepNext/>
        <w:spacing w:after="100"/>
      </w:pPr>
      <w:r>
        <w:rPr>
          <w:b/>
          <w:bCs/>
        </w:rPr>
        <w:t xml:space="preserve">Inversión y circulante.</w:t>
      </w:r>
    </w:p>
    <w:p>
      <w:pPr>
        <w:spacing w:after="100"/>
      </w:pPr>
      <w:r>
        <w:t xml:space="preserve">Capex del 1,8 % de las ventas en 2026e, por las obras de la sede (30,7 M en el 1S26, casi el doble que en el 1S25), y del 1,5 % después, frente al 1,2 % de 2025; amortización del 1,1 % al 1,4 % [1, 5]. El circulante comercial incluye los anticipos de clientes: fue de −19,0 % de las ventas en 2025 y −21,2 % en 2024 [1]. Proyectamos que su peso baje poco a poco hasta −16,0 %, porque los anticipos crecieron más deprisa que las ventas (del 21 % al 34 % entre 2018 y 2025) y no pueden hacerlo siempre: con la ratio constante, cada dólar de ventas nuevas traería 19 céntimos de caja sin coste. No se incluyen los gastos devengados (408,4 M a dic-25), cuyo crecimiento sumaría unos 30 M de caja al año (estimación propia) [1].</w:t>
      </w:r>
    </w:p>
    <w:p>
      <w:pPr>
        <w:keepNext/>
        <w:spacing w:after="100"/>
      </w:pPr>
      <w:r>
        <w:rPr>
          <w:b/>
          <w:bCs/>
        </w:rPr>
        <w:t xml:space="preserve">Coste del capital.</w:t>
      </w:r>
    </w:p>
    <w:p>
      <w:pPr>
        <w:spacing w:after="100"/>
      </w:pPr>
      <w:r>
        <w:t xml:space="preserve">Medpace no tiene deuda, así que el WACC es el coste de los fondos propios: 11,13 %. Tasa libre: el bono del Tesoro de EE. UU. a 10 años al 5,13 % (21-oct-2026) [63]. Beta de 1,09, la ajustada mensual a cinco años frente al S&amp;P 500; la mensual sin ajustar es 1,13, la semanal a dos años 0,98 y Stock Analysis da 1,18 [55, 59]. Prima de mercado del 5,5 % y sin prima adicional: el riesgo del fundador y de la concentración en biotecnológicas va en los escenarios. Con la prima implícita del S&amp;P 500 de Damodaran (4,20 % en octubre de 2026), el coste baja al 9,7 % [62]; esa es la referencia relativa.</w:t>
      </w:r>
    </w:p>
    <w:p>
      <w:pPr>
        <w:keepNext/>
        <w:spacing w:after="100"/>
      </w:pPr>
      <w:r>
        <w:rPr>
          <w:b/>
          <w:bCs/>
        </w:rPr>
        <w:t xml:space="preserve">Valor terminal.</w:t>
      </w:r>
    </w:p>
    <w:p>
      <w:pPr>
        <w:spacing w:after="100"/>
      </w:pPr>
      <w:r>
        <w:t xml:space="preserve">Gordon con un crecimiento del 3,0 % a perpetuidad: 1-1,5 % real más una inflación del 2-2,5 %, por debajo de la tasa libre menos medio punto (4,63 %). Equivale a 9,7 veces el EBITDA de salida, por debajo de la mediana actual de los comparables (12,9 veces el de los próximos 12 meses) y del mínimo histórico de Medpace (14,5 veces) [74]. Es la consecuencia de un WACC del 11,13 %: un negocio sin necesidad de inversión vale en torno a 1 / (WACC − g) veces su beneficio operativo después de impuestos. No usamos el múltiplo de salida porque los 16-25 veces que el mercado paga hoy por las CRO de calidad presuponen tasas más bajas. El valor terminal pesa un 52 %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317,22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413,87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M (-4 %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 (reinvierte el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frente al 7,8 %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 (hoy: 3,4 %)</w:t>
            </w:r>
          </w:p>
        </w:tc>
      </w:tr>
    </w:tbl>
    <w:p>
      <w:pPr>
        <w:spacing w:after="160" w:before="0"/>
      </w:pPr>
    </w:p>
    <w:p>
      <w:pPr>
        <w:spacing w:after="100"/>
      </w:pPr>
      <w:r>
        <w:t xml:space="preserve">La proyección apenas necesita inversión neta de la amortización (reinversión acumulada de -281 M, con un capex bruto medio del 1,5 % de las ventas). En un negocio de activos ligeros, el crecimiento medio del 7,8 % tiene que salir de subir precios y de ganar volumen sin capital nuevo, y la prueba es el poder de precios y la cuota (4,2 % del mercado en 2030e, frente al 3,4 %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guía del 21-oct, 2.835-2.855 M USD, con el 4T26 casi plano [18]. Precio: estimación propia de 2,5 puntos; Medpace no publica tarifas. Otros: los reembolsos pesan el 40-42 % de los ingresos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débil: la cartera crece un 5,6 % interanual a septiembre, aunque la contratación del 3T26 fue récord (book-to-bill de 1,22) [18]; el consenso espera un +6,3 %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apoyado en la recuperación de la contratación del 2T26 (adjudicaciones récord de 795,7 M; book-to-bill de 1,13) y en el consenso (+9,8 %) [7, 56].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mercado (4,5 % anual) más ganancia de cuota en biotecnológicas, como en 2018-2025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 la cuota implícita pasa del 3,4 % al 4,2 % del desarrollo clínico externalizado [23].</w:t>
            </w:r>
          </w:p>
        </w:tc>
      </w:tr>
    </w:tbl>
    <w:p>
      <w:pPr>
        <w:spacing w:after="160" w:before="0"/>
      </w:pPr>
    </w:p>
    <w:p>
      <w:pPr>
        <w:spacing w:after="100"/>
      </w:pPr>
      <w:r>
        <w:t xml:space="preserve">La calidad de Medpace sostiene el 7,8 % anual que proyectamos para 2026e-2035e: es la mitad de su crecimiento de 2018-2025 (20 % anual), la cuota implícita sube del 3,4 % al 4,2 % del desarrollo clínico externalizado en 2030e (1,24 veces la actual, dentro del límite de 1,5) y el crecimiento no exige capital, porque los anticipos financian el circulante y el capex es del 1,5 % de las ventas [1, 23]. Su foso es estrecho pero real: margen operativo del 21,1 % frente al 5,4-14,0 % de sus rivales [1, 23, 30, 31]. Lo que no sostiene es el 17,4 % anual durante nueve años que descuenta el precio: exigiría casi cuadruplicar la cuota, con una cartera que solo crece un 5,6 % y un poder de precios que la empresa no publica [7].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17,4 % (base: 7,3 %)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46,9 %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11,1 %)</w:t>
            </w:r>
          </w:p>
        </w:tc>
      </w:tr>
    </w:tbl>
    <w:p>
      <w:pPr>
        <w:spacing w:after="160" w:before="0"/>
      </w:pPr>
    </w:p>
    <w:p>
      <w:pPr>
        <w:spacing w:after="100"/>
      </w:pPr>
      <w:r>
        <w:t xml:space="preserve">El DCF da 334,21 USD por acción, un 49,6 % por debajo del precio, con un WACC del 11,13 %; el valor terminal pesa un 52 % y el rango de sensibilidad (WACC y crecimiento ± 0,5 puntos) va de 307,14 a 368,59 USD. Con la prima implícita del mercado (WACC del 9,7 %) sube a 401,51 USD, todavía un 39,4 % por debajo. </w:t>
      </w:r>
      <w:r>
        <w:rPr>
          <w:b/>
        </w:rPr>
        <w:t xml:space="preserve">El DCF inverso es el centro del informe</w:t>
      </w:r>
      <w:r>
        <w:t xml:space="preserve">: a 662,48 USD el mercado pide que los ingresos crezcan un 17,4 % anual entre 2027e y 2035e con nuestro margen, frente al 7,3 % de nuestro caso base, o un margen EBITDA del 46,9 % con nuestro crecimiento, frente al 23,0 %. Con nuestros flujos el precio solo rinde un 7,0 % anual, por debajo del 11,13 % de su coste de capital y del 9,7 % que pide el mercado. Nuestra proyección coincide con el consenso de 2026-2028 con diferencias de menos del 3 %: la discrepancia con el precio no está en las cifras de los próximos tres años, sino en cuánto dura el crecimiento alto después. El 3T26 no lo cambia: la guía de beneficio sube, pero la de ingresos se queda donde estaba [18].</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nueva sequía de financiación biotecnológica, como la de 2022 (−54 %), coincide con el fin del auge de los ensayos de obesidad: las cancelaciones del 1T26 se repiten, el book-to-bill se queda por debajo de 1 varios trimestres y los ingresos de 2027 caen un 5 % [8, 35]. El margen baja 2-3 puntos por la menor utilización del personal y el crecimiento posterior se queda en el 5-6 %.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cumple la guía de 2026, crece un 7 % en 2027 por una cartera que crece poco y vuelve al 8-9,5 % en 2028-2031 con la contratación récord del 3T26, en línea con el consenso [7, 56]. El margen sube poco a poco hasta el 23,0 % y los anticipos pierden algo de peso.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contratación récord del 2T26 y el 3T26 se sostiene, la financiación biotecnológica se recupera con las salidas a bolsa de 2026 y Medpace vuelve a crecer al 11-13 % anual varios años, ganando cuota a ICON y Fortrea, con el margen en el 24,5 % [7, 35]. Aun así el valor queda por debajo del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662,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339,11 USD (-48,8 %).</w:t>
      </w:r>
    </w:p>
    <w:p>
      <w:pPr>
        <w:spacing w:after="100"/>
      </w:pPr>
      <w:r>
        <w:t xml:space="preserve">La asimetría es negativa en los tres escenarios: el alcista vale 464,96 USD (−29,8 %), el base 334,21 USD (−49,6 %) y el bajista 223,06 USD (−66,3 %); ponderados, 339,11 USD. Incluso un alcista que supone volver a crecer al 11,3 % anual durante nueve años, con un margen final del 24,5 %, deja la acción un 30 % por debajo del precio. Con la prima del mercado el alcista sube a 566,56 USD, aún por debajo de 662,48 USD. El bajista no es cosmético: Medpace tuvo un book-to-bill de 0,88 en el 1T26 y de 0,90 en el 1T25, y la financiación biotecnológica cayó un 54 % en 2022 [8, 35]. Para que el precio tenga sentido como valor hay que creer en un escenario mejor que nuestro alcista y en un coste de capital menor; a 12 meses, en cambio, el precio se sostiene si el mercado sigue pagando unas 32 veces el beneficio.</w:t>
      </w:r>
    </w:p>
    <w:p>
      <w:pPr>
        <w:pStyle w:val="Heading1"/>
      </w:pPr>
      <w:r>
        <w:t xml:space="preserve">22. Suma de partes</w:t>
      </w:r>
    </w:p>
    <w:p>
      <w:pPr>
        <w:pStyle w:val="Confianza"/>
        <w:spacing w:after="100"/>
      </w:pPr>
      <w:r>
        <w:t xml:space="preserve">Confianza: Alta</w:t>
      </w:r>
    </w:p>
    <w:p>
      <w:pPr>
        <w:spacing w:after="100"/>
      </w:pPr>
      <w:r>
        <w:t xml:space="preserve">Medpace tiene un único segmento (CRO clínica de servicio completo) y desglosa sus ingresos por área terapéutica, que comparten personal, márgenes y clientes: no hay negocios con perfiles distintos que valorar por separado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662,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342,09 USD (-48,4 % sobre 662,48).</w:t>
      </w:r>
    </w:p>
    <w:p>
      <w:pPr>
        <w:spacing w:after="100"/>
      </w:pPr>
      <w:r>
        <w:t xml:space="preserve">Pesos: 45 % DCF, 40 % escenarios y 15 % comparables; las transacciones no pesan porque llevan prima de control y no esperamos una OPA. El DCF es el método más fiable para Medpace: no tiene deuda, sus flujos son predecibles a dos años por la cartera y la clave del valor es cuánto dura el crecimiento, que solo un DCF hace explícito. Los comparables pesan poco porque ninguno crece ni gana lo que Medpace y la muestra no explica los múltiplos (R² 0,04). La dispersión entre métodos es pequeña: DCF 334,21 USD, comparables 373,67, transacciones 369,96 y escenarios 339,11 USD; todos están entre un 44 % y un 50 % por debajo del precio. El valor intrínseco es de 342,09 USD (399,86 USD con la prima del mercado). La recomendación la decide la regla a 12 meses (nuestro PER por nuestro BPA de 2028e): ponderada −8,2 %, base −0,2 %; es Mantener, ni compra ni venta [56].</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(35.4x) ÷ 1.1 (tope: la mediana de 5 años, 24.3x,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spacing w:after="100"/>
      </w:pPr>
      <w:r>
        <w:rPr>
          <w:b/>
          <w:bCs/>
        </w:rPr>
        <w:t xml:space="preserve">Objetivo a 12 meses (ponderado):</w:t>
      </w:r>
      <w:r>
        <w:t xml:space="preserve"> 608,29 USD · rentabilidad -8,2 % (base -0,2 %) · señal Mantener.</w:t>
      </w:r>
    </w:p>
    <w:p>
      <w:pPr>
        <w:spacing w:after="100"/>
      </w:pPr>
      <w:r>
        <w:t xml:space="preserve">Para comparar, con la regla v2 (historia al cierre, mismo precio): 26,3x / 34,5x / 34,5x, 0,2 % Mantener; con el tope anterior del base (×1,3, 14-oct mediodía): -15,3 %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(20,54 USD) queda un 4,3 % por debajo del consenso (21,47), que aún no recoge la guía del 3T26; la diferencia sale de que no contamos recompras sin calendario. Nuestro precio base a 12 meses (661,39) está un 11,0 % por encima del objetivo medio de los analistas (595,92) porque usamos un PER más alto, el de la historia de Medpace [56].</w:t>
      </w:r>
    </w:p>
    <w:p>
      <w:pPr>
        <w:keepNext/>
        <w:spacing w:after="100"/>
      </w:pPr>
      <w:r>
        <w:rPr>
          <w:b/>
          <w:bCs/>
        </w:rPr>
        <w:t xml:space="preserve">Del valor intrínseco al objetivo a 12 meses.</w:t>
      </w:r>
    </w:p>
    <w:p>
      <w:pPr>
        <w:spacing w:after="100"/>
      </w:pPr>
      <w:r>
        <w:t xml:space="preserve">Valor intrínseco 342,09 USD (−48,4 %) frente a un objetivo a 12 meses ponderado de 608,29 USD (−8,2 %; base −0,2 %). La distancia pasa del 25 %: la tesis del valor intrínseco es a más de un año y depende de que el mercado deje de pagar más de 30 veces el beneficio.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del 3T26 y primera sesión tras los resultados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del trimestre y primera indicación sobre 2027; la reacción fuera de hora fue de −6 % a +0,5 %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+6,3 % de ingresos en 2027; una guía por debajo confirmaría la desaceleración [56].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estacionalidad de las cancelaciones: el 1T fue el trimestre débil en 2025 y 2026 (book-to-bill de 0,90 y 0,88)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desaparece el consejo escalonado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de gobierno ya aprobada en 2024; posible nombramiento de un sucesor del President [22,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colectiva (Durbin) y derivada por las declaraciones sobre el book-to-bill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provisión; un acuerdo tendría coste limitado pero mantendría el foco en la calidad de la cartera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fundador y nueva autorización de recompra de 1.000 M USD hasta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Troendle presionan el precio; las recompras lo sostienen [5, 43].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para la tesis: el crecimiento vuelve al 15-20 % anual varios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sobre nuestro valor (escenario alcista, 464,96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 el alcista alcanza el precio; habría que crecer más y con menor coste de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&gt; 1,2 tres trimestres seguidos y guía 2027 de ingresos &gt;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contratación y repunte de cancelaciones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sobre nuestro valor (bajista, 223,06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3.167 M USD (1,1 veces los ingresos) y cobro del trabajo hecho al cancelar [1,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&lt; 1 en el 4T26 o el 1T27.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los de las CRO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sobre el precio (comparables a la mediana: 373,67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ha cotizado siempre con prima: PER mínimo de 26,3 veces en ocho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los próximos 12 meses por debajo de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obesidad y metabolismo (29,4 % de los ingresos)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(estimación propia: un año sin crecer en el área)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Oncología pesa lo mismo y dominó la contratación del 2T26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Adjudicaciones de cardiometabolismo, que ya cayeron en el 2T26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biotecnológica (95 % de los ingresos de biotecnológicas pequeñas y medianas)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−34 % (entre base y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904,7 M que reducen el riesgo de crédito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riesgo y salidas a bolsa biotecnológicas trimestrales (EY, Nasdaq Biotech) [35].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fundador (69 años, sin President desde mayo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mayor prima de riesgo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operativo con décadas en la casa (Burwig desde 1993, Hansman desde 2011) [37, 41].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un sucesor nombrado en la junta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del valor (volver al 30 % de las ventas de 2021: unos 110 M de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anticipos se compensan con trabajo, no se devuelven en efectivo salvo cancelación.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por debajo del 30 % de los ingresos de los últimos 12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Operaciones vinculadas y litigio por el book-to-bill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−3 %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publican en el proxy y el 10-K; los ingresos vinculados son el 2,1 % [1,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Avance de la demanda colectiva o nuevas operaciones con sociedades del fundador.</w:t>
            </w:r>
          </w:p>
        </w:tc>
      </w:tr>
    </w:tbl>
    <w:p>
      <w:pPr>
        <w:spacing w:after="160" w:before="0"/>
      </w:pPr>
    </w:p>
    <w:p>
      <w:pPr>
        <w:pStyle w:val="Heading2"/>
      </w:pPr>
      <w:r>
        <w:t xml:space="preserve">Pre-mortem</w:t>
      </w:r>
    </w:p>
    <w:p>
      <w:pPr>
        <w:spacing w:after="100"/>
      </w:pPr>
      <w:r>
        <w:t xml:space="preserve">Octubre de 2029: hemos vendido Medpace y la acción ha subido un 40 %. ¿Qué pasó? La contratación récord del 2T26 no fue un rebote, sino el inicio de un nuevo ciclo: las salidas a bolsa biotecnológicas de 2026 desbloquearon una ola de ensayos de fase II y III, la obesidad pasó de los GLP-1 a una segunda generación de moléculas y Medpace, la única CRO de servicio completo sin distracciones (ICON con su reexpresión, Fortrea en reestructuración), se llevó la mayor parte [7, 35]. Los ingresos crecieron un 15 % anual, el margen subió al 25 % y las recompras redujeron las acciones otro 3 % al año, de modo que el BPA creció un 20 % anual y el mercado mantuvo el PER de 30 veces. El tipo del Tesoro bajó al 4 % y el coste de capital de las empresas de calidad cayó con él. Nuestro error habría sido tratar el 7 % de crecimiento del consenso como un techo y no como un suelo, y descontar con un 11 % un negocio que el mercado siempre ha descontado con menos. Los indicadores que lo habrían anticipado: un book-to-bill por encima de 1,2 durante tres trimestres, una guía de 2027 por encima del 12 % y una cartera creciendo más deprisa que los ingresos.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Para una CRO, lo material es el personal y la integridad de los datos, no las emisiones. El coste es casi todo plantilla (6.200 empleados a cierre de 2025, el 66 % mujeres) y la empresa cita la competencia por personal con doctorado o licenciatura en medicina como riesgo clave; el 75 % de los 182 puestos directivos cubiertos entre octubre de 2024 y septiembre de 2025 fue por promoción interna [1]. La calidad de los ensayos y la privacidad de los datos de pacientes (HIPAA, RGPD) son el riesgo operativo y reputacional más directo: un fallo de buenas prácticas clínicas puede invalidar datos o llevar a sanciones [1]. El gobierno es material: el fundador es consejero delegado y desde junio de 2026 también President, y hay ingresos con biotecnológicas en las que participan directivos (CinRx, 45,3 M USD en 2025) [1, 22].</w:t>
      </w:r>
    </w:p>
    <w:p>
      <w:pPr>
        <w:pStyle w:val="Heading2"/>
      </w:pPr>
      <w:r>
        <w:t xml:space="preserve">Controversias</w:t>
      </w:r>
    </w:p>
    <w:p>
      <w:pPr>
        <w:spacing w:after="100"/>
      </w:pPr>
      <w:r>
        <w:t xml:space="preserve">El 6 de abril de 2026 se presentó una demanda colectiva (Durbin, distrito sur de Ohio) contra Medpace, August Troendle, Jesse Geiger y Kevin Brady por declaraciones supuestamente engañosas sobre el book-to-bill; el 22 de junio de 2026 siguió una demanda derivada contra directivos y consejeros por los mismos hechos [5]. La empresa no ha reconocido pasivo porque no considera la pérdida probable ni estimable [5]. Los ingresos con partes vinculadas (CinRx y LIB Therapeutics) son recurrentes y se publican en las cuentas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3.167 M USD se convertirá en ingresos en los próximos 12 meses y cómo ha cambiado esa ratio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crece un 5,6 % y los ingresos un 8,5 %: el consumo acelerado de la cartera es la causa de la desaceleración que esperamos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sumaron las cancelaciones en importe en el 1T26 y el 2T26, y qué parte se concentró en obesidad?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publica adjudicaciones netas; sin las brutas no se sabe si el 2T26 fue recuperación o menos cancelaciones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han subido las tarifas por hora frente al coste salarial en 2024-2026?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es la única forma de crecer sin capital por encima del mercado, y no se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gastos reembolsados pasaron del 34 % al 43,5 % de los ingresos y qué peso esperan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Inflan el crecimiento aparente y diluyen el margen total sin cambiar el beneficio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un plan de sucesión del primer ejecutivo y del President, y cuándo se nombrará al sucesor de Jesse Geiger?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Troendle tiene 69 años, concentra presidencia, dirección y el 19,1 % del capital, y vende acciones [37, 45].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criterio de valor se recompra: por qué 294,7 M a unos 418 USD en el 2T26 y nada en el 4T25 y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absorben el 91 % del FCF y son la palanca del BPA [1,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bajó de 22,8 M a 9,3 M en el 1S26 y cuánto se espera para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12,9 M de mejora del SG&amp;A; si no se repite, el margen del LTM está inflado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Vinculadas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condiciones tienen los contratos con CinRx y LIB Therapeutics frente a los de clientes independientes?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 53,2 M de ingresos con sociedades en las que participa el primer ejecutivo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y noticias, vía RSS)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julio un autor veía prematura la recuperación y dos pasaban a tesis favorables tras el 2T26; los tres artículos del 13-14 de octubre se reparten entre quien defiende que la cartera es más corta y más limpia, no más pequeña, y quienes ven el listón de crecimiento alto, crecimiento inflado por costes repercutidos y poca holgura en la valoración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mensajes del valor)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de fondo: mensajes técnicos alcistas antes de los resultados («ruptura», «tenso antes del dato») y volumen de 3,6 veces el normal el 21-oct, mezclados con una campaña repetida de recordatorios de la demanda colectiva por el book-to-bill y avisos de ventas de consejeros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Barchart (columna de opinión, sindicada en Yahoo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técnica de compra al 100 % y máximos recientes, pero el autor mantiene «mantener», no perseguiría la subida y recomienda stop loss por la valoración y la dispersión de precios objetivo de los analistas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StockStory (previa y reacción al 3T26, sindicadas en The Globe and Mail)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previa daba por descontada una fuerte desaceleración de ingresos; la reacción del 21-oct califica el 3T26 «en línea» en ingresos, con beneficio y EBITDA por encima de lo esperado y guía de ingresos confirmada en el punto medio [71, 72].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(titulares, operaciones de directivos y ratings)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titulares de septiembre y octubre alternan ventas casi diarias del fundador y consejero delegado con mejoras de analistas (UBS a neutral desde venta, RBC compra) y una subida del 6,7 % el día de resultados; el agregado de recomendaciones sigue en mantener [68, 73].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Zacks y Motley Fool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Reconocen contratación récord, márgenes y caja sin deuda, pero piden selectividad por la prima de valoración frente al sector y relativizan la venta del fundador por su tamaño frente a la participación que conserva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Cancelaciones, book-to-bill y la demanda colectiva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siendo el eje del debate, ahora con una campaña en redes que recuerda la demanda por el book-to-bill de 2025 [69]. El 3T26 da la razón a los optimistas en contratación: adjudicaciones netas de 873,4 M USD frente a ingresos de 716,0 M USD, un book-to-bill de 1,22 veces (estimación propia), y cartera +5,6 % interanual [18]. El comunicado no da la tasa de cancelaciones: habrá que oírla en la conferencia del 22-oct. La demanda y la derivada constan en el 10-Q sin pasivo reconocido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otras CRO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todas las voces aceptan el negocio pero no el precio: piden no perseguir la subida y esperar caídas, con un consenso de analistas en mantener y el precio ya por encima del objetivo medio [66, 70, 73]. Contrastar con el PER y el EV/EBITDA de IQVIA, ICON, Fortrea y Charles River a la fecha de corte y con los múltiplos históricos de la propia Medpace.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crecimiento y costes repercutidos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temían que el crecimiento de 2026 viniera inflado por costes repercutidos y que 2027 fuese mucho más lento [65, 72]. El 3T26 lo confirma en parte: ingresos +8,5 % frente a +17,2 % en el 2T26 y +16,9 % en nueve meses, pero el EBITDA crece un 16,0 % y la guía 2026 se estrecha a 2.835-2.855 M USD con BPA de 17,97-18,32 USD [18]. La desaceleración ya estaba prevista; el margen, no.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fundador y consejero delegado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casi diarias de septiembre y octubre generan titulares negativos, y la prensa las relativiza por la participación que conserva [67, 68, 73]. Comprobar en los Form 4 si van bajo plan 10b5-1 y qué fracción de su participación suponen.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caja sin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valoraban como soporte [66]. El 3T26 no tuvo recompras, pero el consejo sustituyó la autorización restante de 527,0 M USD por una nueva de 1.000 M USD hasta finales de 2028, con 705,3 M USD de caja y 216,6 M USD de caja operativa en el trimestre [18]. Es más munición de lo que esperaba el debate.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Momento técnico antes de resultados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mensajes de corto plazo hablaban de ruptura antes del dato y la acción subió con fuerza el 21-oct [69, 73]. Es opinión de operadores, no de fundamentales; la reacción fuera de hora tras el comunicado fue volátil y no confirma ni desmiente la apuesta.</w:t>
            </w:r>
          </w:p>
        </w:tc>
      </w:tr>
    </w:tbl>
    <w:p>
      <w:pPr>
        <w:spacing w:after="160" w:before="0"/>
      </w:pPr>
    </w:p>
    <w:p>
      <w:pPr>
        <w:spacing w:after="100"/>
      </w:pPr>
      <w:r>
        <w:t xml:space="preserve">El debate sobre Medpace ha pasado de escéptico a moderadamente constructivo desde el 2T26: casi todas las voces aceptan la calidad del negocio y dudan del precio y del crecimiento de 2027 [65, 66, 70]. El 3T26 resuelve a favor de los optimistas lo que más preocupaba, la contratación (book-to-bill de 1,22 veces y nueva recompra de 1.000 M USD), y deja abierto lo que la gente ya daba por hecho, la desaceleración de ingresos al 8,5 % [18]. El sentimiento coincide con el consenso de analistas en mantener; no lo contradice. El riesgo a recoger es el ruido de la demanda colectiva y las ventas del fundador, que pesa más en el tono que en las cifras [5, 69]. Aporta poco a la valoración y confirma que el mercado descuenta la normalización y deja poco margen de error.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22 controles correctos y 1 explicados. Fuentes: 83 (49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4,2 % en 2030e frente al 3,4 %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-18,5 % frente a -19,0 % real: genera una variación de circulante de -46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0,04: el crecimiento no explica los múltiplos de estos comparables; no uses el valor de la regresión. Explicación: Con seis comparables y crecimientos del 0,9 % al 5,9 %, el crecimiento no explica los múltiplos (R² 0,04): el valor de la regresión no se usa; la valoración por comparables usa las medianas.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83 fuentes (49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Cancelaciones en importe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y 10-Q 1T26/2T26: solo dan adjudicaciones netas, no brutas ni cancelaciones; 2) notas de prensa de resultados 3T25-2T26: tampoco; 3) transcripciones del 1T26 y 2T26 (MarketBeat): solo cualitativo («highest point in over a year», «came down quite a 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(áreas terapéuticas) 2018-2019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2020: la tabla por área terapéutica sale desordenada en el texto; 2) XBRL Company Facts: sin desglose por área; 3) 10-K 2022: solo 2020-2022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(serie 2020-2025)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y adjudicaciones netas de 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solo 2024-2025; 2) 10-K 2022: hasta 2022; 3) no se descargó el 10-K 2023/2024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recompradas en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XBRL: solo importes (98,3 M y 62,1 M); 2) 10-K 2022: solo 2022; 3) 10-K 2020/2021 no revisados en ese punto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 con analistas del 3T26 (cancelaciones, peticiones de oferta, comentarios sobre 2027)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21-oct (anexo 99.1): solo convoca la conferencia para el 22-oct a las 9:00 ET; 2) página de resultados del 3T26 de MarketBeat leída el 21-oct: consenso y cotización, sin transcripción; 3) no procede: la conferencia es posterior a la fecha de corte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(posterior a la fecha de corte)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 de CRO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Medpace, IQVIA y Fortrea y 20-F de ICON: solo Fortrea da una previsión, la del I+D de las grandes farmacéuticas (4-5 % anual en 2025-2030); 2) informe EY Beyond Borders 2026: cubre financiación, no el mercado de CRO; 3) informes de consultoras de mercado: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Medpace en su nicho (servicio completo para biotecnológicas pequeñas y medianas)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2025: no la publica; 2) folleto de 2016: solo el tamaño del nicho en 2014 (unos 7.000 M USD); 3) 10-K de IQVIA, Fortrea y 20-F de ICON: no segmentan el mercado por tamaño de cliente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2025: solo remite al informe de responsabilidad corporativa 2025-2026; 2) página de Sustainalytics de Medpace: se carga con JavaScript y no muestra la puntuación al descargarla ni con WebFetch; 3) búsqueda web: solo copias de terceros con cifras discrepantes (17,2 y 19,67) sin fecha, no utilizables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WuXi y de Parexel; cifras recientes de Syneos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WuXi y Parexel no presentan cuentas en la SEC y Syneos dejó de hacerlo en 2023; 2) 10-K de 2022 de Syneos: usado como último dato; 3) 10-K de IQVIA y 20-F de ICON: no dan cifras de rivales privados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equipo[Brad W. Hansman].participacion_pct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no figuraba aún como directivo con remuneración publicada; 2) 8-K del 4-jun-2026 de su nombramiento: no da acciones; 3) Form 4 de los últimos 12 meses (form4.mjs): sin operaciones suyas registradas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accionistas[BlackRock].variacion reciente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cita el 13G/A de enero de 2024; 2) lista de presentaciones de EDGAR del emisor: sin 13G de BlackRock posterior a 2024; 3) los 13G de 2026 en EDGAR solo son de T. Rowe Price y Vanguard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dato de 2024 marcado como tal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2) Yahoo Finance, análisis (EPS Trend): la página no cargó los datos; 3) derivado de los cambios de la guía de febrero, abril y julio de 2026 y de los cambios de precio objetivo de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del registro de Nasdaq</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Nasdaq, short interest: tiempo agotado; 2) Stock Analysis: 1,60 M acciones sin fecha; 3) MarketBeat: 1.596.293 acciones a 30-sep-2026; a 21-oct MarketBeat no ha publicado aún el dato del 15-oct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de particulares con debate de fondo)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Stocktwits web y artículos completos de Seeking Alpha (13-14 de octubre): HTTP 403 o bloqueados; 2) API de Stocktwits (abre, pero casi todo son mensajes técnicos y de bufetes), Investing.com y Yahoo comunidad sin comentarios fechados legibles; 3) índice de octubre de Motley Fool sin artículos de Medpace; se usan prensa con opinión, títulos del RSS de Seeking Alpha, MarketBeat y Stocktwits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con confianza Baja: opinión de autores y prensa, poco debate de particulares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reacción de los foros a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un solo mensaje tras el comunicado; 2) RSS de Seeking Alpha: solo la noticia del dato, sin artículos; 3) MarketBeat y The Globe and Mail: solo la reacción de StockStory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resultados publicados 30 minutos antes del corte de esta nota; la conferencia es el 22-oct</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https://www.sec.gov/Archives/edgar/data/1668397/000166839726000006/medp-20251231.htm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Medpace Holdings, XBRL Company Facts (series de los 10-K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https://data.sec.gov/api/xbrl/companyfacts/CIK0001668397.json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https://www.sec.gov/Archives/edgar/data/1668397/000166839723000008/medp-20221231.htm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https://www.sec.gov/Archives/edgar/data/1668397/000156459021006072/medp-10k_20201231.htm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https://www.sec.gov/Archives/edgar/data/1668397/000166839726000025/medp-20260630.htm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10-Q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https://www.sec.gov/Archives/edgar/data/1668397/000166839726000019/medp-20260331.htm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Second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https://www.sec.gov/Archives/edgar/data/1668397/000166839726000023/medp-2026722exx991.htm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First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https://www.sec.gov/Archives/edgar/data/1668397/000166839726000017/medp-20260422exx991.htm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Fourth Quarter and Full Year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https://www.sec.gov/Archives/edgar/data/1668397/000166839726000004/medp-20260209exx991.htm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Reports Third Quarter 2025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https://www.sec.gov/Archives/edgar/data/1668397/000166839725000108/medp-20251022exx991.htm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Q1 2026 Earnings Call Transcript y consenso previo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https://www.marketbeat.com/earnings/reports/2026-4-22-medpace-holdings-inc-stock/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Q2 2026 Earnings Call Transcript y consenso previo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https://www.marketbeat.com/earnings/reports/2026-7-22-medpace-holdings-inc-stock/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Q4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https://www.marketbeat.com/earnings/reports/2026-2-9-medpace-holdings-inc-stock/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Q3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https://www.marketbeat.com/earnings/reports/2025-10-22-medpace-holdings-inc-stock/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Q2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https://www.marketbeat.com/earnings/reports/2025-7-21-medpace-holdings-inc-stock/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Q1 2025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https://www.marketbeat.com/earnings/reports/2025-4-21-medpace-holdings-inc-stock/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Q4 2024 earnings: consenso previo y resultado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https://www.marketbeat.com/earnings/reports/2025-2-10-medpace-holdings-inc-stock/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Inc. Reports Third Quarter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https://www.sec.gov/Archives/edgar/data/1668397/000166839726000034/medp-20261021exx991.htm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Form 8-K del 21-oct-2026 (Item 8.01: nueva autorización de recompra de 1.000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https://www.sec.gov/Archives/edgar/data/1668397/000166839726000034/medp-20261020.htm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Q3 2026 earnings: consenso previo, resultado y cotización en sesión ampliada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https://www.marketbeat.com/earnings/reports/2026-10-21-medpace-holdings-inc-stock/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folleto de la salida a bolsa (424B4)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https://www.sec.gov/Archives/edgar/data/1668397/000119312516679354/d125783d424b4.htm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8-K de 22 de abril de 2026 (salida del presidente Jesse Geiger)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https://www.sec.gov/Archives/edgar/data/1668397/000166839726000017/medp-20260421.htm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https://www.sec.gov/Archives/edgar/data/1478242/000162828026008322/iqv-20251231.htm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https://www.sec.gov/Archives/edgar/data/1478242/000147824221000020/iqv-20201231.htm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https://www.sec.gov/Archives/edgar/data/1478242/000147824222000041/iqv-20211231.htm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https://www.sec.gov/Archives/edgar/data/1478242/000147824223000044/iqv-20221231.htm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https://www.sec.gov/Archives/edgar/data/1478242/000147824224000038/iqv-20231231.htm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Holdings,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https://www.sec.gov/Archives/edgar/data/1478242/000147824225000045/iqv-20241231.htm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Fortrea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https://www.sec.gov/Archives/edgar/data/1965040/000162828026012244/ftre-20251231.htm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https://www.sec.gov/Archives/edgar/data/1060955/000162828026038487/iclr-20251231.htm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Laboratories,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https://www.sec.gov/Archives/edgar/data/1100682/000110068226000022/crl-20251227.htm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Form 10-K del ejercicio 2022 (último antes de su exclusión de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https://www.sec.gov/Archives/edgar/data/1610950/000095017023002928/synh-20221231.htm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Form 20-F del ejercicio 2010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https://www.sec.gov/Archives/edgar/data/1060955/000115752311001681/a6635473.htm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 Biotech Beyond Borders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https://www.ey.com/content/dam/ey-unified-site/ey-com/en-gl/campaigns/life-sciences-securing-value-data-driven-platforms/documents/ey-gl-beyond-borders-biotech-report-06-2026.pdf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 E6 Good clinical practice - Scientific guideline (ICH E6(R3))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 (EMA)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https://www.ema.europa.eu/en/scientific-guidelines/ich-e6-good-clinical-practice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Inc.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https://www.sec.gov/Archives/edgar/data/1668397/000166839726000012/medp-20260401.htm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https://www.sec.gov/Archives/edgar/data/1668397/000119312526230425/d101911d8k.htm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https://www.sec.gov/Archives/edgar/data/1668397/000119312525121801/d918670d8k.htm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2024 (ítems 5.03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https://www.sec.gov/Archives/edgar/data/1668397/000119312524143907/d821074d8k.htm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Brad W. Hansman como vicepresidente ejecutivo de Operaciones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https://www.sec.gov/Archives/edgar/data/1668397/000119312526257387/d162455d8k.htm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renuncia de Ashley Keating y nombramiento de Dani Zander como consejera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https://www.sec.gov/Archives/edgar/data/1668397/000119312524175077/d822266d8k.htm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Medpace, 21-oct-2025 a 21-oct-2026 (73 presentaciones, agregadas con 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https://www.sec.gov/cgi-bin/browse-edgar?action=getcompany&amp;CIK=0001668397&amp;type=4&amp;dateb=&amp;owner=include&amp;count=100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August J. Troendle, ventas del 29 y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https://www.sec.gov/Archives/edgar/data/1668397/000162205826000022/0001622058-26-000022.txt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n.º 24 de August J. Troendle y Medpace Investors,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https://www.sec.gov/Archives/edgar/data/1668397/000119312526405684/primary_doc.xml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T. Rowe Price Associates sobre Medpace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https://www.sec.gov/Archives/edgar/data/1668397/000008025526000559/xslSCHEDULE_13G_X02/primary_doc.xml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n.º 7 de The Vanguard Group sobre Medpace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https://www.sec.gov/Archives/edgar/data/1668397/000010290926001781/xslSCHEDULE_13G_X02/primary_doc.xml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guía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https://www.sec.gov/Archives/edgar/data/1668397/000156459020006036/medp-ex991_6.htm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guía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https://www.sec.gov/Archives/edgar/data/1668397/000156459021005890/medp-ex991_6.htm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guía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https://www.sec.gov/Archives/edgar/data/1668397/000095017022001213/medp-ex99_1.htm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guía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https://www.sec.gov/Archives/edgar/data/1668397/000166839723000003/medp-20230213exx991.htm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guía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https://www.sec.gov/Archives/edgar/data/1668397/000166839724000008/medp-20240212exx991.htm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guía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https://www.sec.gov/Archives/edgar/data/1668397/000166839725000012/medp-20250210exx991.htm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Susan E. Burwig, ejercicio de opciones del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https://www.sec.gov/Archives/edgar/data/1668397/000167741826000014/wk-form4_1792008859.xml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de MEDP, SPY y XLV (bolsa.json) y cotización intradía fuera de hora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https://finance.yahoo.com/quote/MEDP/history/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datos financieros y previsiones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https://www.marketscreener.com/quote/stock/MEDPACE-HOLDINGS-INC-30506552/finances/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https://www.marketscreener.com/quote/stock/MEDPACE-HOLDINGS-INC-30506552/consensus/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https://stockanalysis.com/stocks/medp/forecast/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https://stockanalysis.com/stocks/medp/statistics/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https://www.marketbeat.com/stocks/NASDAQ/MEDP/short-interest/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Charles River Labs Stock Jumps As Street Hikes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https://stockstotrade.com/news/charles-river-laboratories-international-inc-crl-news-2026_10_21/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Holdings (MEDP): feed RSS de análisis y noticias (títulos y fechas de artículos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https://seekingalpha.com/api/sa/combined/MEDP.xml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MEDP Worth Buying as Growth Collides With a Premium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https://www.theglobeandmail.com/investing/markets/stocks/MEDP/pressreleases/3697256/is-medp-worth-buying-as-growth-collides-with-a-premium-valuation/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Investors Should Know About Medpace CEO Troendle Selling $10 Million 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https://www.fool.com/coverage/filings/2026/08/26/what-investors-should-know-about-medpace-ceo-troendle-selling-usd10-million-in-stock/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(MEDP) News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https://www.marketbeat.com/stocks/NASDAQ/MEDP/news/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$MEDP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https://api.stocktwits.com/api/2/streams/symbol/MEDP.json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Don't Chase Medpace Stock Here Despite Its Strong Technical Momentum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(vía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https://finance.yahoo.com/markets/stocks/articles/don-t-chase-medpace-stock-154003119.html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(NASDAQ:MEDP) reports Q3 2026 in line with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https://www.theglobeandmail.com/investing/markets/stocks/MEDP/pressreleases/8291188/medpace-nasdaqmedp-reports-q3-2026-in-line-with-expectations/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To Expect From Medpace's (MEDP) Q3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(vía 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https://www.theglobeandmail.com/investing/markets/stocks/MEDP/pressreleases/8213531/what-to-expect-from-medpaces-medp-q3-earnings/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(NASDAQ:MEDP) Shares Climb 6.7% - Should You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https://www.marketbeat.com/instant-alerts/price-medpace-nasdaq-medp-shares-climb-67-should-you-buy-2026-10-21/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financieros y previsiones del consenso de IQVIA, ICON, Charles River, Fortrea, Thermo Fisher y Labcorp (EBITDA ajustado y BPA de los últimos y próximos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https://www.marketscreener.com/quote/stock/IQVIA-HOLDINGS-INC-40331382/finances/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capitalización, deuda, caja y estimaciones de BPA de los comparables (IQV, ICLR, CRL, FTRE, TMO, LH)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ICON, IQVIA, Charles River, Fortrea, Thermo Fisher y Labcorp (rentabilidad del capital invertido y por flujo libre)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https://stockanalysis.com/stocks/iclr/statistics/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inversión de ICON plc, corte 2026-10-09 (tabla de comparables y puente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interno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informes/icon-2026-10-09/ICON - 2026-10-09.pdf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del 8 y 21 de octubre de 2026 de IQV, ICLR, CRL, FTRE, TMO y LH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https://finance.yahoo.com/quote/IQV/history/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Public Limited Company (ICLR): datos financieros y previsiones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https://www.marketscreener.com/quote/stock/ICON-PUBLIC-LIMITED-COMPA-12685103/finances/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to Acquire Clario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Scientific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https://www.sec.gov/Archives/edgar/data/97745/000009774525000156/thermofisherscientifictoac.htm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Definitive Proxy Statement (DEFM14A) de la fusión con Elliott, Patient Square y Veritas (incluye el análisis de operaciones de BofA Securities)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Syneos Health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https://www.sec.gov/Archives/edgar/data/1610950/000119312523176268/d450417ddefm14a.htm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Inc.: Definitive Information Statement (DEFM14C) de la fusión con Thermo Fisher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PPD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https://www.sec.gov/Archives/edgar/data/1793294/000119312521172340/d238109ddefm14c.htm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to acquire PRA Health Sciences (comunicación 425)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ICON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https://www.sec.gov/Archives/edgar/data/1060955/000114036121005941/nc10020781x7_425.htm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capital, riesgos</w:t>
      </w:r>
      <w:r>
        <w:t xml:space="preserve"> · Generado el 21 oct 2026.</w:t>
      </w:r>
    </w:p>
    <w:p>
      <w:pPr>
        <w:pStyle w:val="Nota"/>
        <w:spacing w:after="100"/>
      </w:pPr>
      <w:r>
        <w:t xml:space="preserve">Precio de cierre del 21-oct-2026 (662,48 USD), anterior a los resultados del 3T26, que se publicaron tras el cierre; fuera de hora la acción se movió entre 622 y 666 USD sin volumen apreciable [18, 55]. Acciones diluidas de 28,40 M: 27,97 M en circulación a 30-sep-2026 más la dilución del 3T26; el 10-Q del 3T26 aún no está presentado [18]. Los ingresos son los totales publicados, con los gastos reembolsados a coste (40 % en el 3T26); los ingresos netos de servicio son estimación propia (totales menos reembolsados) [1, 18]. El EBITDA del informe es EBIT más amortizaciones; el de la empresa y el del consenso de MarketScreener difieren en menos de un 1 % y no excluyen los pagos en acciones [9, 56]. El consenso es del 21-oct, todavía sin los resultados [56]. Los comparables son los del análisis de ICON del 9-oct (cifras de MarketScreener, Yahoo Finance y Stock Analysis a 8-oct), llevados al cierre del 21-oct con la variación de precio de cada acción [74, 75, 76, 77, 78]; su EBITDA es el ajustado del consenso (sin pagos en acciones), mientras que el de Medpace los incluye. Ejercicios 2016-2017 omitidos: anteriores a la norma de ingresos ASC 606 y no comparables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Medpace Holdings, Inc. (MEDP)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662,48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(373,00 – 677,90)</c:v>
                </c:pt>
                <c:pt idx="1">
                  <c:v>Precio objetivo de los analistas (370,00 – 700,00)</c:v>
                </c:pt>
                <c:pt idx="2">
                  <c:v>Comparables: EV/EBITDA NTM (321,71 – 420,87)</c:v>
                </c:pt>
                <c:pt idx="3">
                  <c:v>Comparables: PER NTM (327,88 – 468,94)</c:v>
                </c:pt>
                <c:pt idx="4">
                  <c:v>Transacciones precedentes (EV/EBITDA) (273,35 – 515,15)</c:v>
                </c:pt>
                <c:pt idx="5">
                  <c:v>DCF (WACC y g ± 0,5) (307,14 – 368,59)</c:v>
                </c:pt>
                <c:pt idx="6">
                  <c:v>Escenarios (bajista – alcista) (223,06 – 464,96)</c:v>
                </c:pt>
                <c:pt idx="7">
                  <c:v>DCF con la prima implícita del mercado (4,2 %)</c:v>
                </c:pt>
                <c:pt idx="8">
                  <c:v>Precio actual (662,48)</c:v>
                </c:pt>
              </c:strCache>
            </c:strRef>
          </c:cat>
          <c:val>
            <c:numRef>
              <c:f>Hoja1!$B$2:$B$10</c:f>
              <c:numCache>
                <c:formatCode>#,##0</c:formatCode>
                <c:ptCount val="9"/>
                <c:pt idx="0">
                  <c:v>373</c:v>
                </c:pt>
                <c:pt idx="1">
                  <c:v>370</c:v>
                </c:pt>
                <c:pt idx="2">
                  <c:v>321.71</c:v>
                </c:pt>
                <c:pt idx="3">
                  <c:v>327.88</c:v>
                </c:pt>
                <c:pt idx="4">
                  <c:v>273.35</c:v>
                </c:pt>
                <c:pt idx="5">
                  <c:v>307.14</c:v>
                </c:pt>
                <c:pt idx="6">
                  <c:v>223.06</c:v>
                </c:pt>
                <c:pt idx="7">
                  <c:v>374.7</c:v>
                </c:pt>
                <c:pt idx="8">
                  <c:v>659.17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(373,00 – 677,90)</c:v>
                </c:pt>
                <c:pt idx="1">
                  <c:v>Precio objetivo de los analistas (370,00 – 700,00)</c:v>
                </c:pt>
                <c:pt idx="2">
                  <c:v>Comparables: EV/EBITDA NTM (321,71 – 420,87)</c:v>
                </c:pt>
                <c:pt idx="3">
                  <c:v>Comparables: PER NTM (327,88 – 468,94)</c:v>
                </c:pt>
                <c:pt idx="4">
                  <c:v>Transacciones precedentes (EV/EBITDA) (273,35 – 515,15)</c:v>
                </c:pt>
                <c:pt idx="5">
                  <c:v>DCF (WACC y g ± 0,5) (307,14 – 368,59)</c:v>
                </c:pt>
                <c:pt idx="6">
                  <c:v>Escenarios (bajista – alcista) (223,06 – 464,96)</c:v>
                </c:pt>
                <c:pt idx="7">
                  <c:v>DCF con la prima implícita del mercado (4,2 %)</c:v>
                </c:pt>
                <c:pt idx="8">
                  <c:v>Precio actual (662,48)</c:v>
                </c:pt>
              </c:strCache>
            </c:strRef>
          </c:cat>
          <c:val>
            <c:numRef>
              <c:f>Hoja1!$C$2:$C$10</c:f>
              <c:numCache>
                <c:formatCode>#,##0</c:formatCode>
                <c:ptCount val="9"/>
                <c:pt idx="0">
                  <c:v>304.9</c:v>
                </c:pt>
                <c:pt idx="1">
                  <c:v>330</c:v>
                </c:pt>
                <c:pt idx="2">
                  <c:v>99.16000000000003</c:v>
                </c:pt>
                <c:pt idx="3">
                  <c:v>141.06</c:v>
                </c:pt>
                <c:pt idx="4">
                  <c:v>241.79999999999995</c:v>
                </c:pt>
                <c:pt idx="5">
                  <c:v>61.44999999999999</c:v>
                </c:pt>
                <c:pt idx="6">
                  <c:v>241.89999999999998</c:v>
                </c:pt>
                <c:pt idx="7">
                  <c:v>57.99000000000001</c:v>
                </c:pt>
                <c:pt idx="8">
                  <c:v>6.6200000000000045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Oncología</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297.7</c:v>
                </c:pt>
                <c:pt idx="1">
                  <c:v>362.8</c:v>
                </c:pt>
                <c:pt idx="2">
                  <c:v>467.8</c:v>
                </c:pt>
                <c:pt idx="3">
                  <c:v>587.1</c:v>
                </c:pt>
                <c:pt idx="4">
                  <c:v>651.2</c:v>
                </c:pt>
                <c:pt idx="5">
                  <c:v>747.6</c:v>
                </c:pt>
              </c:numCache>
            </c:numRef>
          </c:val>
        </c:ser>
        <c:ser>
          <c:idx val="1"/>
          <c:order val="1"/>
          <c:tx>
            <c:strRef>
              <c:f>Hoja1!$C$1</c:f>
              <c:strCache>
                <c:ptCount val="1"/>
                <c:pt idx="0">
                  <c:v>Metabolismo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126.1</c:v>
                </c:pt>
                <c:pt idx="1">
                  <c:v>159.9</c:v>
                </c:pt>
                <c:pt idx="2">
                  <c:v>244.7</c:v>
                </c:pt>
                <c:pt idx="3">
                  <c:v>376.8</c:v>
                </c:pt>
                <c:pt idx="4">
                  <c:v>457.5</c:v>
                </c:pt>
                <c:pt idx="5">
                  <c:v>745</c:v>
                </c:pt>
              </c:numCache>
            </c:numRef>
          </c:val>
        </c:ser>
        <c:ser>
          <c:idx val="2"/>
          <c:order val="2"/>
          <c:tx>
            <c:strRef>
              <c:f>Hoja1!$D$1</c:f>
              <c:strCache>
                <c:ptCount val="1"/>
                <c:pt idx="0">
                  <c:v>Sistema nervioso central</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88.4</c:v>
                </c:pt>
                <c:pt idx="1">
                  <c:v>121.5</c:v>
                </c:pt>
                <c:pt idx="2">
                  <c:v>157.9</c:v>
                </c:pt>
                <c:pt idx="3">
                  <c:v>160.1</c:v>
                </c:pt>
                <c:pt idx="4">
                  <c:v>182</c:v>
                </c:pt>
                <c:pt idx="5">
                  <c:v>254.8</c:v>
                </c:pt>
              </c:numCache>
            </c:numRef>
          </c:val>
        </c:ser>
        <c:ser>
          <c:idx val="3"/>
          <c:order val="3"/>
          <c:tx>
            <c:strRef>
              <c:f>Hoja1!$E$1</c:f>
              <c:strCache>
                <c:ptCount val="1"/>
                <c:pt idx="0">
                  <c:v>Cardiología</c:v>
                </c:pt>
              </c:strCache>
            </c:strRef>
          </c:tx>
          <c:spPr>
            <a:solidFill>
              <a:srgbClr val="EDA1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95.2</c:v>
                </c:pt>
                <c:pt idx="1">
                  <c:v>119.7</c:v>
                </c:pt>
                <c:pt idx="2">
                  <c:v>174.6</c:v>
                </c:pt>
                <c:pt idx="3">
                  <c:v>193.7</c:v>
                </c:pt>
                <c:pt idx="4">
                  <c:v>230.5</c:v>
                </c:pt>
                <c:pt idx="5">
                  <c:v>239.4</c:v>
                </c:pt>
              </c:numCache>
            </c:numRef>
          </c:val>
        </c:ser>
        <c:ser>
          <c:idx val="4"/>
          <c:order val="4"/>
          <c:tx>
            <c:strRef>
              <c:f>Hoja1!$F$1</c:f>
              <c:strCache>
                <c:ptCount val="1"/>
                <c:pt idx="0">
                  <c:v>Antivirales y antiinfecciosos (AVAI)</c:v>
                </c:pt>
              </c:strCache>
            </c:strRef>
          </c:tx>
          <c:spPr>
            <a:solidFill>
              <a:srgbClr val="E87BA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Hoja1!$F$2:$F$7</c:f>
              <c:numCache>
                <c:formatCode>#,##0</c:formatCode>
                <c:ptCount val="6"/>
                <c:pt idx="0">
                  <c:v>103.3</c:v>
                </c:pt>
                <c:pt idx="1">
                  <c:v>111</c:v>
                </c:pt>
                <c:pt idx="2">
                  <c:v>118</c:v>
                </c:pt>
                <c:pt idx="3">
                  <c:v>163.3</c:v>
                </c:pt>
                <c:pt idx="4">
                  <c:v>156.5</c:v>
                </c:pt>
                <c:pt idx="5">
                  <c:v>134.9</c:v>
                </c:pt>
              </c:numCache>
            </c:numRef>
          </c:val>
        </c:ser>
        <c:ser>
          <c:idx val="5"/>
          <c:order val="5"/>
          <c:tx>
            <c:strRef>
              <c:f>Hoja1!$G$1</c:f>
              <c:strCache>
                <c:ptCount val="1"/>
                <c:pt idx="0">
                  <c:v>Otros</c:v>
                </c:pt>
              </c:strCache>
            </c:strRef>
          </c:tx>
          <c:spPr>
            <a:solidFill>
              <a:srgbClr val="008300"/>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Hoja1!$G$2:$G$7</c:f>
              <c:numCache>
                <c:formatCode>#,##0</c:formatCode>
                <c:ptCount val="6"/>
                <c:pt idx="0">
                  <c:v>215.4</c:v>
                </c:pt>
                <c:pt idx="1">
                  <c:v>267.4</c:v>
                </c:pt>
                <c:pt idx="2">
                  <c:v>296.9</c:v>
                </c:pt>
                <c:pt idx="3">
                  <c:v>404.8</c:v>
                </c:pt>
                <c:pt idx="4">
                  <c:v>431.4</c:v>
                </c:pt>
                <c:pt idx="5">
                  <c:v>408.5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Oncología</c:v>
                </c:pt>
                <c:pt idx="1">
                  <c:v>Metabolismo</c:v>
                </c:pt>
                <c:pt idx="2">
                  <c:v>Sistema nervioso central</c:v>
                </c:pt>
                <c:pt idx="3">
                  <c:v>Cardiología</c:v>
                </c:pt>
                <c:pt idx="4">
                  <c:v>Antivirales y antiinfecciosos (AVAI)</c:v>
                </c:pt>
                <c:pt idx="5">
                  <c:v>Otros</c:v>
                </c:pt>
              </c:strCache>
            </c:strRef>
          </c:cat>
          <c:val>
            <c:numRef>
              <c:f>Hoja1!$B$2:$B$7</c:f>
              <c:numCache>
                <c:formatCode>General</c:formatCode>
                <c:ptCount val="6"/>
                <c:pt idx="0">
                  <c:v>29.5</c:v>
                </c:pt>
                <c:pt idx="1">
                  <c:v>29.4</c:v>
                </c:pt>
                <c:pt idx="2">
                  <c:v>10.1</c:v>
                </c:pt>
                <c:pt idx="3">
                  <c:v>9.5</c:v>
                </c:pt>
                <c:pt idx="4">
                  <c:v>5.3</c:v>
                </c:pt>
                <c:pt idx="5">
                  <c:v>16.1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99</c:v>
                </c:pt>
                <c:pt idx="1">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gasto biofarmacéutico mundial en desarrollo de fármacos (estimación de IQVIA))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130000</c:v>
                </c:pt>
                <c:pt idx="1">
                  <c:v>150000</c:v>
                </c:pt>
                <c:pt idx="2">
                  <c:v>160000</c:v>
                </c:pt>
                <c:pt idx="3">
                  <c:v>184000</c:v>
                </c:pt>
                <c:pt idx="4">
                  <c:v>194000</c:v>
                </c:pt>
                <c:pt idx="5">
                  <c:v>199000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Medpace</c:v>
                </c:pt>
                <c:pt idx="1">
                  <c:v>IQVIA (Research &amp; Development Solutions)</c:v>
                </c:pt>
                <c:pt idx="2">
                  <c:v>ICON</c:v>
                </c:pt>
                <c:pt idx="3">
                  <c:v>Thermo Fisher (PPD, investigación clínica)</c:v>
                </c:pt>
                <c:pt idx="4">
                  <c:v>Syneos Health</c:v>
                </c:pt>
                <c:pt idx="5">
                  <c:v>Fortrea</c:v>
                </c:pt>
                <c:pt idx="6">
                  <c:v>Charles River Laboratories</c:v>
                </c:pt>
              </c:strCache>
            </c:strRef>
          </c:cat>
          <c:val>
            <c:numRef>
              <c:f>Hoja1!$B$2:$B$8</c:f>
              <c:numCache>
                <c:formatCode>0.0"%"</c:formatCode>
                <c:ptCount val="7"/>
                <c:pt idx="0">
                  <c:v>21.1</c:v>
                </c:pt>
                <c:pt idx="1">
                  <c:v>13.4</c:v>
                </c:pt>
                <c:pt idx="2">
                  <c:v>5.4</c:v>
                </c:pt>
                <c:pt idx="3">
                  <c:v>14</c:v>
                </c:pt>
                <c:pt idx="4">
                  <c:v>7.5</c:v>
                </c:pt>
                <c:pt idx="5">
                  <c:v>-32</c:v>
                </c:pt>
                <c:pt idx="6">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Hoja1!$B$2:$B$19</c:f>
              <c:numCache>
                <c:formatCode>#,##0</c:formatCode>
                <c:ptCount val="18"/>
                <c:pt idx="0">
                  <c:v>704.6</c:v>
                </c:pt>
                <c:pt idx="1">
                  <c:v>861</c:v>
                </c:pt>
                <c:pt idx="2">
                  <c:v>925.9</c:v>
                </c:pt>
                <c:pt idx="3">
                  <c:v>1142.4</c:v>
                </c:pt>
                <c:pt idx="4">
                  <c:v>1460</c:v>
                </c:pt>
                <c:pt idx="5">
                  <c:v>1885.8</c:v>
                </c:pt>
                <c:pt idx="6">
                  <c:v>2109.1</c:v>
                </c:pt>
                <c:pt idx="7">
                  <c:v>2530.2</c:v>
                </c:pt>
                <c:pt idx="8">
                  <c:v>2844</c:v>
                </c:pt>
                <c:pt idx="9">
                  <c:v>3043</c:v>
                </c:pt>
                <c:pt idx="10">
                  <c:v>3332</c:v>
                </c:pt>
                <c:pt idx="11">
                  <c:v>3632</c:v>
                </c:pt>
                <c:pt idx="12">
                  <c:v>3941</c:v>
                </c:pt>
                <c:pt idx="13">
                  <c:v>4256</c:v>
                </c:pt>
                <c:pt idx="14">
                  <c:v>4575</c:v>
                </c:pt>
                <c:pt idx="15">
                  <c:v>4873</c:v>
                </c:pt>
                <c:pt idx="16">
                  <c:v>5141</c:v>
                </c:pt>
                <c:pt idx="17">
                  <c:v>5372</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pt idx="16">
                  <c:v>2034e</c:v>
                </c:pt>
                <c:pt idx="17">
                  <c:v>2035e</c:v>
                </c:pt>
              </c:strCache>
            </c:strRef>
          </c:cat>
          <c:val>
            <c:numRef>
              <c:f>Hoja1!$C$2:$C$19</c:f>
              <c:numCache>
                <c:formatCode>#,##0</c:formatCode>
                <c:ptCount val="18"/>
                <c:pt idx="0">
                  <c:v>139.8</c:v>
                </c:pt>
                <c:pt idx="1">
                  <c:v>150.5</c:v>
                </c:pt>
                <c:pt idx="2">
                  <c:v>186.6</c:v>
                </c:pt>
                <c:pt idx="3">
                  <c:v>219.7</c:v>
                </c:pt>
                <c:pt idx="4">
                  <c:v>301.1</c:v>
                </c:pt>
                <c:pt idx="5">
                  <c:v>363.2</c:v>
                </c:pt>
                <c:pt idx="6">
                  <c:v>476.1</c:v>
                </c:pt>
                <c:pt idx="7">
                  <c:v>563.1</c:v>
                </c:pt>
                <c:pt idx="8">
                  <c:v>646</c:v>
                </c:pt>
                <c:pt idx="9">
                  <c:v>676</c:v>
                </c:pt>
                <c:pt idx="10">
                  <c:v>746</c:v>
                </c:pt>
                <c:pt idx="11">
                  <c:v>821</c:v>
                </c:pt>
                <c:pt idx="12">
                  <c:v>898</c:v>
                </c:pt>
                <c:pt idx="13">
                  <c:v>979</c:v>
                </c:pt>
                <c:pt idx="14">
                  <c:v>1052</c:v>
                </c:pt>
                <c:pt idx="15">
                  <c:v>1121</c:v>
                </c:pt>
                <c:pt idx="16">
                  <c:v>1182</c:v>
                </c:pt>
                <c:pt idx="17">
                  <c:v>1236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30.6</c:v>
                </c:pt>
                <c:pt idx="1">
                  <c:v>28.5</c:v>
                </c:pt>
                <c:pt idx="2">
                  <c:v>30.1</c:v>
                </c:pt>
                <c:pt idx="3">
                  <c:v>28.7</c:v>
                </c:pt>
                <c:pt idx="4">
                  <c:v>29.6</c:v>
                </c:pt>
                <c:pt idx="5">
                  <c:v>27.8</c:v>
                </c:pt>
                <c:pt idx="6">
                  <c:v>31.1</c:v>
                </c:pt>
                <c:pt idx="7">
                  <c:v>30.1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19.8</c:v>
                </c:pt>
                <c:pt idx="1">
                  <c:v>17.5</c:v>
                </c:pt>
                <c:pt idx="2">
                  <c:v>20.2</c:v>
                </c:pt>
                <c:pt idx="3">
                  <c:v>19.2</c:v>
                </c:pt>
                <c:pt idx="4">
                  <c:v>20.6</c:v>
                </c:pt>
                <c:pt idx="5">
                  <c:v>19.3</c:v>
                </c:pt>
                <c:pt idx="6">
                  <c:v>22.6</c:v>
                </c:pt>
                <c:pt idx="7">
                  <c:v>22.3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14.3</c:v>
                </c:pt>
                <c:pt idx="1">
                  <c:v>14.8</c:v>
                </c:pt>
                <c:pt idx="2">
                  <c:v>18</c:v>
                </c:pt>
                <c:pt idx="3">
                  <c:v>17.4</c:v>
                </c:pt>
                <c:pt idx="4">
                  <c:v>19.1</c:v>
                </c:pt>
                <c:pt idx="5">
                  <c:v>17.9</c:v>
                </c:pt>
                <c:pt idx="6">
                  <c:v>21.2</c:v>
                </c:pt>
                <c:pt idx="7">
                  <c:v>21.1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10.4</c:v>
                </c:pt>
                <c:pt idx="1">
                  <c:v>11.7</c:v>
                </c:pt>
                <c:pt idx="2">
                  <c:v>15.7</c:v>
                </c:pt>
                <c:pt idx="3">
                  <c:v>15.9</c:v>
                </c:pt>
                <c:pt idx="4">
                  <c:v>16.8</c:v>
                </c:pt>
                <c:pt idx="5">
                  <c:v>15</c:v>
                </c:pt>
                <c:pt idx="6">
                  <c:v>19.2</c:v>
                </c:pt>
                <c:pt idx="7">
                  <c:v>17.8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7.7</c:v>
                </c:pt>
                <c:pt idx="1">
                  <c:v>9.3</c:v>
                </c:pt>
                <c:pt idx="2">
                  <c:v>14.2</c:v>
                </c:pt>
                <c:pt idx="3">
                  <c:v>23.7</c:v>
                </c:pt>
                <c:pt idx="4">
                  <c:v>32</c:v>
                </c:pt>
                <c:pt idx="5">
                  <c:v>26.5</c:v>
                </c:pt>
                <c:pt idx="6">
                  <c:v>17.2</c:v>
                </c:pt>
                <c:pt idx="7">
                  <c:v>8.5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5">
                  <c:v>25.8</c:v>
                </c:pt>
                <c:pt idx="6">
                  <c:v>17.2</c:v>
                </c:pt>
                <c:pt idx="7">
                  <c:v>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44</c:v>
                </c:pt>
                <c:pt idx="1">
                  <c:v>54</c:v>
                </c:pt>
                <c:pt idx="2">
                  <c:v>54</c:v>
                </c:pt>
                <c:pt idx="3">
                  <c:v>48</c:v>
                </c:pt>
                <c:pt idx="4">
                  <c:v>53</c:v>
                </c:pt>
                <c:pt idx="5">
                  <c:v>53</c:v>
                </c:pt>
                <c:pt idx="6">
                  <c:v>50</c:v>
                </c:pt>
                <c:pt idx="7">
                  <c:v>54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c:v>
                </c:pt>
                <c:pt idx="1">
                  <c:v>13</c:v>
                </c:pt>
                <c:pt idx="2">
                  <c:v>15</c:v>
                </c:pt>
                <c:pt idx="3">
                  <c:v>12</c:v>
                </c:pt>
                <c:pt idx="4">
                  <c:v>12</c:v>
                </c:pt>
                <c:pt idx="5">
                  <c:v>9</c:v>
                </c:pt>
                <c:pt idx="6">
                  <c:v>8</c:v>
                </c:pt>
                <c:pt idx="7">
                  <c:v>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138.7</c:v>
                </c:pt>
                <c:pt idx="1">
                  <c:v>184</c:v>
                </c:pt>
                <c:pt idx="2">
                  <c:v>227.39999999999998</c:v>
                </c:pt>
                <c:pt idx="3">
                  <c:v>235</c:v>
                </c:pt>
                <c:pt idx="4">
                  <c:v>351.20000000000005</c:v>
                </c:pt>
                <c:pt idx="5">
                  <c:v>396.79999999999995</c:v>
                </c:pt>
                <c:pt idx="6">
                  <c:v>572.3</c:v>
                </c:pt>
                <c:pt idx="7">
                  <c:v>681.8000000000001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73.2</c:v>
                </c:pt>
                <c:pt idx="1">
                  <c:v>100.4</c:v>
                </c:pt>
                <c:pt idx="2">
                  <c:v>145.4</c:v>
                </c:pt>
                <c:pt idx="3">
                  <c:v>181.8</c:v>
                </c:pt>
                <c:pt idx="4">
                  <c:v>245.4</c:v>
                </c:pt>
                <c:pt idx="5">
                  <c:v>282.8</c:v>
                </c:pt>
                <c:pt idx="6">
                  <c:v>404.4</c:v>
                </c:pt>
                <c:pt idx="7">
                  <c:v>451.1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11.6</c:v>
                </c:pt>
                <c:pt idx="1">
                  <c:v>16.1</c:v>
                </c:pt>
                <c:pt idx="2">
                  <c:v>25.7</c:v>
                </c:pt>
                <c:pt idx="3">
                  <c:v>35.1</c:v>
                </c:pt>
                <c:pt idx="4">
                  <c:v>53.7</c:v>
                </c:pt>
                <c:pt idx="5">
                  <c:v>78.6</c:v>
                </c:pt>
                <c:pt idx="6">
                  <c:v>161.7</c:v>
                </c:pt>
                <c:pt idx="7">
                  <c:v>752.7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11.1</c:v>
                </c:pt>
                <c:pt idx="1">
                  <c:v>11.1</c:v>
                </c:pt>
                <c:pt idx="2">
                  <c:v>11.1</c:v>
                </c:pt>
                <c:pt idx="3">
                  <c:v>11.1</c:v>
                </c:pt>
                <c:pt idx="4">
                  <c:v>11.1</c:v>
                </c:pt>
                <c:pt idx="5">
                  <c:v>11.1</c:v>
                </c:pt>
                <c:pt idx="6">
                  <c:v>11.1</c:v>
                </c:pt>
                <c:pt idx="7">
                  <c:v>11.1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12.2</c:v>
                </c:pt>
                <c:pt idx="1">
                  <c:v>15.2</c:v>
                </c:pt>
                <c:pt idx="2">
                  <c:v>19</c:v>
                </c:pt>
                <c:pt idx="3">
                  <c:v>20.7</c:v>
                </c:pt>
                <c:pt idx="4">
                  <c:v>36.6</c:v>
                </c:pt>
                <c:pt idx="5">
                  <c:v>59.8</c:v>
                </c:pt>
                <c:pt idx="6">
                  <c:v>58.4</c:v>
                </c:pt>
                <c:pt idx="7">
                  <c:v>70.2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0.58</c:v>
                </c:pt>
                <c:pt idx="1">
                  <c:v>-0.88</c:v>
                </c:pt>
                <c:pt idx="2">
                  <c:v>-1.49</c:v>
                </c:pt>
                <c:pt idx="3">
                  <c:v>-2.1</c:v>
                </c:pt>
                <c:pt idx="4">
                  <c:v>0.07</c:v>
                </c:pt>
                <c:pt idx="5">
                  <c:v>-0.68</c:v>
                </c:pt>
                <c:pt idx="6">
                  <c:v>-1.41</c:v>
                </c:pt>
                <c:pt idx="7">
                  <c:v>-0.88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0</c:v>
                </c:pt>
                <c:pt idx="3">
                  <c:v>0</c:v>
                </c:pt>
                <c:pt idx="4">
                  <c:v>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0</c:v>
                </c:pt>
                <c:pt idx="1">
                  <c:v>0</c:v>
                </c:pt>
                <c:pt idx="2">
                  <c:v>0</c:v>
                </c:pt>
                <c:pt idx="3">
                  <c:v>0</c:v>
                </c:pt>
                <c:pt idx="4">
                  <c:v>0</c:v>
                </c:pt>
                <c:pt idx="5">
                  <c:v>0</c:v>
                </c:pt>
                <c:pt idx="6">
                  <c:v>0</c:v>
                </c:pt>
                <c:pt idx="7">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0</c:v>
                </c:pt>
                <c:pt idx="1">
                  <c:v>0</c:v>
                </c:pt>
                <c:pt idx="2">
                  <c:v>98.3</c:v>
                </c:pt>
                <c:pt idx="3">
                  <c:v>62.1</c:v>
                </c:pt>
                <c:pt idx="4">
                  <c:v>847.8</c:v>
                </c:pt>
                <c:pt idx="5">
                  <c:v>144</c:v>
                </c:pt>
                <c:pt idx="6">
                  <c:v>169.9</c:v>
                </c:pt>
                <c:pt idx="7">
                  <c:v>917.4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August J. Troendle (directo, fideicomiso y Medpace Investors, LLC)</c:v>
                </c:pt>
                <c:pt idx="1">
                  <c:v>Medpace Investors, LLC (incluida en Troendle)</c:v>
                </c:pt>
                <c:pt idx="2">
                  <c:v>BlackRock, Inc.</c:v>
                </c:pt>
                <c:pt idx="3">
                  <c:v>T. Rowe Price Associates, Inc.</c:v>
                </c:pt>
                <c:pt idx="4">
                  <c:v>The Vanguard Group</c:v>
                </c:pt>
                <c:pt idx="5">
                  <c:v>Autocartera</c:v>
                </c:pt>
              </c:strCache>
            </c:strRef>
          </c:cat>
          <c:val>
            <c:numRef>
              <c:f>Hoja1!$B$2:$B$7</c:f>
              <c:numCache>
                <c:formatCode>0.0"%"</c:formatCode>
                <c:ptCount val="6"/>
                <c:pt idx="0">
                  <c:v>19.1</c:v>
                </c:pt>
                <c:pt idx="1">
                  <c:v>16.8</c:v>
                </c:pt>
                <c:pt idx="2">
                  <c:v>8.5</c:v>
                </c:pt>
                <c:pt idx="3">
                  <c:v>7.2</c:v>
                </c:pt>
                <c:pt idx="4">
                  <c:v>0</c:v>
                </c:pt>
                <c:pt idx="5">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0.5</c:v>
                </c:pt>
                <c:pt idx="1">
                  <c:v>46</c:v>
                </c:pt>
                <c:pt idx="2">
                  <c:v>58.8</c:v>
                </c:pt>
                <c:pt idx="3">
                  <c:v>65.6</c:v>
                </c:pt>
                <c:pt idx="4">
                  <c:v>56.4</c:v>
                </c:pt>
                <c:pt idx="5">
                  <c:v>-2.4</c:v>
                </c:pt>
                <c:pt idx="6">
                  <c:v>44.3</c:v>
                </c:pt>
                <c:pt idx="7">
                  <c:v>8.4</c:v>
                </c:pt>
                <c:pt idx="8">
                  <c:v>69.1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21.7</c:v>
                </c:pt>
                <c:pt idx="1">
                  <c:v>-4.6</c:v>
                </c:pt>
                <c:pt idx="2">
                  <c:v>31.2</c:v>
                </c:pt>
                <c:pt idx="3">
                  <c:v>18.3</c:v>
                </c:pt>
                <c:pt idx="4">
                  <c:v>28.7</c:v>
                </c:pt>
                <c:pt idx="5">
                  <c:v>-18.2</c:v>
                </c:pt>
                <c:pt idx="6">
                  <c:v>26.2</c:v>
                </c:pt>
                <c:pt idx="7">
                  <c:v>24.9</c:v>
                </c:pt>
                <c:pt idx="8">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2">
                  <c:v>14.5</c:v>
                </c:pt>
                <c:pt idx="3">
                  <c:v>20.1</c:v>
                </c:pt>
                <c:pt idx="4">
                  <c:v>26.6</c:v>
                </c:pt>
                <c:pt idx="5">
                  <c:v>35.2</c:v>
                </c:pt>
                <c:pt idx="6">
                  <c:v>23.8</c:v>
                </c:pt>
                <c:pt idx="7">
                  <c:v>26.2</c:v>
                </c:pt>
                <c:pt idx="8">
                  <c:v>20.9</c:v>
                </c:pt>
                <c:pt idx="9">
                  <c:v>28.5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25</c:v>
                </c:pt>
                <c:pt idx="1">
                  <c:v>25</c:v>
                </c:pt>
                <c:pt idx="2">
                  <c:v>25</c:v>
                </c:pt>
                <c:pt idx="3">
                  <c:v>25</c:v>
                </c:pt>
                <c:pt idx="4">
                  <c:v>25</c:v>
                </c:pt>
                <c:pt idx="5">
                  <c:v>25</c:v>
                </c:pt>
                <c:pt idx="6">
                  <c:v>25</c:v>
                </c:pt>
                <c:pt idx="7">
                  <c:v>25</c:v>
                </c:pt>
                <c:pt idx="8">
                  <c:v>25</c:v>
                </c:pt>
                <c:pt idx="9">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Medpace</c:v>
                </c:pt>
                <c:pt idx="1">
                  <c:v>IQVIA</c:v>
                </c:pt>
                <c:pt idx="2">
                  <c:v>ICON</c:v>
                </c:pt>
                <c:pt idx="3">
                  <c:v>Charles River Laboratories</c:v>
                </c:pt>
                <c:pt idx="4">
                  <c:v>Fortrea</c:v>
                </c:pt>
                <c:pt idx="5">
                  <c:v>Thermo Fisher Scientific</c:v>
                </c:pt>
                <c:pt idx="6">
                  <c:v>Labcorp</c:v>
                </c:pt>
              </c:strCache>
            </c:strRef>
          </c:cat>
          <c:val>
            <c:numRef>
              <c:f>Hoja1!$B$2:$B$8</c:f>
              <c:numCache>
                <c:formatCode>0.0"x"</c:formatCode>
                <c:ptCount val="7"/>
                <c:pt idx="0">
                  <c:v>27.2</c:v>
                </c:pt>
                <c:pt idx="1">
                  <c:v>14.1</c:v>
                </c:pt>
                <c:pt idx="2">
                  <c:v>12.1</c:v>
                </c:pt>
                <c:pt idx="3">
                  <c:v>17.8</c:v>
                </c:pt>
                <c:pt idx="4">
                  <c:v>13.7</c:v>
                </c:pt>
                <c:pt idx="5">
                  <c:v>22.3</c:v>
                </c:pt>
                <c:pt idx="6">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Medpace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27.2</c:v>
                </c:pt>
              </c:numCache>
            </c:numRef>
          </c:yVal>
          <c:smooth val="0"/>
        </c:ser>
        <c:ser>
          <c:idx val="1"/>
          <c:order val="1"/>
          <c:tx>
            <c:strRef>
              <c:f>Hoja1!$A$3</c:f>
              <c:strCache>
                <c:ptCount val="1"/>
                <c:pt idx="0">
                  <c:v>IQVIA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14.1</c:v>
                </c:pt>
              </c:numCache>
            </c:numRef>
          </c:yVal>
          <c:smooth val="0"/>
        </c:ser>
        <c:ser>
          <c:idx val="2"/>
          <c:order val="2"/>
          <c:tx>
            <c:strRef>
              <c:f>Hoja1!$A$4</c:f>
              <c:strCache>
                <c:ptCount val="1"/>
                <c:pt idx="0">
                  <c:v>ICON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0.9</c:v>
                </c:pt>
              </c:numCache>
            </c:numRef>
          </c:xVal>
          <c:yVal>
            <c:numRef>
              <c:f>Hoja1!$C$4</c:f>
              <c:numCache>
                <c:formatCode>0.0"x"</c:formatCode>
                <c:ptCount val="1"/>
                <c:pt idx="0">
                  <c:v>12.1</c:v>
                </c:pt>
              </c:numCache>
            </c:numRef>
          </c:yVal>
          <c:smooth val="0"/>
        </c:ser>
        <c:ser>
          <c:idx val="3"/>
          <c:order val="3"/>
          <c:tx>
            <c:strRef>
              <c:f>Hoja1!$A$5</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-0.1</c:v>
                </c:pt>
              </c:numCache>
            </c:numRef>
          </c:xVal>
          <c:yVal>
            <c:numRef>
              <c:f>Hoja1!$C$5</c:f>
              <c:numCache>
                <c:formatCode>0.0"x"</c:formatCode>
                <c:ptCount val="1"/>
                <c:pt idx="0">
                  <c:v>17.8</c:v>
                </c:pt>
              </c:numCache>
            </c:numRef>
          </c:yVal>
          <c:smooth val="0"/>
        </c:ser>
        <c:ser>
          <c:idx val="4"/>
          <c:order val="4"/>
          <c:tx>
            <c:strRef>
              <c:f>Hoja1!$A$6</c:f>
              <c:strCache>
                <c:ptCount val="1"/>
                <c:pt idx="0">
                  <c:v>Fortrea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c:v>
                </c:pt>
              </c:numCache>
            </c:numRef>
          </c:xVal>
          <c:yVal>
            <c:numRef>
              <c:f>Hoja1!$C$6</c:f>
              <c:numCache>
                <c:formatCode>0.0"x"</c:formatCode>
                <c:ptCount val="1"/>
                <c:pt idx="0">
                  <c:v>13.7</c:v>
                </c:pt>
              </c:numCache>
            </c:numRef>
          </c:yVal>
          <c:smooth val="0"/>
        </c:ser>
        <c:ser>
          <c:idx val="5"/>
          <c:order val="5"/>
          <c:tx>
            <c:strRef>
              <c:f>Hoja1!$A$7</c:f>
              <c:strCache>
                <c:ptCount val="1"/>
                <c:pt idx="0">
                  <c:v>Thermo Fisher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5.9</c:v>
                </c:pt>
              </c:numCache>
            </c:numRef>
          </c:xVal>
          <c:yVal>
            <c:numRef>
              <c:f>Hoja1!$C$7</c:f>
              <c:numCache>
                <c:formatCode>0.0"x"</c:formatCode>
                <c:ptCount val="1"/>
                <c:pt idx="0">
                  <c:v>22.3</c:v>
                </c:pt>
              </c:numCache>
            </c:numRef>
          </c:yVal>
          <c:smooth val="0"/>
        </c:ser>
        <c:ser>
          <c:idx val="6"/>
          <c:order val="6"/>
          <c:tx>
            <c:strRef>
              <c:f>Hoja1!$A$8</c:f>
              <c:strCache>
                <c:ptCount val="1"/>
                <c:pt idx="0">
                  <c:v>Labcorp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5.3</c:v>
                </c:pt>
              </c:numCache>
            </c:numRef>
          </c:xVal>
          <c:yVal>
            <c:numRef>
              <c:f>Hoja1!$C$8</c:f>
              <c:numCache>
                <c:formatCode>0.0"x"</c:formatCode>
                <c:ptCount val="1"/>
                <c:pt idx="0">
                  <c:v>12.3</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Clario (datos y tecnología de ensayos clínicos)</c:v>
                </c:pt>
                <c:pt idx="1">
                  <c:v>Syneos Health</c:v>
                </c:pt>
                <c:pt idx="2">
                  <c:v>Clinigen Group</c:v>
                </c:pt>
                <c:pt idx="3">
                  <c:v>UDG Healthcare</c:v>
                </c:pt>
                <c:pt idx="4">
                  <c:v>PPD</c:v>
                </c:pt>
                <c:pt idx="5">
                  <c:v>PRA Health Sciences</c:v>
                </c:pt>
                <c:pt idx="6">
                  <c:v>Huntsworth</c:v>
                </c:pt>
              </c:strCache>
            </c:strRef>
          </c:cat>
          <c:val>
            <c:numRef>
              <c:f>Hoja1!$B$2:$B$8</c:f>
              <c:numCache>
                <c:formatCode>0.0"x"</c:formatCode>
                <c:ptCount val="7"/>
                <c:pt idx="1">
                  <c:v>9.7</c:v>
                </c:pt>
                <c:pt idx="2">
                  <c:v>13.3</c:v>
                </c:pt>
                <c:pt idx="3">
                  <c:v>17.6</c:v>
                </c:pt>
                <c:pt idx="4">
                  <c:v>23.4</c:v>
                </c:pt>
                <c:pt idx="5">
                  <c:v>24.4</c:v>
                </c:pt>
                <c:pt idx="6">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522</c:v>
                </c:pt>
                <c:pt idx="1">
                  <c:v>520</c:v>
                </c:pt>
                <c:pt idx="2">
                  <c:v>594</c:v>
                </c:pt>
                <c:pt idx="3">
                  <c:v>653</c:v>
                </c:pt>
                <c:pt idx="4">
                  <c:v>712</c:v>
                </c:pt>
                <c:pt idx="5">
                  <c:v>771</c:v>
                </c:pt>
                <c:pt idx="6">
                  <c:v>829</c:v>
                </c:pt>
                <c:pt idx="7">
                  <c:v>876</c:v>
                </c:pt>
                <c:pt idx="8">
                  <c:v>917</c:v>
                </c:pt>
                <c:pt idx="9">
                  <c:v>955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4197</c:v>
                </c:pt>
                <c:pt idx="1">
                  <c:v>4589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662,48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223.06</c:v>
                </c:pt>
                <c:pt idx="1">
                  <c:v>334.21</c:v>
                </c:pt>
                <c:pt idx="2">
                  <c:v>464.96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662,48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(373,00 – 677,90)</c:v>
                </c:pt>
                <c:pt idx="1">
                  <c:v>Precio objetivo de los analistas (370,00 – 700,00)</c:v>
                </c:pt>
                <c:pt idx="2">
                  <c:v>Comparables: EV/EBITDA NTM (321,71 – 420,87)</c:v>
                </c:pt>
                <c:pt idx="3">
                  <c:v>Comparables: PER NTM (327,88 – 468,94)</c:v>
                </c:pt>
                <c:pt idx="4">
                  <c:v>Transacciones precedentes (EV/EBITDA) (273,35 – 515,15)</c:v>
                </c:pt>
                <c:pt idx="5">
                  <c:v>DCF (WACC y g ± 0,5) (307,14 – 368,59)</c:v>
                </c:pt>
                <c:pt idx="6">
                  <c:v>Escenarios (bajista – alcista) (223,06 – 464,96)</c:v>
                </c:pt>
                <c:pt idx="7">
                  <c:v>DCF con la prima implícita del mercado (4,2 %)</c:v>
                </c:pt>
                <c:pt idx="8">
                  <c:v>Precio actual (662,48)</c:v>
                </c:pt>
              </c:strCache>
            </c:strRef>
          </c:cat>
          <c:val>
            <c:numRef>
              <c:f>Hoja1!$B$2:$B$10</c:f>
              <c:numCache>
                <c:formatCode>#,##0</c:formatCode>
                <c:ptCount val="9"/>
                <c:pt idx="0">
                  <c:v>373</c:v>
                </c:pt>
                <c:pt idx="1">
                  <c:v>370</c:v>
                </c:pt>
                <c:pt idx="2">
                  <c:v>321.71</c:v>
                </c:pt>
                <c:pt idx="3">
                  <c:v>327.88</c:v>
                </c:pt>
                <c:pt idx="4">
                  <c:v>273.35</c:v>
                </c:pt>
                <c:pt idx="5">
                  <c:v>307.14</c:v>
                </c:pt>
                <c:pt idx="6">
                  <c:v>223.06</c:v>
                </c:pt>
                <c:pt idx="7">
                  <c:v>374.7</c:v>
                </c:pt>
                <c:pt idx="8">
                  <c:v>659.17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(373,00 – 677,90)</c:v>
                </c:pt>
                <c:pt idx="1">
                  <c:v>Precio objetivo de los analistas (370,00 – 700,00)</c:v>
                </c:pt>
                <c:pt idx="2">
                  <c:v>Comparables: EV/EBITDA NTM (321,71 – 420,87)</c:v>
                </c:pt>
                <c:pt idx="3">
                  <c:v>Comparables: PER NTM (327,88 – 468,94)</c:v>
                </c:pt>
                <c:pt idx="4">
                  <c:v>Transacciones precedentes (EV/EBITDA) (273,35 – 515,15)</c:v>
                </c:pt>
                <c:pt idx="5">
                  <c:v>DCF (WACC y g ± 0,5) (307,14 – 368,59)</c:v>
                </c:pt>
                <c:pt idx="6">
                  <c:v>Escenarios (bajista – alcista) (223,06 – 464,96)</c:v>
                </c:pt>
                <c:pt idx="7">
                  <c:v>DCF con la prima implícita del mercado (4,2 %)</c:v>
                </c:pt>
                <c:pt idx="8">
                  <c:v>Precio actual (662,48)</c:v>
                </c:pt>
              </c:strCache>
            </c:strRef>
          </c:cat>
          <c:val>
            <c:numRef>
              <c:f>Hoja1!$C$2:$C$10</c:f>
              <c:numCache>
                <c:formatCode>#,##0</c:formatCode>
                <c:ptCount val="9"/>
                <c:pt idx="0">
                  <c:v>304.9</c:v>
                </c:pt>
                <c:pt idx="1">
                  <c:v>330</c:v>
                </c:pt>
                <c:pt idx="2">
                  <c:v>99.16000000000003</c:v>
                </c:pt>
                <c:pt idx="3">
                  <c:v>141.06</c:v>
                </c:pt>
                <c:pt idx="4">
                  <c:v>241.79999999999995</c:v>
                </c:pt>
                <c:pt idx="5">
                  <c:v>61.44999999999999</c:v>
                </c:pt>
                <c:pt idx="6">
                  <c:v>241.89999999999998</c:v>
                </c:pt>
                <c:pt idx="7">
                  <c:v>57.99000000000001</c:v>
                </c:pt>
                <c:pt idx="8">
                  <c:v>6.6200000000000045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