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Sanofi S.A.</w:t>
      </w:r>
    </w:p>
    <w:p>
      <w:pPr>
        <w:spacing w:after="60"/>
        <w:rPr>
          <w:color w:val="52514E"/>
          <w:sz w:val="22"/>
          <w:szCs w:val="22"/>
        </w:rPr>
      </w:pPr>
      <w:r>
        <w:rPr>
          <w:color w:val="52514E"/>
          <w:sz w:val="22"/>
          <w:szCs w:val="22"/>
        </w:rPr>
        <w:t xml:space="preserve">SAN · Euronext París · ISIN FR0000120578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73,10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81,43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+17,0 % (base +12,8 %)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98,70 EUR · mercado 113,73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87.939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Sanofi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 FR0000120578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https://www.sanofi.com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70,96 – 84,97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104.344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81,43 EUR</w:t>
      </w:r>
      <w:r>
        <w:t xml:space="preserve"> frente a 73,10 · Rentabilidad a 12 meses </w:t>
      </w:r>
      <w:r>
        <w:rPr>
          <w:b/>
          <w:bCs/>
        </w:rPr>
        <w:t xml:space="preserve">+17,0 % (base +12,8 %)</w:t>
      </w:r>
      <w:r>
        <w:t xml:space="preserve"> · Valor intrínseco 98,70 EUR · con la prima implícita del mercado: 113,73 (+55,6 %) · Alcista / bajista +44,9 % / +0,6 %</w:t>
      </w:r>
    </w:p>
    <w:p>
      <w:pPr>
        <w:spacing w:after="100"/>
      </w:pPr>
      <w:r>
        <w:rPr>
          <w:b/>
        </w:rPr>
        <w:t xml:space="preserve">La recomendación y por qué.</w:t>
      </w:r>
      <w:r>
        <w:t xml:space="preserve"> Comprar con convicción baja. A 73,10 EUR (cierre del 3-oct), el objetivo a 12 meses es de 81,43 EUR: nuestro BPA business de 2028e (9,79 EUR en el base) por el PER que hoy paga el mercado (8,0 veces), con un dividendo del 5,6 %. La rentabilidad ponderada a 12 meses es del 17,0 % y la del base del 12,8 %; el valor intrínseco, 98,70 EUR (+35,0 %). Los analistas ponen 90 EUR de objetivo medio [29]. La razón principal: el precio ya descuenta un precipicio de Dupixent peor que nuestro bajista, y el BPA sigue creciendo hasta 2028. </w:t>
      </w:r>
      <w:r>
        <w:rPr>
          <w:b/>
        </w:rPr>
        <w:t xml:space="preserve">La convicción es baja</w:t>
      </w:r>
      <w:r>
        <w:t xml:space="preserve"> porque el base supera su umbral del 12 % por menos de un punto y todas las cifras salen de extractos de búsqueda, no de las cuentas leídas; subiría si los resultados del 3T26 (30-oct) confirman la guía y el precio sigue por debajo de 73,61 EUR, y bajaría si Dupixent crece menos del 15 % en 2027.</w:t>
      </w:r>
    </w:p>
    <w:p>
      <w:pPr>
        <w:spacing w:after="100"/>
      </w:pPr>
      <w:r>
        <w:rPr>
          <w:b/>
        </w:rPr>
        <w:t xml:space="preserve">El negocio.</w:t>
      </w:r>
      <w:r>
        <w:t xml:space="preserve"> Dupixent (15.700 M en 2025, +37,6 % en el 2T26) lleva el crecimiento, pero su patente principal en EE. UU. vence en marzo de 2031 y la empresa admite que no podrá compensar esas ventas [1, 10, 15]. El ROIC del 11,7 % supera en 5 puntos al WACC del 6,69 %, poco para una farmacéutica de patente, por el fondo de comercio de compras pasadas. </w:t>
      </w:r>
      <w:r>
        <w:rPr>
          <w:b/>
        </w:rPr>
        <w:t xml:space="preserve">Sostenibilidad: «En parte»</w:t>
      </w:r>
      <w:r>
        <w:t xml:space="preserve">: la reinversión financia de sobra el 1,3 % de crecimiento medio proyectado (2,3 % financiable), pero ese crecimiento depende de un producto con fecha de caducidad y de una cartera que acaba de fallar (amlitelimab, itepekimab) [18].</w:t>
      </w:r>
    </w:p>
    <w:p>
      <w:pPr>
        <w:spacing w:after="100"/>
      </w:pPr>
      <w:r>
        <w:rPr>
          <w:b/>
        </w:rPr>
        <w:t xml:space="preserve">Finanzas.</w:t>
      </w:r>
      <w:r>
        <w:t xml:space="preserve"> Ventas de 43.626 M en 2025 (+9,9 % a tipo constante) y BPA business de 7,83 EUR; flujo libre de 8.100 M [2, 12]. En el 1S26, ventas +15,7 % y BPA business +22,7 % a tipo constante, con efectos puntuales [1, 9]. Deuda neta de 15.513 M (≈1,1 veces el EBITDA) tras el dividendo y la recompra de 1.000 M [8]. El beneficio NIIF queda muy por debajo del business por reestructuraciones recurrentes, que restamos en el DCF.</w:t>
      </w:r>
    </w:p>
    <w:p>
      <w:pPr>
        <w:spacing w:after="100"/>
      </w:pPr>
      <w:r>
        <w:rPr>
          <w:b/>
        </w:rPr>
        <w:t xml:space="preserve">Equipo y gobierno.</w:t>
      </w:r>
      <w:r>
        <w:t xml:space="preserve"> Relevo abrupto: el consejo no renovó a Paul Hudson y Belén Garijo dirige desde abril; en cinco meses ha cortado programas y cerrado un acuerdo de hasta 8.000 M USD con Regeneron [19, 21]. Sin accionista de control (L’Oréal, 7,2 % del capital y 13,1 % de los votos) [24]. Gobierno con pocos datos legibles.</w:t>
      </w:r>
    </w:p>
    <w:p>
      <w:pPr>
        <w:spacing w:after="100"/>
      </w:pPr>
      <w:r>
        <w:rPr>
          <w:b/>
        </w:rPr>
        <w:t xml:space="preserve">Valoración.</w:t>
      </w:r>
      <w:r>
        <w:t xml:space="preserve"> El DCF da 93,36 EUR; el inverso dice que el precio descuenta una caída de las ventas del 4,9 % anual frente al 0,6 % de nuestro base, o una rentabilidad implícita del 8,1 % frente al WACC del 6,69 %. Los comparables (mediana de PER de 17,2 veces frente a 8,5) darían mucho más, pero pesan solo un 10 % porque ignoran 2031. Discrepamos del mercado en el plazo: descuenta hoy una caída que llega dentro de cinco años.</w:t>
      </w:r>
    </w:p>
    <w:p>
      <w:pPr>
        <w:spacing w:after="100"/>
      </w:pPr>
      <w:r>
        <w:rPr>
          <w:b/>
        </w:rPr>
        <w:t xml:space="preserve">Riesgos y catalizadores.</w:t>
      </w:r>
      <w:r>
        <w:t xml:space="preserve"> Una caída de Dupixent más profunda o anticipada (bajista: 73,51 EUR de valor y 60,59 EUR a 12 meses), una compra cara para rellenar la cartera y los precios en EE. UU. Catalizadores: resultados del 3T26 el 30-oct y la guía de 2027 en enero. Los foros y la prensa están escépticos: vendieron tanto los buenos resultados del 2T26 como el acuerdo con Regeneron [34, 35].</w:t>
      </w:r>
    </w:p>
    <w:p>
      <w:pPr>
        <w:spacing w:after="100"/>
      </w:pPr>
      <w:r>
        <w:rPr>
          <w:b/>
        </w:rPr>
        <w:t xml:space="preserve">Qué cambiaría la decisión.</w:t>
      </w:r>
      <w:r>
        <w:t xml:space="preserve"> Comprar por debajo de 73,61 EUR; mantener entre 73,61 y 95,05; vender por encima de 95,05. Pasaríamos a Mantener si el 3T26 rebaja la guía, si Dupixent crece menos del 15 % en 2027 o si se anuncia una compra de más de 15.000 M a múltiplos de crecimiento.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Comprar</w:t>
      </w:r>
      <w:r>
        <w:t xml:space="preserve"> · Convicción: Baja · Horizonte: 12 meses (el valor intrínseco es una tesis a varios años) · Objetivo a 12 meses: </w:t>
      </w:r>
      <w:r>
        <w:rPr>
          <w:b/>
          <w:bCs/>
        </w:rPr>
        <w:t xml:space="preserve">81,43 EUR</w:t>
      </w:r>
      <w:r>
        <w:t xml:space="preserve"> (rentabilidad +17,0 % (base +12,8 %)) · Valor intrínseco: 98,70 EUR (+35,0 % sobre 73,10) · con la prima implícita del mercado: 113,73 (+55,6 %)</w:t>
      </w:r>
    </w:p>
    <w:p>
      <w:pPr>
        <w:spacing w:after="100"/>
      </w:pPr>
      <w:r>
        <w:t xml:space="preserve">Sanofi es la farmacéutica de Dupixent: el biológico de referencia en inflamación tipo 2, con 15.700 M de ventas en 2025 y creciendo por encima del 30 % [1, 10]. Con él, el grupo creció un 9,9 % a tipo constante en 2025 y ha subido la guía de 2026 a ≈+10 % [1, 12]. Genera 8.100 M de flujo libre y paga un dividendo de 4,12 EUR [12, 29].</w:t>
      </w:r>
    </w:p>
    <w:p>
      <w:pPr>
        <w:spacing w:after="100"/>
      </w:pPr>
      <w:r>
        <w:t xml:space="preserve">El precio descuenta lo contrario: a 8,5 veces el beneficio de los próximos 12 meses y 7,5 veces el EBITDA, el DCF inverso implica una caída de las ventas del 4,9 % anual, como si la patente de 2031 ya hubiera vencido. Los comparables cotizan a una mediana de 17,2 veces.</w:t>
      </w:r>
    </w:p>
    <w:p>
      <w:pPr>
        <w:spacing w:after="100"/>
      </w:pPr>
      <w:r>
        <w:t xml:space="preserve">El mercado acierta en que la cartera no repone a Dupixent y en que la asignación de capital ha sido mala (recompras a más de 100 EUR, fracasos clínicos) [18, 24]. Se equivoca, creemos, en el calendario: hasta 2028 el BPA sigue creciendo ≈7 % al año y el dividendo paga la espera. Para invertir hay que creer que la caída de 2031-2032 será de ≈14 % de las ventas y no del 30 %.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 × 8,91 = 60,59 · 8,0x × 9,79 = 78,32 · 10,4x × 10,43 = 108,47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 /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 (nuestro base -13,0 %)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6,7 %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(1,3 % anual proyectado; financiable al ROIC actual: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73,61 y 95,05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73,61 EUR sin cambio de cifras: pasaríamos a Mantener (la regla a 12 meses dejaría de dar Comprar).</w:t>
      </w:r>
    </w:p>
    <w:p>
      <w:pPr>
        <w:pStyle w:val="ListParagraph"/>
        <w:numPr>
          <w:ilvl w:val="0"/>
          <w:numId w:val="2"/>
        </w:numPr>
        <w:spacing w:after="60"/>
      </w:pPr>
      <w:r>
        <w:t xml:space="preserve">Guía de ventas de 2026 rebajada por debajo del +8 % a tipo constante en el 3T26 (30-oct).</w:t>
      </w:r>
    </w:p>
    <w:p>
      <w:pPr>
        <w:pStyle w:val="ListParagraph"/>
        <w:numPr>
          <w:ilvl w:val="0"/>
          <w:numId w:val="2"/>
        </w:numPr>
        <w:spacing w:after="60"/>
      </w:pPr>
      <w:r>
        <w:t xml:space="preserve">Dupixent creciendo menos del 15 % en algún trimestre de 2027.</w:t>
      </w:r>
    </w:p>
    <w:p>
      <w:pPr>
        <w:pStyle w:val="ListParagraph"/>
        <w:numPr>
          <w:ilvl w:val="0"/>
          <w:numId w:val="2"/>
        </w:numPr>
        <w:spacing w:after="60"/>
      </w:pPr>
      <w:r>
        <w:t xml:space="preserve">Una compra de más de 15.000 M a más de 10 veces ventas.</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inmediata y permanente: el PER de 8,0 veces nuestro BPA de 2027e y una contracción de las ventas del 4,9 % anual en el DCF inverso, propia de una empresa que ya ha perdido su producto estrella.</w:t>
      </w:r>
    </w:p>
    <w:p>
      <w:pPr>
        <w:keepNext/>
        <w:spacing w:after="100"/>
      </w:pPr>
      <w:r>
        <w:rPr>
          <w:b/>
          <w:bCs/>
        </w:rPr>
        <w:t xml:space="preserve">Lo que creemos nosotros.</w:t>
      </w:r>
    </w:p>
    <w:p>
      <w:pPr>
        <w:spacing w:after="100"/>
      </w:pPr>
      <w:r>
        <w:t xml:space="preserve">Cinco años más de crecimiento de Dupixent y una caída del 14 % de las ventas en 2031-2033, compensada a medias por la cartera y las compras; BPA business de 9,79 EUR en 2028e.</w:t>
      </w:r>
    </w:p>
    <w:p>
      <w:pPr>
        <w:keepNext/>
        <w:spacing w:after="100"/>
      </w:pPr>
      <w:r>
        <w:rPr>
          <w:b/>
          <w:bCs/>
        </w:rPr>
        <w:t xml:space="preserve">Por qué podemos tener razón.</w:t>
      </w:r>
    </w:p>
    <w:p>
      <w:pPr>
        <w:spacing w:after="100"/>
      </w:pPr>
      <w:r>
        <w:t xml:space="preserve">La guía se ha cumplido o superado en 2025 y 2026 y Dupixent aún suma indicaciones (EPOC, urticaria); el mercado castiga a la vez la cartera fallida y una caída que no llega hasta 2031.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Dupixent sigue acelerando</w:t>
      </w:r>
      <w:r>
        <w:t xml:space="preserve">: +37,6 % en el 2T26, 5.150 M en el trimestre [1].</w:t>
      </w:r>
    </w:p>
    <w:p>
      <w:pPr>
        <w:pStyle w:val="ListParagraph"/>
        <w:numPr>
          <w:ilvl w:val="0"/>
          <w:numId w:val="2"/>
        </w:numPr>
        <w:spacing w:after="60"/>
      </w:pPr>
      <w:r>
        <w:rPr>
          <w:b/>
        </w:rPr>
        <w:t xml:space="preserve">Guía elevada</w:t>
      </w:r>
      <w:r>
        <w:t xml:space="preserve">: ventas de ≈+10 % a tipo constante en 2026 y BPA algo por encima [1].</w:t>
      </w:r>
    </w:p>
    <w:p>
      <w:pPr>
        <w:pStyle w:val="ListParagraph"/>
        <w:numPr>
          <w:ilvl w:val="0"/>
          <w:numId w:val="2"/>
        </w:numPr>
        <w:spacing w:after="60"/>
      </w:pPr>
      <w:r>
        <w:rPr>
          <w:b/>
        </w:rPr>
        <w:t xml:space="preserve">Barata frente a su historia y al sector</w:t>
      </w:r>
      <w:r>
        <w:t xml:space="preserve">: PER de 8,5 veces frente a 11,1 de mediana histórica y 17,2 de los comparables.</w:t>
      </w:r>
    </w:p>
    <w:p>
      <w:pPr>
        <w:pStyle w:val="ListParagraph"/>
        <w:numPr>
          <w:ilvl w:val="0"/>
          <w:numId w:val="2"/>
        </w:numPr>
        <w:spacing w:after="60"/>
      </w:pPr>
      <w:r>
        <w:rPr>
          <w:b/>
        </w:rPr>
        <w:t xml:space="preserve">Dividendo del 5,6 %</w:t>
      </w:r>
      <w:r>
        <w:t xml:space="preserve"> con 8.100 M de flujo libre en 2025 [12].</w:t>
      </w:r>
    </w:p>
    <w:p>
      <w:pPr>
        <w:pStyle w:val="ListParagraph"/>
        <w:numPr>
          <w:ilvl w:val="0"/>
          <w:numId w:val="2"/>
        </w:numPr>
        <w:spacing w:after="60"/>
      </w:pPr>
      <w:r>
        <w:rPr>
          <w:b/>
        </w:rPr>
        <w:t xml:space="preserve">Balance con margen</w:t>
      </w:r>
      <w:r>
        <w:t xml:space="preserve">: deuda neta de ≈1,1 veces el EBITDA [8].</w:t>
      </w:r>
    </w:p>
    <w:p>
      <w:pPr>
        <w:pStyle w:val="Heading2"/>
      </w:pPr>
      <w:r>
        <w:t xml:space="preserve">En contra</w:t>
      </w:r>
    </w:p>
    <w:p>
      <w:pPr>
        <w:pStyle w:val="ListParagraph"/>
        <w:numPr>
          <w:ilvl w:val="0"/>
          <w:numId w:val="2"/>
        </w:numPr>
        <w:spacing w:after="60"/>
      </w:pPr>
      <w:r>
        <w:rPr>
          <w:b/>
        </w:rPr>
        <w:t xml:space="preserve">Patente de Dupixent en marzo de 2031</w:t>
      </w:r>
      <w:r>
        <w:t xml:space="preserve">: el producto es el 36 % de las ventas [16].</w:t>
      </w:r>
    </w:p>
    <w:p>
      <w:pPr>
        <w:pStyle w:val="ListParagraph"/>
        <w:numPr>
          <w:ilvl w:val="0"/>
          <w:numId w:val="2"/>
        </w:numPr>
        <w:spacing w:after="60"/>
      </w:pPr>
      <w:r>
        <w:rPr>
          <w:b/>
        </w:rPr>
        <w:t xml:space="preserve">Cartera fallida</w:t>
      </w:r>
      <w:r>
        <w:t xml:space="preserve">: deterioro de 952 M por amlitelimab e itepekimab abandonado [18].</w:t>
      </w:r>
    </w:p>
    <w:p>
      <w:pPr>
        <w:pStyle w:val="ListParagraph"/>
        <w:numPr>
          <w:ilvl w:val="0"/>
          <w:numId w:val="2"/>
        </w:numPr>
        <w:spacing w:after="60"/>
      </w:pPr>
      <w:r>
        <w:rPr>
          <w:b/>
        </w:rPr>
        <w:t xml:space="preserve">ROIC de solo el 11,7 %</w:t>
      </w:r>
      <w:r>
        <w:t xml:space="preserve">, 5 puntos sobre el WACC, por el fondo de comercio.</w:t>
      </w:r>
    </w:p>
    <w:p>
      <w:pPr>
        <w:pStyle w:val="ListParagraph"/>
        <w:numPr>
          <w:ilvl w:val="0"/>
          <w:numId w:val="2"/>
        </w:numPr>
        <w:spacing w:after="60"/>
      </w:pPr>
      <w:r>
        <w:rPr>
          <w:b/>
        </w:rPr>
        <w:t xml:space="preserve">Relevo de la dirección</w:t>
      </w:r>
      <w:r>
        <w:t xml:space="preserve"> hace cinco meses y revisión estratégica sin terminar [21].</w:t>
      </w:r>
    </w:p>
    <w:p>
      <w:pPr>
        <w:pStyle w:val="ListParagraph"/>
        <w:numPr>
          <w:ilvl w:val="0"/>
          <w:numId w:val="2"/>
        </w:numPr>
        <w:spacing w:after="60"/>
      </w:pPr>
      <w:r>
        <w:rPr>
          <w:b/>
        </w:rPr>
        <w:t xml:space="preserve">Riesgo de una compra cara</w:t>
      </w:r>
      <w:r>
        <w:t xml:space="preserve"> para rellenar el hueco de 2031.</w:t>
      </w:r>
    </w:p>
    <w:p>
      <w:pPr>
        <w:pStyle w:val="Heading2"/>
      </w:pPr>
      <w:r>
        <w:t xml:space="preserve">Qué tiene que pasar para que la tesis funcione</w:t>
      </w:r>
    </w:p>
    <w:p>
      <w:pPr>
        <w:spacing w:after="100"/>
      </w:pPr>
      <w:r>
        <w:t xml:space="preserve">La tesis depende de que Dupixent siga creciendo hasta 2030 y de que la caída posterior sea moderada. La señal de que no se cumple: crecimiento de Dupixent por debajo del 15 % en 2027, pérdida de cuota en dermatitis frente a Ebglyss y Rinvoq o un fallo judicial que adelante los biosimilares.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Dupixent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BPA por encima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una compra grande.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Otro &gt;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 cartera repone.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 / 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Sanofi nace de la fusión de Sanofi-Synthélabo y Aventis en 2004 y durante una década vivió de la insulina Lantus y de las vacunas. La alianza con Regeneron le dio Dupixent (2017), que hoy es el 36 % de las ventas [16]. En 2025 vendió el 50 % de Opella, su negocio de consumo, a CD&amp;R y compró Blueprint Medicines para entrar en enfermedades raras inmunológicas [2, 11]. En febrero de 2026 el consejo no renovó a Paul Hudson tras una serie de fracasos clínicos y nombró a Belén Garijo, ex consejera delegada de Merck KGaA, que en cinco meses ha abandonado amlitelimab e itepekimab y ha cerrado un nuevo acuerdo con Regeneron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Sanofi-Synthélabo y Aventis.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Dupixent con Regeneron, hoy el 36 % de las ventas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 por unos 10.400 M de caja neta; compra de Blueprint Medicines [2,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no renueva a Paul Hudson; Belén Garijo (ex Merck KGaA) es consejera delegada desde la junta del 29-abr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Abandono de amlitelimab e itepekimab (deterioro de 952 M en el 1S26) y nuevo acuerdo con Regeneron de hasta 8.000 M USD (1-oct) [18,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Sanofi es un grupo farmacéutico francés con ventas netas de 43.626 M EUR en 2025 [2]. Tiene tres bloques: </w:t>
      </w:r>
      <w:r>
        <w:rPr>
          <w:b/>
        </w:rPr>
        <w:t xml:space="preserve">Dupixent</w:t>
      </w:r>
      <w:r>
        <w:t xml:space="preserve"> (15.700 M en 2025; 5.150 M en el 2T26, +37,6 %), el anticuerpo para inflamación tipo 2 que comparte con Regeneron [1, 10]; </w:t>
      </w:r>
      <w:r>
        <w:rPr>
          <w:b/>
        </w:rPr>
        <w:t xml:space="preserve">vacunas</w:t>
      </w:r>
      <w:r>
        <w:t xml:space="preserve"> (7.900 M: gripe, pediátricas, meningitis y Beyfortus, 1.800 M) [10]; y el </w:t>
      </w:r>
      <w:r>
        <w:rPr>
          <w:b/>
        </w:rPr>
        <w:t xml:space="preserve">resto de farma</w:t>
      </w:r>
      <w:r>
        <w:t xml:space="preserve">: lanzamientos, enfermedades raras (Blueprint desde julio de 2025), hematología y medicina general [2]. Vende sobre todo a mayoristas, sistemas públicos y aseguradoras; en el 1S25 Estados Unidos fue el 48 % de las ventas, Europa el 21 % y el resto del mundo el 31 % [11].</w:t>
      </w:r>
    </w:p>
    <w:p>
      <w:pPr>
        <w:pStyle w:val="Heading2"/>
      </w:pPr>
      <w:r>
        <w:t xml:space="preserve">Cómo gana dinero</w:t>
      </w:r>
    </w:p>
    <w:p>
      <w:pPr>
        <w:spacing w:after="100"/>
      </w:pPr>
      <w:r>
        <w:t xml:space="preserve">Margen operativo business del 27,8 % en 2025 [12]: los medicamentos con patente (Dupixent sobre todo) tienen márgenes brutos muy altos; la I+D (≈16-17 % de las ventas) y la red comercial son los grandes costes. El beneficio depende de la mezcla: Dupixent aporta ≈80 % del crecimiento del semestre [36] y comparte beneficios con Regeneron. Las vacunas de gripe concentran ventas en el 3T-4T y bajan con las comparaciones altas (−4,7 % en el 2T26) [1]. Ingresos poco cíclicos pero con fechas de caducidad: cada patente que vence se lleva entre el 50 % y el 90 % de las ventas del producto en dos o tres años.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relevante por cliente final; en EE. UU. tres mayoristas distribuyen la mayor parte, como en todo el sector. El poder de precios es desigual: Dupixent crece en volumen con precio estable, mientras las insulinas y las vacunas de gripe sufren presión de precios y de los programas públicos. La reforma de precios de EE. UU. (negociación de Medicare) es el principal riesgo de precio a medio plazo; no hemos podido leer la exposición concreta.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publicado; +9,9 %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extremo alto de la guía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Dupixent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anuales de 15.700 M en 2025; ≈42 % de las ventas del 1S26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business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publicado; +15,0 %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efecto de las recompras (sin ellas, +12,2 %)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business sobre ventas netas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(definición Sanofi,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casi 30 días de existencias; 3.724 M en el 1S26 (+51,5 %) [8,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farmacéutico mundial de medicamentos innovadores con patente y de vacunas, con foco en inmunología tipo 2 (dermatitis atópica, asma, EPOC), donde Dupixent es el líder. No hemos podido leer un tamaño de mercado con dos fuentes desde la nube (hueco registrado).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biológicos en inflamación tipo 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creció un 37,6 % en el 2T26 y ya factura más de 20.000 M anualizados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patente principal de Dupixent vence en EE. UU. en marzo de 2031; JPMorgan cifra en 17.300 M las ventas en riesgo en 2030-2035 [15,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precios de Medicare y presión política sobre los precios; sin cifra legible para Sanofi.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Vacunación de gripe y VRS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Vacunas −4,7 % en el 2T26 por una base alta en gripe; Beyfortus +9,5 % en 2025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Lilly (Ebglyss) y AbbVie (Rinvoq) compiten con Dupixent; en vacunas, GSK, Pfizer y MSD.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en Europa y aseguradoras y Medicare en EE. UU. negocian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e inputs de bajo peso; el socio Regeneron sí captura la mitad del beneficio de Dupixent.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ensayos de miles de millones y aprobación regulatoria; los biosimilares solo entran al vencer la patente.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Biosimilares de Dupixent desde 2031 y nuevas moléculas orales o de dosis espaciadas.</w:t>
            </w:r>
          </w:p>
        </w:tc>
      </w:tr>
    </w:tbl>
    <w:p>
      <w:pPr>
        <w:spacing w:after="160" w:before="0"/>
      </w:pPr>
    </w:p>
    <w:p>
      <w:pPr>
        <w:pStyle w:val="Heading2"/>
      </w:pPr>
      <w:r>
        <w:t xml:space="preserve">Ciclo</w:t>
      </w:r>
    </w:p>
    <w:p>
      <w:pPr>
        <w:spacing w:after="100"/>
      </w:pPr>
      <w:r>
        <w:t xml:space="preserve">La demanda de medicamentos apenas depende del ciclo económico: Sanofi creció en 2008-09 y en 2020. Lo que marca el ciclo propio de cada empresa es el calendario de patentes: Sanofi está en la fase alta de Dupixent, con cinco años de crecimiento por delante antes del vencimiento de 2031 [15].</w:t>
      </w:r>
    </w:p>
    <w:p>
      <w:pPr>
        <w:pStyle w:val="Heading2"/>
      </w:pPr>
      <w:r>
        <w:t xml:space="preserve">Regulación</w:t>
      </w:r>
    </w:p>
    <w:p>
      <w:pPr>
        <w:spacing w:after="100"/>
      </w:pPr>
      <w:r>
        <w:t xml:space="preserve">En EE. UU., la negociación de precios de Medicare y la presión de la administración sobre los precios de los medicamentos; en Europa, la reforma farmacéutica de la UE, que recorta la protección de datos. La defensa de la exclusividad de Dupixent más allá de marzo de 2031 depende de patentes secundarias y de formulaciones nuevas [15].</w:t>
      </w:r>
    </w:p>
    <w:p>
      <w:pPr>
        <w:pStyle w:val="Heading2"/>
      </w:pPr>
      <w:r>
        <w:t xml:space="preserve">Tendencias y disrupción</w:t>
      </w:r>
    </w:p>
    <w:p>
      <w:pPr>
        <w:spacing w:after="100"/>
      </w:pPr>
      <w:r>
        <w:t xml:space="preserve">Más biológicos en inflamación y moléculas biespecíficas o de dosificación espaciada que pueden desplazar a Dupixent; la nueva dirección apuesta por acuerdos (Regeneron, 1-oct-2026) y por compras para rellenar la cartera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inflamación tipo 2 con Dupixent; entre los cuatro primeros en vacunas.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(lebrikizumab) compite con Dupixent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Rinvoq (inhibidor JAK oral)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vacunas (gripe, meningitis, VRS en adultos).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(Prevnar, VRS) e inmunología.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en Beyfortus y rival en respiratorio (Tezspire, Fasenra).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en farmacia.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estables con un biológico rara vez cambian; Dupixent sigue ganando cuota (+37,6 % en el 2T26)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Dupixent hasta 2031 y franquicia de vacunas con barreras de fabricación; pero la cartera de relevo ha fallado (amlitelimab, itepekimab, tolebrutinib)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vacunas; margen operativo business del 27,8 %, por debajo de Novartis o Merck (EBITDA del 40-43 %) [A12, D6].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de vacunas de gripe a escala mundial.</w:t>
            </w:r>
          </w:p>
        </w:tc>
      </w:tr>
    </w:tbl>
    <w:p>
      <w:pPr>
        <w:spacing w:after="160" w:before="0"/>
      </w:pPr>
    </w:p>
    <w:p>
      <w:pPr>
        <w:pStyle w:val="Heading2"/>
      </w:pPr>
      <w:r>
        <w:t xml:space="preserve">Amenazas</w:t>
      </w:r>
    </w:p>
    <w:p>
      <w:pPr>
        <w:spacing w:after="100"/>
      </w:pPr>
      <w:r>
        <w:t xml:space="preserve">La mayor amenaza es la propia patente de Dupixent: la empresa reconoce que no podrá compensar en ventas su pérdida de exclusividad [15]. Le siguen la competencia de Ebglyss y Rinvoq en dermatitis, la presión de precios en EE. UU. y la erosión de las vacunas de gripe. Probabilidad alta de una caída de ventas en 2031-2032; la duda es su tamaño.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2022-2025: ingresos </w:t>
      </w:r>
      <w:r>
        <w:rPr>
          <w:b/>
          <w:bCs/>
        </w:rPr>
        <w:t xml:space="preserve">0,5 %</w:t>
      </w:r>
      <w:r>
        <w:t xml:space="preserve">, EBITDA </w:t>
      </w:r>
      <w:r>
        <w:rPr>
          <w:b/>
          <w:bCs/>
        </w:rPr>
        <w:t xml:space="preserve">n.d.</w:t>
      </w:r>
      <w:r>
        <w:t xml:space="preserve">, BPA </w:t>
      </w:r>
      <w:r>
        <w:rPr>
          <w:b/>
          <w:bCs/>
        </w:rPr>
        <w:t xml:space="preserve">-1,8 %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Sin Opella, las ventas pasan de 37.817 M en 2023 a 43.626 M en 2025 (+7,4 % anual en euros) [2, 3], con un 9,9 % a tipo constante en 2025 [12]. El margen operativo business baja de 29,6 % en 2023 a 27,6 % en 2024 por la inversión en I+D y lanzamientos, y se recupera al 27,8 % en 2025 [3, 12]. En el 1S26 las ventas crecen un 15,7 % a tipo constante y el BPA business un 22,7 %, con efectos puntuales y recompras [1, 9]; el 2T26 dio 11.597 M de ventas y 2,09 EUR de BPA business [1]. El beneficio business pasó de 8.912 M a 9.555 M (+7,2 %) [2].</w:t>
      </w:r>
    </w:p>
    <w:p>
      <w:pPr>
        <w:pStyle w:val="Heading2"/>
      </w:pPr>
      <w:r>
        <w:t xml:space="preserve">Ajustes y partidas no recurrentes</w:t>
      </w:r>
    </w:p>
    <w:p>
      <w:pPr>
        <w:spacing w:after="100"/>
      </w:pPr>
      <w:r>
        <w:t xml:space="preserve">Usamos la base business de Sanofi. En 2025 el beneficio NIIF fue de 7.813 M, de los que 2.874 M salen de Opella (plusvalía de 2.610 M por la pérdida de control) [2]; el BPA NIIF fue de 6,40 EUR frente a 7,83 de business. La diferencia recurrente son la amortización de intangibles adquiridos (no es caja) y la reestructuración (≈1.000-1.500 M al año, sí es caja, por eso el DCF resta 2,5 puntos de margen). En el 1S26 hay un deterioro de 952 M por amlitelimab [18], fuera del business.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(30-jul) la dirección subió la guía de ventas a ≈+10 % a tipo constante, con el BPA business creciendo algo más, y avisó de que el segundo semestre será más lento por comparaciones más duras; tipo impositivo del ≈21 % [1, 9]. Garijo presentó su visión: revisión estratégica de la cartera en fase avanzada «todavía en curso» y más disciplina en costes [18]. Los analistas preguntaron sobre todo por el relevo de Dupixent y por los efectos puntuales del trimestre: sin recompras ni partidas puntuales, el BPA habría crecido ≈21 % y no 33 % [9]. La acción cayó un 8-9 % ese día [35]. En el 4T25 (29-ene) el director financiero había dicho que la pérdida de exclusividad de Dupixent «no se puede compensar» en ventas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Opella (salud de consumo) pasa a actividad interrumpida a finales de 2024 y la empresa reexpresa 2023: las ventas bajan de 43.070 a 37.817 M; 2022 no está reexpresado en lo que hemos podido leer.; 2025: Venta del 50 % de Opella a CD&amp;R (30-abr-2025; Sanofi conserva el 48,2 %, por puesta en equivalencia) y compra de Blueprint Medicines (julio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de 15.513 M es poco más de una vez el EBITDA business (1,1 veces): holgura para seguir comprando. El circulante es alto (existencias de 10.214 M y clientes de 11.046 M, el 48,7 % de las ventas) [6], aunque en 2025 bajó casi 30 días de existencias, lo que explica parte del salto del flujo de caja libre [12].</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2023-2025: FCF </w:t>
      </w:r>
      <w:r>
        <w:rPr>
          <w:b/>
          <w:bCs/>
        </w:rPr>
        <w:t xml:space="preserve">21.171</w:t>
      </w:r>
      <w:r>
        <w:t xml:space="preserve">, conversión </w:t>
      </w:r>
      <w:r>
        <w:rPr>
          <w:b/>
          <w:bCs/>
        </w:rPr>
        <w:t xml:space="preserve">77 %</w:t>
      </w:r>
      <w:r>
        <w:t xml:space="preserve"> del beneficio neto; adquisiciones 0, dividendos 0, recompras 5.000.</w:t>
      </w:r>
    </w:p>
    <w:p>
      <w:pPr>
        <w:spacing w:after="100"/>
      </w:pPr>
      <w:r>
        <w:t xml:space="preserve">El flujo operativo pasó de 10.258 M (2023) a 8.914 M (2024) y 10.917 M (2025) [7]; el flujo libre según Sanofi llegó a 8.100 M en 2025 (18,5 % de las ventas, +35,8 %) y a 3.724 M en el 1S26 [8, 12]. Parte de 2025 es la caída de existencias, no repetible. El capex de 2025 (2.817 M) es estimación propia: flujo operativo menos flujo libre. En 2025 entraron ≈10.400 M netos por Opella y salieron 5.000 M en recompras (3.000 M a L’Oréal) [2, 24].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 distancia entre el beneficio business (9.555 M) y el NIIF de operaciones continuadas es grande y recurrente: amortización de intangibles comprados y reestructuraciones de 1.000-1.500 M todos los años [2]. Tratamos la reestructuración como coste de caja. En 2025 el BPA NIIF lo infla la plusvalía de Opella (2.610 M) [2]; en 2026 lo rebaja el deterioro de amlitelimab (952 M) [18]. El Altman Z de 1,62 no es significativo en una farmacéutica con 58.830 M de fondo de comercio e intangibles; Piotroski y Beneish no se pueden calcular sin balance de varios años. No hemos podido leer el informe del auditor.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business muy por encima del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reestructuración se repite cada año; la restamos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Efectos puntuales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propia empresa reconoce que sin ellos y sin recompras el BPA crece ≈21 %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6,7 %.</w:t>
      </w:r>
    </w:p>
    <w:p>
      <w:pPr>
        <w:spacing w:after="100"/>
      </w:pPr>
      <w:r>
        <w:t xml:space="preserve">Con la base business, el ROIC de 2025 es del 11,7 %, unos 5 puntos por encima del WACC del 6,69 %: crea valor, pero poco para una farmacéutica de patente, porque el capital invertido (82.718 M) lleva 41.300 M de fondo de comercio de compras pasadas (Genzyme, Bioverativ, Blueprint) [6]. El ROE es del 13,3 %. Los comparables están entre el 14 % (Merck) y el 42 % (Lilly) [31]. No tenemos serie de capital para el ROIC incremental. Lo que mueve el ROIC es el margen: la rotación (0,34 veces) es baja por los intangibles.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7.657 M EUR a 31-dic-2025 [2]; emisión de 2.300 M en bonos EMTN en el 2T26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el balance completo no podemos detallar pensiones, provisiones ni litigios. Sabemos que la deuda neta pasó de 8.772 M (2024) a 11.008 M (2025) y a 15.513 M en junio de 2026, tras pagar el dividendo de mayo, la recompra de 1.000 M y compras de desarrollo; Sanofi emitió 2.300 M de bonos en el 2T26 [2, 8, 13]. El pago inicial de 1.000 M USD a Regeneron (oct-2026) va como deuda en el puente. Los litigios del Zantac en EE. UU. siguen siendo una contingencia que no hemos podido cuantificar.</w:t>
      </w:r>
    </w:p>
    <w:p>
      <w:pPr>
        <w:pStyle w:val="Heading1"/>
      </w:pPr>
      <w:r>
        <w:t xml:space="preserve">12. Asignación de capital</w:t>
      </w:r>
    </w:p>
    <w:p>
      <w:pPr>
        <w:pStyle w:val="Confianza"/>
        <w:spacing w:after="100"/>
      </w:pPr>
      <w:r>
        <w:t xml:space="preserve">Confianza: Media</w:t>
      </w:r>
    </w:p>
    <w:p>
      <w:pPr>
        <w:spacing w:after="100"/>
      </w:pPr>
      <w:r>
        <w:t xml:space="preserve">Dividendo creciente: 4,12 EUR por acción por 2025, pagado en mayo de 2026 (+5 %) [29, 35]. Recompras: 5.000 M terminados en 2025 (incluidos 3.000 M a L’Oréal a 101,50 EUR) y 1.000 M en 2026, ya ejecutados en el 1S26 (12,6 M de acciones) [14, 24]. Prioridades declaradas: dividendo, desarrollo de negocio para rellenar la cartera antes de 2031 y recompras con lo que sobre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2.610 M; Sanofi conserva el 48,2 % [2,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2,3 % del capital a L’Oréal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101,50 EUR por acción, un 39 % por encima del precio actual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Regeneron: cuatro moléculas nuevas y fin de litigios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(1.000 M USD iniciales y hasta 7.000 M USD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el mercado lo castigó al día siguiente [19, 34].</w:t>
            </w:r>
          </w:p>
        </w:tc>
      </w:tr>
    </w:tbl>
    <w:p>
      <w:pPr>
        <w:spacing w:after="160" w:before="0"/>
      </w:pPr>
    </w:p>
    <w:p>
      <w:pPr>
        <w:spacing w:after="100"/>
      </w:pPr>
      <w:r>
        <w:t xml:space="preserve">La asignación de capital de 2019-2025 deja un saldo pobre: se recompraron acciones a más de 100 EUR (hoy 73,10) y las grandes apuestas de I+D (amlitelimab, itepekimab, tolebrutinib) han fallado [18, 24]. La venta de Opella sí se hizo a buen precio. La nueva dirección empieza con acuerdos de riesgo compartido, más baratos que una gran compra, pero todavía sin resultados.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Garijo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Merck KGaA desde 2021; antes, 15 años en Sanofi al frente de las operaciones farmacéuticas en Europa y Canadá y miembro del comité ejecutivo [17, 21]. En sus primeros cinco meses ha cortado amlitelimab e itepekimab y ha cerrado la paz con Regeneron con un acuerdo de hasta 8.000 M USD [22,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Société Générale; respaldó públicamente el relevo de Paul Hudson por Garijo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Olivier Charmeil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Medicina General (consejero delegado interino feb-abr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Dirigió el grupo entre la salida de Hudson (17-feb-2026) y la llegada de Garijo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un dígito alto a tipo constante y BPA business con crecimiento de doble dígito bajo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+9,9 % y BPA business +15,0 %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ventas de un dígito alto y BPA algo por encima; elevada en julio a ≈+10 % de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+15,7 % y BPA business +22,7 %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en transición: la consejera delegada lleva cinco meses y su predecesor salió de forma abrupta, sin sucesión anunciada [21]. Garijo conoce la casa (15 años en Sanofi) y ha actuado rápido: revisión de la cartera, cortes de programas y acuerdo con Regeneron [22, 23]. La guía se ha cumplido o superado en 2025 y 2026, lo que da credibilidad a las cifras de corto plazo; la duda es la cartera.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Garijo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(13,1 %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9,4 % al vender 29,6 M de acciones a Sanofi por 3.000 M EUR (101,50 EUR/acción) en febrero de 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antiguos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accionariado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«Action 2026» a 59,87 EUR (descuento del 20 %) en junio de 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derechos de voto teóricos menos reales a 31-ago-2026 (≈7,2 M de acciones)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la política de remuneración ni el resultado de los votos de la junta del 29-abr-2026 (hueco registrado).</w:t>
      </w:r>
    </w:p>
    <w:p>
      <w:pPr>
        <w:pStyle w:val="Heading2"/>
      </w:pPr>
      <w:r>
        <w:t xml:space="preserve">Operaciones vinculadas, estructura de control y defensas</w:t>
      </w:r>
    </w:p>
    <w:p>
      <w:pPr>
        <w:spacing w:after="100"/>
      </w:pPr>
      <w:r>
        <w:t xml:space="preserve">No hay accionista de control: L’Oréal tiene el 7,2 % del capital y el 13,1 % de los votos por el doble derecho de voto francés a los títulos nominativos de más de dos años [24]. Ese doble voto (1.343 M de derechos teóricos sobre 1.208 M de acciones) da más peso a L’Oréal y a los empleados (2,93 %) que a los fondos [25, 26]. Presidente no ejecutivo separado de la consejera delegada.</w:t>
      </w:r>
    </w:p>
    <w:p>
      <w:pPr>
        <w:pStyle w:val="Heading2"/>
      </w:pPr>
      <w:r>
        <w:t xml:space="preserve">Señales de alerta</w:t>
      </w:r>
    </w:p>
    <w:p>
      <w:pPr>
        <w:pStyle w:val="ListParagraph"/>
        <w:numPr>
          <w:ilvl w:val="0"/>
          <w:numId w:val="2"/>
        </w:numPr>
        <w:spacing w:after="60"/>
      </w:pPr>
      <w:r>
        <w:t xml:space="preserve">Relevo no previsto del consejero delegado: el consejo no renovó a Paul Hudson (salida el 17-feb-2026) [21].</w:t>
      </w:r>
    </w:p>
    <w:p>
      <w:pPr>
        <w:pStyle w:val="ListParagraph"/>
        <w:numPr>
          <w:ilvl w:val="0"/>
          <w:numId w:val="2"/>
        </w:numPr>
        <w:spacing w:after="60"/>
      </w:pPr>
      <w:r>
        <w:t xml:space="preserve">Doble derecho de voto: 1.343 M de derechos teóricos sobre 1.208 M de acciones (31-ago-2026)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30-jul: ventas ≈+10 % a tipo constante y BPA business algo por encima, tipo impositivo del ≈21 % [1]. No hay objetivos a medio plazo vigentes de la nueva dirección; la anterior decía que no podrá compensar en ventas la pérdida de Dupixent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15-sep-2026: PER 2026e de consenso de 8,65 a 74,21 EUR (BPA implícito, cálculo propio)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 – 100,00</w:t>
            </w:r>
          </w:p>
        </w:tc>
      </w:tr>
    </w:tbl>
    <w:p>
      <w:pPr>
        <w:spacing w:after="160" w:before="0"/>
      </w:pPr>
    </w:p>
    <w:p>
      <w:pPr>
        <w:pStyle w:val="Heading2"/>
      </w:pPr>
      <w:r>
        <w:t xml:space="preserve">Revisiones de estimaciones</w:t>
      </w:r>
    </w:p>
    <w:p>
      <w:pPr>
        <w:spacing w:after="100"/>
      </w:pPr>
      <w:r>
        <w:t xml:space="preserve">Solo una fuente legible con datos de consenso en euros: Idéal Investisseur. El objetivo mediano bajó de 95 EUR (20-jul, 23 analistas, mayoría «comprar») a 90 EUR (15-sep, 24 analistas, «pondérer») [29, 33]. UBS rebajó a Neutral en enero (objetivo de 105 a 88 EUR) por la cartera y la patente de Dupixent [30]. El BPA 2026e implícito es de ≈8,58 EUR (PER de 8,65 a 74,21).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A 73,10 EUR, el PER sobre el BPA business de 2025 es de 9,3 veces, frente a 11,1 (2023), 12,9 (2024) y 10,6 (2025) al cierre de cada año [2, 28]. El descuento se ha ampliado por el fracaso de la cartera y la cercanía de 2031: a cinco años del vencimiento el mercado ya descuenta una caída del beneficio.</w:t>
      </w:r>
    </w:p>
    <w:p>
      <w:pPr>
        <w:pStyle w:val="Heading1"/>
      </w:pPr>
      <w:r>
        <w:t xml:space="preserve">18. Comparables cotizados</w:t>
      </w:r>
    </w:p>
    <w:p>
      <w:pPr>
        <w:pStyle w:val="Confianza"/>
        <w:spacing w:after="100"/>
      </w:pPr>
      <w:r>
        <w:t xml:space="preserve">Confianza: Media</w:t>
      </w:r>
    </w:p>
    <w:p>
      <w:pPr>
        <w:spacing w:after="100"/>
      </w:pPr>
      <w:r>
        <w:t xml:space="preserve">Grandes farmacéuticas europeas y estadounidenses con cartera de patentes y vacunas: AstraZeneca, Novartis, GSK (la más parecida por vacunas y descuento), Merck &amp; Co (vencimiento de Keytruda en 2028), Novo Nordisk y Eli Lilly. Lilly cotiza con múltiplos de crecimiento (obesidad) y distorsiona la media: pesamos la mediana. Cifras del informe de Roche de este repositorio (8-oct-2026), pasadas de CHF a EUR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17,8x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 / 5,0x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Sanofi cotiza a 8,5 veces el beneficio de los próximos 12 meses frente a una mediana de 17,2 en los comparables, y a 7,5 veces el EBITDA. Solo GSK y Novo (11,7 veces) se acercan. Parte del descuento está justificada: menor ROIC (11,7 %), precipicio de Dupixent en 2031 y cartera fallida. Por eso damos solo un 10 % de peso a los comparables: aplicar su mediana daría valores de 140-170 EUR que suponen un perfil de patentes que Sanofi no tiene.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+8 % en euros (guía de ≈+10 % a tipo constante con −2 puntos de divisa) [1]; +6 % y +5 % en 2027e-2028e por Dupixent y lanzamientos, frente al +7,4 % anual de 2023-2025 [2, 3]; +4 % y +2 % en 2029e-2030e y caídas del 6 % y del 8 % en 2031e-2032e por la pérdida de exclusividad de Dupixent en EE. UU. (marzo de 2031) [15]; −2 % en 2033e y +2 % después. La caída acumulada (≈−14 %) es menor que los 17.300 M de ventas de Dupixent en riesgo según JPMorgan porque suponemos que el resto de la cartera y las compras compensan la mitad [20].</w:t>
      </w:r>
    </w:p>
    <w:p>
      <w:pPr>
        <w:keepNext/>
        <w:spacing w:after="100"/>
      </w:pPr>
      <w:r>
        <w:rPr>
          <w:b/>
          <w:bCs/>
        </w:rPr>
        <w:t xml:space="preserve">Márgenes.</w:t>
      </w:r>
    </w:p>
    <w:p>
      <w:pPr>
        <w:spacing w:after="100"/>
      </w:pPr>
      <w:r>
        <w:t xml:space="preserve">Margen EBITDA del DCF = margen business (resultado operativo business + amortización) − 2,5 puntos por la reestructuración recurrente. El margen business con amortización fue del 31,9 % en 2025 [2, 5]; proyectamos 30,0-31,0 % hasta 2029e (equivale a un margen operativo business del 28,5-29,5 %, en línea con la guía de BPA algo por encima de las ventas) y una bajada a 26,5-27,0 % tras el vencimiento, porque Dupixent es el producto de más margen.</w:t>
      </w:r>
    </w:p>
    <w:p>
      <w:pPr>
        <w:keepNext/>
        <w:spacing w:after="100"/>
      </w:pPr>
      <w:r>
        <w:rPr>
          <w:b/>
          <w:bCs/>
        </w:rPr>
        <w:t xml:space="preserve">Inversión y circulante.</w:t>
      </w:r>
    </w:p>
    <w:p>
      <w:pPr>
        <w:spacing w:after="100"/>
      </w:pPr>
      <w:r>
        <w:t xml:space="preserve">Capex del 7,5 % de las ventas: el 6,4 % de 2025 (2.817 M, estimación propia) más ≈1 punto de licencias y pagos iniciales de desarrollo de negocio, recurrentes en una farmacéutica que debe rellenar su cartera [7, 12]. Amortización del 4,0 % (1.776 M en 2025) [5]. Circulante del 48 % de las ventas, constante (existencias + clientes sin proveedores).</w:t>
      </w:r>
    </w:p>
    <w:p>
      <w:pPr>
        <w:keepNext/>
        <w:spacing w:after="100"/>
      </w:pPr>
      <w:r>
        <w:rPr>
          <w:b/>
          <w:bCs/>
        </w:rPr>
        <w:t xml:space="preserve">Coste del capital.</w:t>
      </w:r>
    </w:p>
    <w:p>
      <w:pPr>
        <w:spacing w:after="100"/>
      </w:pPr>
      <w:r>
        <w:t xml:space="preserve">Tasa libre del 3,53 % (Bund a 10 años, 12-oct-2026) [32]; beta de 0,7 (farmacéutica defensiva; la de 0,37 de Simply Wall St no es la mensual de 5 años y no la usamos); prima de mercado del 5,5 %; sin prima adicional. Deuda del 15 % al 3,5 % antes de impuestos. WACC del 6,69 %. Con la prima implícita del mercado (4,2 %) baja al 5,91 %.</w:t>
      </w:r>
    </w:p>
    <w:p>
      <w:pPr>
        <w:keepNext/>
        <w:spacing w:after="100"/>
      </w:pPr>
      <w:r>
        <w:rPr>
          <w:b/>
          <w:bCs/>
        </w:rPr>
        <w:t xml:space="preserve">Valor terminal.</w:t>
      </w:r>
    </w:p>
    <w:p>
      <w:pPr>
        <w:spacing w:after="100"/>
      </w:pPr>
      <w:r>
        <w:t xml:space="preserve">Crecimiento terminal del 1,5 %, por debajo de la inflación esperada en euros más un crecimiento real, porque cada década la farmacéutica pierde sus productos estrella: el terminal supone que Sanofi repone su cartera, no que la amplía. El valor terminal pesa el 56 %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19.937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(ROIC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La proyección reinvierte el 20 % del NOPAT. Con el ROIC del último ejercicio (11,7 %), eso financia un crecimiento del 2,3 % anual, frente al 1,3 % de ingresos proyectado. Supone que el capital nuevo rinde un -4,0 %.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≈+10 % a tipo constante: volumen de Dupixent y lanzamientos (+12 %), precio −1,5 % (insulinas y gripe) y −2,5 % de divisa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sigue creciendo en nuevas indicaciones (EPOC, urticaria); vacunas planas.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crecimiento de Dupixent, aporte de Blueprint y lanzamientos.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completo de exclusividad de Dupixent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Comparaciones más duras; anticipación del vencimiento en las negociaciones de precios.</w:t>
            </w:r>
          </w:p>
        </w:tc>
      </w:tr>
    </w:tbl>
    <w:p>
      <w:pPr>
        <w:spacing w:after="160" w:before="0"/>
      </w:pPr>
    </w:p>
    <w:p>
      <w:pPr>
        <w:spacing w:after="100"/>
      </w:pPr>
      <w:r>
        <w:t xml:space="preserve">El crecimiento medio proyectado (1,3 % anual) es inferior al financiable con la reinversión prevista (2,3 % al ROIC del 11,7 %), así que la prueba de reinversión pasa sin rebajar el base. Pero el crecimiento de 2026-2030 descansa en un solo producto cuya patente vence en 2031 y en una cartera que acaba de fallar; la caída de 2031-2032 está en el modelo, su tamaño no se puede contrastar con cuotas de mercado (sin dato) y el «rendimiento del capital nuevo» del −4,0 % refleja precisamente esa caída. Por eso el veredicto es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6,7 %)</w:t>
            </w:r>
          </w:p>
        </w:tc>
      </w:tr>
    </w:tbl>
    <w:p>
      <w:pPr>
        <w:spacing w:after="160" w:before="0"/>
      </w:pPr>
    </w:p>
    <w:p>
      <w:pPr>
        <w:spacing w:after="100"/>
      </w:pPr>
      <w:r>
        <w:t xml:space="preserve">El DCF da 93,36 EUR por acción, un 27,7 % por encima de los 73,10 EUR, con el valor terminal en el 56 %. El DCF inverso dice que el precio descuenta una caída de las ventas del 4,9 % anual en los años no fijos, frente al 0,6 % de nuestro caso base, o, visto de otra forma, una rentabilidad implícita del 8,1 % frente a un WACC del 6,69 %. Es una lectura conservadora: el mercado valora a Sanofi como si el precipicio de Dupixent llegara mañana y no hubiera reposición, cuando la empresa todavía tiene cinco años de crecimiento con una guía que viene cumpliendo. El riesgo es que tenga razón en el largo plazo: si la caída de 2031-2032 duplica la nuestra y el margen no se recupera, el valor se acerca al del bajista (73,51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pierde cuota antes de 2031 frente a moléculas de dosis espaciada y la caída tras el vencimiento es más profunda; la cartera no repone y el margen baja 1,5 puntos. Es lo que vivió Sanofi con Lantus en 2015-2018.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Dupixent crece hasta 2030, las ventas caen un 14 % en 2031-2033 y el resto de la cartera y las compras compensan la mitad de la pérdida.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patentes secundarias retrasan los biosimilares y la nueva dirección cierra acuerdos que reponen el crecimiento: +1,5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91,53 EUR (+25,2 %).</w:t>
      </w:r>
    </w:p>
    <w:p>
      <w:pPr>
        <w:spacing w:after="100"/>
      </w:pPr>
      <w:r>
        <w:t xml:space="preserve">El bajista (73,51 EUR) queda prácticamente en el precio actual (+0,6 %), el base da 93,36 y el alcista 105,89 (+44,9 %): el precio ya descuenta algo peor que nuestro bajista. La asimetría no se puede calcular como cociente porque el bajista no pierde, lo que dice que el riesgo está más en el tiempo (cuándo reconoce el mercado el valor) que en la cifra.</w:t>
      </w:r>
    </w:p>
    <w:p>
      <w:pPr>
        <w:pStyle w:val="Heading1"/>
      </w:pPr>
      <w:r>
        <w:t xml:space="preserve">22. Suma de partes</w:t>
      </w:r>
    </w:p>
    <w:p>
      <w:pPr>
        <w:pStyle w:val="Confianza"/>
        <w:spacing w:after="100"/>
      </w:pPr>
      <w:r>
        <w:t xml:space="preserve">Confianza: Media</w:t>
      </w:r>
    </w:p>
    <w:p>
      <w:pPr>
        <w:spacing w:after="100"/>
      </w:pPr>
      <w:r>
        <w:t xml:space="preserve">No aplica: Dupixent, vacunas y el resto de farma comparten I+D, fabricación y red comercial, y no publican resultado por segmento.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98,70 EUR (+35,0 % sobre 73,10).</w:t>
      </w:r>
    </w:p>
    <w:p>
      <w:pPr>
        <w:spacing w:after="100"/>
      </w:pPr>
      <w:r>
        <w:t xml:space="preserve">Pesos: 60 % DCF, 30 % escenarios y 10 % comparables; sin transacciones (no hay múltiplos legibles). El DCF es el método que recoge el precipicio de 2031, que los múltiplos a 12 meses ignoran; por eso los comparables, que darían 140-170 EUR, pesan poco. El resultado, 98,70 EUR de valor intrínseco, queda un 35,0 % por encima del precio. La dispersión entre métodos es grande y se debe al calendario de patentes, no a los datos.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r>
    </w:tbl>
    <w:p>
      <w:pPr>
        <w:spacing w:after="160" w:before="0"/>
      </w:pPr>
    </w:p>
    <w:p>
      <w:pPr>
        <w:spacing w:after="100"/>
      </w:pPr>
      <w:r>
        <w:rPr>
          <w:b/>
          <w:bCs/>
        </w:rPr>
        <w:t xml:space="preserve">Objetivo a 12 meses (ponderado):</w:t>
      </w:r>
      <w:r>
        <w:t xml:space="preserve"> 81,43 EUR · rentabilidad +17,0 % (base +12,8 %) · señal Comprar.</w:t>
      </w:r>
    </w:p>
    <w:p>
      <w:pPr>
        <w:keepNext/>
        <w:spacing w:after="100"/>
      </w:pPr>
      <w:r>
        <w:rPr>
          <w:b/>
          <w:bCs/>
        </w:rPr>
        <w:t xml:space="preserve">Frente al consenso (solo contraste).</w:t>
      </w:r>
    </w:p>
    <w:p>
      <w:pPr>
        <w:spacing w:after="100"/>
      </w:pPr>
      <w:r>
        <w:t xml:space="preserve">Nuestro BPA de 2026e (≈8,51 EUR) coincide con el implícito en el consenso (≈8,58) [29]. Nuestro precio base a 12 meses (78,32 EUR) queda un 13,0 % por debajo del objetivo medio de los analistas (90 EUR): la diferencia es el múltiplo, no el beneficio. Aplicamos la regla común (el PER actual de 8,0 veces, el menor frente a la mediana de 11,1), mientras los analistas suponen que el PER vuelve a ≈10 veces. No acercamos la cifra: es la regla.</w:t>
      </w:r>
    </w:p>
    <w:p>
      <w:pPr>
        <w:keepNext/>
        <w:spacing w:after="100"/>
      </w:pPr>
      <w:r>
        <w:rPr>
          <w:b/>
          <w:bCs/>
        </w:rPr>
        <w:t xml:space="preserve">Del valor intrínseco al objetivo a 12 meses.</w:t>
      </w:r>
    </w:p>
    <w:p>
      <w:pPr>
        <w:spacing w:after="100"/>
      </w:pPr>
      <w:r>
        <w:t xml:space="preserve">El objetivo a 12 meses (81,43 EUR) queda un 17 % por debajo del valor intrínseco (98,70 EUR). La distancia la cierra solo una prueba de que el hueco de 2031 es menor de lo que descuenta el mercado: victorias judiciales en las patentes de Dupixent o resultados de fase III de la cartera nueva. Ninguna tiene fecha en los próximos 12 meses, así que la tesis del valor intrínseco es a varios años; la de 12 meses descansa en el crecimiento del BPA (≈+7 % anual) y en el dividendo (5,6 %), sin necesidad de que el múltiplo suba.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≈+10 % y de Dupixent; prueba de que el 2S se modera como avisaron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la nueva dirección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y posibles objetivos a medio plazo de Garijo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revisión estratégica de la 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recortes o compras para rellenar el hueco de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≈4,3 EUR si sigue la política de subidas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Litigios de patentes de Dupixent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año de exclusividad extra más allá de marzo de 2031 vale varios euros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Dupixent mayor o antes de lo previsto (biosimilares en 2031 o competencia de Ebglyss y Rinvoq)</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(escenario bajista: 73,51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secundarias y nueva formulación de dosis espaciada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Dupixent por debajo del 15 %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fracasos de la cartera tras amlitelimab, itepekimab y tolebrutinib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Regeneron y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los resultados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para rellenar el hueco de 2031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1,1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15.000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(Medicare, nación más favorecida)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fuera de las primeras listas de negociación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Dupixent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 de gripe a la baja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Beyfortus y expansión internacional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por debajo de 7.500 M anuales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 fuerte frente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parcialmente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EUR/USD por encima de 1,25</w:t>
            </w:r>
          </w:p>
        </w:tc>
      </w:tr>
    </w:tbl>
    <w:p>
      <w:pPr>
        <w:spacing w:after="160" w:before="0"/>
      </w:pPr>
    </w:p>
    <w:p>
      <w:pPr>
        <w:pStyle w:val="Heading2"/>
      </w:pPr>
      <w:r>
        <w:t xml:space="preserve">Pre-mortem</w:t>
      </w:r>
    </w:p>
    <w:p>
      <w:pPr>
        <w:spacing w:after="100"/>
      </w:pPr>
      <w:r>
        <w:t xml:space="preserve">Octubre de 2029: la acción está en 45 EUR. Dupixent siguió creciendo hasta 2028, pero Lilly y AbbVie ganaron cuota en dermatitis con moléculas de dosis espaciada y los tribunales no extendieron la exclusividad más allá de marzo de 2031. La revisión de Garijo acabó en una compra de 20.000 M de una biotecnológica a 25 veces ventas que no aportó beneficio hasta 2030, y el mercado empezó a valorar a Sanofi por el beneficio de 2032, un 30 % inferior al de 2028. El dividendo dejó de subir. Las señales que lo habrían anticipado: el crecimiento de Dupixent por debajo del 15 % en 2027, la ausencia de victorias judiciales en las patentes secundarias y el tamaño de la compra.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Sanofi es el acceso y precio de los medicamentos (presión política en EE. UU.), la seguridad del paciente y la calidad de fabricación de vacunas. No hemos podido leer calificaciones ESG desde la nube (hueco registrado).</w:t>
      </w:r>
    </w:p>
    <w:p>
      <w:pPr>
        <w:pStyle w:val="Heading2"/>
      </w:pPr>
      <w:r>
        <w:t xml:space="preserve">Controversias</w:t>
      </w:r>
    </w:p>
    <w:p>
      <w:pPr>
        <w:spacing w:after="100"/>
      </w:pPr>
      <w:r>
        <w:t xml:space="preserve">Litigios del Zantac en EE. UU. (ranitidina) y antiguas disputas con Regeneron, cerradas en el acuerdo del 1-oct-2026 [19]. No hemos podido cuantificar las provisiones.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Dupixent de 2030 protegen las patentes secundarias más allá de marzo de 2031, y con qué calendario de litigios?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año de exclusividad extra vale varios euros por acción y decide entre nuestro base y nuestro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de fase III quedan tras la revisión y qué ventas máximas esperan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el valor terminal descansa en compras aún no hechas.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tope de deuda neta que aceptaría la dirección para 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1,1 veces el EBITDA hay margen para 30.000 M, que podrían destruir valor si se pagan caros.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Regeneron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hitos y qué calendario tienen los 7.000 M USD condicionados del nuevo acuerdo?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una salida de caja de hasta el 7 %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mejora del margen del 1S26 es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reconoce efectos puntuales en el BPA del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contable y el plan de salida del 48,2 % de Opella?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lo hemos incluido en el puente; podría añadir varios euros por acción.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(noticias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con Regeneron se celebra el 1-oct como «victoria» de Garijo y al día siguiente la acción es la peor del CAC 40: el mercado duda de pagar 1.000 M USD por cuatro moléculas tempranas [23,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subir la guía, la acción cae un 9 %: los lectores hablan de beneficios «de una sola vez» y de una cartera que no sustituye a Dupixent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Tickeron (blog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en 30 días: «reinicio de la cartera» frente al impulso de Dupixent, que pesa ≈42 % de las ventas del semestre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ABC Bourse (análisis técnico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Horizonte estratégico «frágil», con un soporte técnico que aguanta; descuento frente al sector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precipicio de Dupixent en 2031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también en nuestro modelo: suponemos caídas de ventas del 6 % y del 8 % en 2031e-2032e; JPMorgan cifra en 17.300 M las ventas en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cartera tras amlitelimab e itepekimab</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deterioro de 952 M en el 1S26 y abandono de dos de las grandes apuestas; nuestro bajista no da valor a la cartera temprana.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dividendo del 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≈8,5 veces el BPA de 2026e y el dividendo de 4,12 EUR lo confirman; la cuestión es si es una trampa de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consejera delegada y acuerdo con Regeneron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(Jefferies, Oddo) lo leen como primer paso; el mercado lo castigó un día después [23, 34].</w:t>
            </w:r>
          </w:p>
        </w:tc>
      </w:tr>
    </w:tbl>
    <w:p>
      <w:pPr>
        <w:spacing w:after="160" w:before="0"/>
      </w:pPr>
    </w:p>
    <w:p>
      <w:pPr>
        <w:spacing w:after="100"/>
      </w:pPr>
      <w:r>
        <w:t xml:space="preserve">El sentimiento es negativo y escéptico: las buenas cifras del 2T26 y el acuerdo con Regeneron se vendieron en uno o dos días [34, 35]. No es capitulación (el objetivo de los analistas, 90 EUR, sigue un 23 % por encima del precio) pero sí cansancio con la cartera. Va en la línea de nuestro bajista y no aporta un riesgo nuevo; sí sugiere que un catalizador positivo (resultados del 3T26) tiene poco optimismo descontado.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38 (10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-4,0 % frente a un ROIC de 11,7 %: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48,0 % frente a 48,7 % real: genera una variación de circulante de 1.356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n.d.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anuales 2021-2022 de Sanofi (no aparecen en la búsqueda); 2) Stock Analysis (cifras NIIF con perímetros mezclados);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2022-2024 y desglose de circulante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2024 y 2025 (no legibles desde la búsqueda); 2) Stock Analysis y Weiss (cifras discrepantes); 3) solo deuda neta 2024 (8.772 M) y 2025 (11.008 M).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margen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2) Quartr; 3) prensa: solo 2T26 (11.597 M, BPA 2,09) y semestres.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farmacéutico y de inmunología tipo 2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y EFPIA (no consultados por el límite de búsquedas); 2) informes de mercado de dermatitis atópica; 3) prensa. entorno nube: solo WebSearch (WebFetch, curl, descargar.mjs y bolsa.mjs sin red); búsquedas compartidas reservadas a cuentas y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cada competidor; 2) Stock Analysis; 3) comparables de la sección 18 (sin ventas por área terapéutica).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2) informe de sostenibilidad;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 d’enregistrement universel 2025 (no legible); 2) actas de la junta del 29-abr-2026; 3) prensa: solo presidente y consejera delegada.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de la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(sin red); 2) prensa; 3) Form 144 del ADR.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Stock Analysis vía búsqueda (sin series); 3) Simply Wall St da beta 0,37, no comparable con la mensual de 5 años.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Sanofi (Blueprint, Opella); 2) prensa; 3) Mergermarket. Sin múltiplos legibles.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Zonebourse (no indexados); 2) MarketBeat (en USD por ADR, fechas dudosas); 3) Idéal Investisseur: solo PER 2026e.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Trade Direct (solo 2023-2025); 2) Digrin (ADR en USD); 3) MarketScreener.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(Reddit, Stocktwits,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(sin hilos indexados); 2) foro de Boursorama (no indexado); 3) Seeking Alpha (último artículo indexado de oct-2025). Se usa prensa con comentarios.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2) Stock Analysis; 3) tabla de comparables (ROIC de 14-42 %).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Q2 2026: double-digit sales growth and strong business EPS growth; 2026 guidance upgraded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https://www.sec.gov/Archives/edgar/data/0001121404/000112140426000008/pressreleaseq22026english.htm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Q4 and full year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2024 (resultado operativo business 2024 y 2023 reexpresado; ventas 2023 sin Opella)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https://www.sec.gov/Archives/edgar/data/1121404/000112140425000010/sny-20241231.htm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Q4 and full year 2023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https://www.sec.gov/Archives/edgar/data/1121404/000112140424000003/pressreleaseq42023english.htm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financials: income statement (D&amp;A 2025: 1.776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balance sheet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 cash flow statement (flujo operativo y capex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https://stockopedia.com/share-prices/sanofi-sa-NSQ:SNY/cashflow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Q2 2026 earnings summary (deuda neta 15.513 M a 30-jun-2026; FCF 1S26 3.724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https://quartr.com/events/sanofi-san-q2-2026_3erTN0T6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https://www.nasdaq.com/articles/sanofi-q2-earnings-call-highlights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FY2025 sales results (Dupixent 15.700 M; vacunas 7.900 M; Beyfortus 1.800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https://www.pharmaceutical-technology.com/news/sanofi-fy2025-sales-results/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 (ventas por región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https://www.sec.gov/Archives/edgar/data/1121404/000112140425000022/exhibit992-2025halfyearman.htm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posts strong full year figures despite development setbacks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https://www.hl.co.uk/shares/stock-market-news/company--news/sanofi-posts-strong-full-year-figures-despite-development-setbacks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aide-mémoire (deuda neta 1T26 12.900 M; emisión EMTN de 2.300 M; recompra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https://www.sanofi.com/assets/dotcom/content-app/events/quaterly-results/2026/2026-q2-2026-results/20260701-sanofi-q2-2026-aide-me-moire.pdf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2026 financial report (Form 6-K): recompra de 12.571.455 acciones por ≈1.003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https://www.sec.gov/Archives/edgar/data/0001121404/000162828026050803/sny-20260630_d2.htm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Dupixent driving growth, Sanofi touts «vigorous defense» to extend US exclusivity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https://www.fiercepharma.com/pharma/sanofi-expects-extend-its-loe-dupixent-beyond-2031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pénalisé en Bourse par l’abandon du développement de l’amlitelimab (Dupixent, 36 % de los ingresos; dominio público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https://www.abcbourse.com/marches/sanofi-penalise-en-bourse-par-l-abandon-du-developpement-de-l-amlitelimab-dans-l_700300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officially appoints Belén Garijo chief executive officer following shareholder vote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https://pharmexec.com/view/sanofi-officially-appoints-belen-garijo-chief-executive-officer-following-shareholder-vote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raises sales outlook on Dupixent strength in boost for new CEO (Reuters; deterioro de 952 M por amlitelimab)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WMBD)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https://wmbdradio.com/2026/07/30/sanofi-raises-sales-outlook-on-dupixent-strength-in-boost-for-new-ceo/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élargit son partenariat avec Regeneron dans le cadre d’un accord à 8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https://www.abcbourse.com/marches/sanofi-elargit-son-partenariat-avec-regeneron-dans-le-cadre-d-un-accord-a-8-mill_703528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2026 s’annonce encore morne en Bourse pour Sanofi selon JPMorgan (17.300 M EUR de ventas en riesgo 2030-2035)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https://www.tradingsat.com/sanofi-FR0000120578/actualites/sanofi-sanofi-pourquoi-2026-s-annonce-encore-morne-en-bourse-pour-sanofi-selon-jpmorgan-1152143.html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Belén Garijo to succeed Paul Hudson as CEO of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Paperjam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https://en.paperjam.lu/article/belen-garijo-to-succeed-paul-hudson-as-ceo-of-sanofi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CEO Garijo sketches out vision to reverse Sanofi’s fortunes as Q2 delivers impressive sales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https://www.fiercepharma.com/pharma/new-ceo-garijo-sketches-out-vision-reverse-sanofis-fortunes-q2-delivers-impressive-sales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Une victoire importante pour la nouvelle DG: Sanofi se rabiboche avec l’allié qui lui a fourni sa locomotive de croissance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https://www.tradingsat.com/sanofi-FR0000120578/actualites/sanofi-sanofi-une-victoire-importante-pour-la-nouvelle-dg-sanofi-se-rabiboche-avec-l-allie-qui-lui-a-fourni-sa-locomotive-de-croissance-et-retrouve-un-peu-de-credit-aupres-des-analystes-1171141.html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between L’Oréal and Sanofi for the repurchase by Sanofi of 2.3% of its own shares held by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https://www.loreal.com/en/press-release/group/agreement-between-loreal-and-sanofi-for-the-repurchase-by-sanofi-of-2-3-percent-of-its-own-shares-held-by-l-oreal/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va démarrer un plan mondial d’actionnariat salarié (Action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https://www.tradingsat.com/sanofi-FR0000120578/actualites/sanofi-sanofi-va-demarrer-un-plan-mondial-d-actionnariat-salarie-1164457.html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information concerning the total number of voting rights and shares,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(vía BiopharmaWatch)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https://www.biopharmawatch.com/news/SNY/sanofi-voting-rights-shares-august-2026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Euronext París): cierres diarios del 16-sep al 3-oct-2026 (73,10 EUR el 3-oct; rango de 2026: 70,96-84,97; cierre de 2025: 82,24)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https://www.investsmart.com.au/security/par/san/sanofi/share-price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cierre del año anterior 89,76 EUR (29-dic-2023), 91,50 EUR (19-dic-2024) y 82,72 EUR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Direct (Cornèr)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https://cug.tradedirect.ch/td/details/overview/699381,25,814?lang=en_GB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Sanofi: consensus de 24 analystes, objectif médian 90 EUR (78-100), PER 2026e 8,65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cuts Sanofi to Neutral amid pipeline setbacks and Dupixent patent concerns (objetivo de 105 a 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StockInvest.us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https://stockinvest.us/digest/ubs-cuts-sanofi-to-neutral-amid-pipeline-setbacks-and-dupixent-patent-concerns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del informe de Roche de este repositorio (14-oct-2026; Stock Analysis y MarketScreener, 8-oct-2026),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3,53 %), serie BBSIS (vía informe de Endesa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20-jul-2026: objetivo mediano de 95 EUR (23 analistas), mayoría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https://www.ideal-investisseur.fr/actions/sanofi-FR0000120578.html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la Bourse révise son jugement sur l’armistice et le nouveau partenariat entre Sanofi et Regeneron (lanterne rouge du CAC 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https://www.tradingsat.com/sanofi-FR0000120578/actualites/sanofi-pourquoi-la-bourse-revise-son-jugement-sur-l-armistice-et-le-nouveau-partenariat-entre-sanofi-et-son-allie-americain-regeneron-l-action-etant-lanterne-rouge-du-cac-40-36-ce-vendredi-1171193.html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Malgré des objectifs relevés et des résultats supérieurs aux attentes, Sanofi dévisse de 9 %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https://www.tradingsat.com/sanofi-FR0000120578/actualites/sanofi-malgre-des-objectifs-releves-et-des-resultats-superieurs-aux-attentes-sanofi-devisse-de-9-en-bourse-voici-pourquoi-1167857.html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down 8.3% over 30 days: pipeline reset and Dupixent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https://tickeron.com/blogs/sanofi-sny-down-8-3-over-30-days-pipeline-reset-and-dupixent-momentum-17253/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un horizon stratégique encore fragile mais un support technique qui résiste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https://www.abcbourse.com/analyses/sanofi_un_horizon_strategique_encore_fragile_mais_un_support_techniq-7000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75,1 %</w:t>
      </w:r>
      <w:r>
        <w:t xml:space="preserve"> · Secciones con menos del 60 % de campos cubiertos: </w:t>
      </w:r>
      <w:r>
        <w:rPr>
          <w:b/>
          <w:bCs/>
        </w:rPr>
        <w:t xml:space="preserve">gobierno, bolsa, transacciones, calidad, balance</w:t>
      </w:r>
      <w:r>
        <w:t xml:space="preserve"> · Generado el 14 oct 2026.</w:t>
      </w:r>
    </w:p>
    <w:p>
      <w:pPr>
        <w:pStyle w:val="Nota"/>
        <w:spacing w:after="100"/>
      </w:pPr>
      <w:r>
        <w:t xml:space="preserve">Análisis hecho desde la nube con solo búsqueda web: ninguna cuenta se ha leído en el documento original, todas las cifras salen de los extractos de búsqueda de los comunicados de Sanofi (resultados 2023, 2025 y 2T26, 20-F 2024), de Stock Analysis y Stockopedia, con su URL. Las cuentas están en </w:t>
      </w:r>
      <w:r>
        <w:rPr>
          <w:b/>
        </w:rPr>
        <w:t xml:space="preserve">base «business»</w:t>
      </w:r>
      <w:r>
        <w:t xml:space="preserve"> de Sanofi (sin amortización de intangibles adquiridos, deterioros, reestructuración ni otras partidas no recurrentes), la que guía la empresa y sigue el consenso; el EBITDA es el resultado operativo business más la amortización del inmovilizado (1.776 M en 2025 según Stock Analysis; 2024 estimado al 4 % de las ventas). 2022 incluye Opella (consumo); 2023-2025 no (reexpresados por la empresa). Faltan 2021 y anteriores, el balance anterior a 2025 y casi todo el gobierno. Precio de cierre del 3-oct-2026 (73,10 EUR), el último que publica una fuente legible; no hay cotización del 13-oct. Acciones: 1.207,8 M emitidas a 31-ago-2026 menos ≈7,2 M de autocartera más ≈2,4 M de planes, 1.203 M (estimación propia).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Sanofi S.A. (SAN)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Dupixent</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15700</c:v>
                </c:pt>
              </c:numCache>
            </c:numRef>
          </c:val>
        </c:ser>
        <c:ser>
          <c:idx val="1"/>
          <c:order val="1"/>
          <c:tx>
            <c:strRef>
              <c:f>Hoja1!$C$1</c:f>
              <c:strCache>
                <c:ptCount val="1"/>
                <c:pt idx="0">
                  <c:v>Vacunas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7900</c:v>
                </c:pt>
              </c:numCache>
            </c:numRef>
          </c:val>
        </c:ser>
        <c:ser>
          <c:idx val="2"/>
          <c:order val="2"/>
          <c:tx>
            <c:strRef>
              <c:f>Hoja1!$D$1</c:f>
              <c:strCache>
                <c:ptCount val="1"/>
                <c:pt idx="0">
                  <c:v>Resto de farma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20026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Dupixent</c:v>
                </c:pt>
                <c:pt idx="1">
                  <c:v>Vacunas</c:v>
                </c:pt>
                <c:pt idx="2">
                  <c:v>Resto de farma</c:v>
                </c:pt>
              </c:strCache>
            </c:strRef>
          </c:cat>
          <c:val>
            <c:numRef>
              <c:f>Hoja1!$B$2:$B$4</c:f>
              <c:numCache>
                <c:formatCode>General</c:formatCode>
                <c:ptCount val="3"/>
                <c:pt idx="0">
                  <c:v>36</c:v>
                </c:pt>
                <c:pt idx="1">
                  <c:v>18.1</c:v>
                </c:pt>
                <c:pt idx="2">
                  <c:v>45.9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47.9</c:v>
                </c:pt>
                <c:pt idx="1">
                  <c:v>20.8</c:v>
                </c:pt>
                <c:pt idx="2">
                  <c:v>31.2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Sanofi</c:v>
                </c:pt>
                <c:pt idx="1">
                  <c:v>Eli Lilly</c:v>
                </c:pt>
                <c:pt idx="2">
                  <c:v>AbbVie</c:v>
                </c:pt>
                <c:pt idx="3">
                  <c:v>GSK</c:v>
                </c:pt>
                <c:pt idx="4">
                  <c:v>Pfizer</c:v>
                </c:pt>
                <c:pt idx="5">
                  <c:v>AstraZeneca</c:v>
                </c:pt>
              </c:strCache>
            </c:strRef>
          </c:cat>
          <c:val>
            <c:numRef>
              <c:f>Hoja1!$B$2:$B$7</c:f>
              <c:numCache>
                <c:formatCode>0.0"%"</c:formatCode>
                <c:ptCount val="6"/>
                <c:pt idx="0">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42997</c:v>
                </c:pt>
                <c:pt idx="1">
                  <c:v>37817</c:v>
                </c:pt>
                <c:pt idx="2">
                  <c:v>41081</c:v>
                </c:pt>
                <c:pt idx="3">
                  <c:v>43626</c:v>
                </c:pt>
                <c:pt idx="4">
                  <c:v>47116</c:v>
                </c:pt>
                <c:pt idx="5">
                  <c:v>49943</c:v>
                </c:pt>
                <c:pt idx="6">
                  <c:v>52440</c:v>
                </c:pt>
                <c:pt idx="7">
                  <c:v>54538</c:v>
                </c:pt>
                <c:pt idx="8">
                  <c:v>55629</c:v>
                </c:pt>
                <c:pt idx="9">
                  <c:v>52291</c:v>
                </c:pt>
                <c:pt idx="10">
                  <c:v>48108</c:v>
                </c:pt>
                <c:pt idx="11">
                  <c:v>47145</c:v>
                </c:pt>
                <c:pt idx="12">
                  <c:v>48088</c:v>
                </c:pt>
                <c:pt idx="13">
                  <c:v>49050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2">
                  <c:v>12986</c:v>
                </c:pt>
                <c:pt idx="3">
                  <c:v>13904</c:v>
                </c:pt>
                <c:pt idx="4">
                  <c:v>14135</c:v>
                </c:pt>
                <c:pt idx="5">
                  <c:v>15233</c:v>
                </c:pt>
                <c:pt idx="6">
                  <c:v>16256</c:v>
                </c:pt>
                <c:pt idx="7">
                  <c:v>16907</c:v>
                </c:pt>
                <c:pt idx="8">
                  <c:v>16967</c:v>
                </c:pt>
                <c:pt idx="9">
                  <c:v>14903</c:v>
                </c:pt>
                <c:pt idx="10">
                  <c:v>12749</c:v>
                </c:pt>
                <c:pt idx="11">
                  <c:v>12494</c:v>
                </c:pt>
                <c:pt idx="12">
                  <c:v>12984</c:v>
                </c:pt>
                <c:pt idx="13">
                  <c:v>13244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2">
                  <c:v>31.6</c:v>
                </c:pt>
                <c:pt idx="3">
                  <c:v>31.9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30.3</c:v>
                </c:pt>
                <c:pt idx="1">
                  <c:v>29.6</c:v>
                </c:pt>
                <c:pt idx="2">
                  <c:v>27.6</c:v>
                </c:pt>
                <c:pt idx="3">
                  <c:v>27.8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24.1</c:v>
                </c:pt>
                <c:pt idx="1">
                  <c:v>24</c:v>
                </c:pt>
                <c:pt idx="2">
                  <c:v>21.7</c:v>
                </c:pt>
                <c:pt idx="3">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c:f>
              <c:strCache>
                <c:ptCount val="1"/>
                <c:pt idx="0">
                  <c:v>2025</c:v>
                </c:pt>
              </c:strCache>
            </c:strRef>
          </c:cat>
          <c:val>
            <c:numRef>
              <c:f>Hoja1!$B$2</c:f>
              <c:numCache>
                <c:formatCode>0</c:formatCode>
                <c:ptCount val="1"/>
                <c:pt idx="0">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7352</c:v>
                </c:pt>
                <c:pt idx="1">
                  <c:v>5719</c:v>
                </c:pt>
                <c:pt idx="2">
                  <c:v>8100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9077</c:v>
                </c:pt>
                <c:pt idx="1">
                  <c:v>8912</c:v>
                </c:pt>
                <c:pt idx="2">
                  <c:v>9555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3">
                  <c:v>11.7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6.7</c:v>
                </c:pt>
                <c:pt idx="1">
                  <c:v>6.7</c:v>
                </c:pt>
                <c:pt idx="2">
                  <c:v>6.7</c:v>
                </c:pt>
                <c:pt idx="3">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Hoja1!$A$2:$A$4</c:f>
              <c:strCache>
                <c:ptCount val="3"/>
                <c:pt idx="0">
                  <c:v>2023</c:v>
                </c:pt>
                <c:pt idx="1">
                  <c:v>2024</c:v>
                </c:pt>
                <c:pt idx="2">
                  <c:v>2025</c:v>
                </c:pt>
              </c:strCache>
            </c:strRef>
          </c:cat>
          <c:val>
            <c:numRef>
              <c:f>Hoja1!$B$2:$B$4</c:f>
              <c:numCache>
                <c:formatCode>#,##0</c:formatCode>
                <c:ptCount val="3"/>
                <c:pt idx="2">
                  <c:v>5000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L’Oréal</c:v>
                </c:pt>
                <c:pt idx="1">
                  <c:v>Empleados y antiguos empleados</c:v>
                </c:pt>
                <c:pt idx="2">
                  <c:v>Autocartera</c:v>
                </c:pt>
              </c:strCache>
            </c:strRef>
          </c:cat>
          <c:val>
            <c:numRef>
              <c:f>Hoja1!$B$2:$B$4</c:f>
              <c:numCache>
                <c:formatCode>0.0"%"</c:formatCode>
                <c:ptCount val="3"/>
                <c:pt idx="0">
                  <c:v>7.2</c:v>
                </c:pt>
                <c:pt idx="1">
                  <c:v>2.93</c:v>
                </c:pt>
                <c:pt idx="2">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Sanofi</c:v>
                </c:pt>
                <c:pt idx="1">
                  <c:v>Eli Lilly</c:v>
                </c:pt>
                <c:pt idx="2">
                  <c:v>AstraZeneca</c:v>
                </c:pt>
                <c:pt idx="3">
                  <c:v>Novartis</c:v>
                </c:pt>
                <c:pt idx="4">
                  <c:v>Merck &amp; Co</c:v>
                </c:pt>
                <c:pt idx="5">
                  <c:v>GSK</c:v>
                </c:pt>
                <c:pt idx="6">
                  <c:v>Novo Nordisk</c:v>
                </c:pt>
              </c:strCache>
            </c:strRef>
          </c:cat>
          <c:val>
            <c:numRef>
              <c:f>Hoja1!$B$2:$B$8</c:f>
              <c:numCache>
                <c:formatCode>0.0"x"</c:formatCode>
                <c:ptCount val="7"/>
                <c:pt idx="1">
                  <c:v>20.6</c:v>
                </c:pt>
                <c:pt idx="2">
                  <c:v>11.4</c:v>
                </c:pt>
                <c:pt idx="3">
                  <c:v>12.5</c:v>
                </c:pt>
                <c:pt idx="4">
                  <c:v>13.3</c:v>
                </c:pt>
                <c:pt idx="5">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Eli Lilly</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24.4</c:v>
                </c:pt>
              </c:numCache>
            </c:numRef>
          </c:xVal>
          <c:yVal>
            <c:numRef>
              <c:f>Hoja1!$C$2</c:f>
              <c:numCache>
                <c:formatCode>0.0"x"</c:formatCode>
                <c:ptCount val="1"/>
                <c:pt idx="0">
                  <c:v>20.6</c:v>
                </c:pt>
              </c:numCache>
            </c:numRef>
          </c:yVal>
          <c:smooth val="0"/>
        </c:ser>
        <c:ser>
          <c:idx val="1"/>
          <c:order val="1"/>
          <c:tx>
            <c:strRef>
              <c:f>Hoja1!$A$3</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7.8</c:v>
                </c:pt>
              </c:numCache>
            </c:numRef>
          </c:xVal>
          <c:yVal>
            <c:numRef>
              <c:f>Hoja1!$C$3</c:f>
              <c:numCache>
                <c:formatCode>0.0"x"</c:formatCode>
                <c:ptCount val="1"/>
                <c:pt idx="0">
                  <c:v>11.4</c:v>
                </c:pt>
              </c:numCache>
            </c:numRef>
          </c:yVal>
          <c:smooth val="0"/>
        </c:ser>
        <c:ser>
          <c:idx val="2"/>
          <c:order val="2"/>
          <c:tx>
            <c:strRef>
              <c:f>Hoja1!$A$4</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12.5</c:v>
                </c:pt>
              </c:numCache>
            </c:numRef>
          </c:yVal>
          <c:smooth val="0"/>
        </c:ser>
        <c:ser>
          <c:idx val="3"/>
          <c:order val="3"/>
          <c:tx>
            <c:strRef>
              <c:f>Hoja1!$A$5</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13.3</c:v>
                </c:pt>
              </c:numCache>
            </c:numRef>
          </c:yVal>
          <c:smooth val="0"/>
        </c:ser>
        <c:ser>
          <c:idx val="4"/>
          <c:order val="4"/>
          <c:tx>
            <c:strRef>
              <c:f>Hoja1!$A$6</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6673</c:v>
                </c:pt>
                <c:pt idx="1">
                  <c:v>7351</c:v>
                </c:pt>
                <c:pt idx="2">
                  <c:v>8151</c:v>
                </c:pt>
                <c:pt idx="3">
                  <c:v>8717</c:v>
                </c:pt>
                <c:pt idx="4">
                  <c:v>9175</c:v>
                </c:pt>
                <c:pt idx="5">
                  <c:v>9893</c:v>
                </c:pt>
                <c:pt idx="6">
                  <c:v>8875</c:v>
                </c:pt>
                <c:pt idx="7">
                  <c:v>7192</c:v>
                </c:pt>
                <c:pt idx="8">
                  <c:v>6602</c:v>
                </c:pt>
                <c:pt idx="9">
                  <c:v>6734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56144</c:v>
                </c:pt>
                <c:pt idx="1">
                  <c:v>72568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73,10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73.51</c:v>
                </c:pt>
                <c:pt idx="1">
                  <c:v>93.36</c:v>
                </c:pt>
                <c:pt idx="2">
                  <c:v>105.89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