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e8447064b5251dbc8fe302ee24d2caa016ee51"/>
    <w:p>
      <w:pPr>
        <w:pStyle w:val="Heading1"/>
      </w:pPr>
      <w:r>
        <w:t xml:space="preserve">Advanced Micro Devices (AMD): análisis growth, 15-oct-2026</w:t>
      </w:r>
    </w:p>
    <w:p>
      <w:pPr>
        <w:pStyle w:val="FirstParagraph"/>
      </w:pPr>
      <w:r>
        <w:rPr>
          <w:bCs/>
          <w:b/>
        </w:rPr>
        <w:t xml:space="preserve">Señal (método vigente v11): Vender, es decir, no comprar (no la tenemos)</w:t>
      </w:r>
      <w:r>
        <w:t xml:space="preserve"> </w:t>
      </w:r>
      <w:r>
        <w:t xml:space="preserve">· Puntuación 82,3/100 · Señales de cambio de tendencia 6/8 ·</w:t>
      </w:r>
      <w:r>
        <w:t xml:space="preserve"> </w:t>
      </w:r>
      <w:r>
        <w:rPr>
          <w:bCs/>
          <w:b/>
        </w:rPr>
        <w:t xml:space="preserve">Euforia: sí</w:t>
      </w:r>
      <w:r>
        <w:t xml:space="preserve"> </w:t>
      </w:r>
      <w:r>
        <w:t xml:space="preserve">(+162 % en 12 meses con EV/beneficio bruto de 24,6 veces)</w:t>
      </w:r>
      <w:r>
        <w:t xml:space="preserve"> </w:t>
      </w:r>
      <w:r>
        <w:t xml:space="preserve">Precio 570,82 USD (cierre del 14-oct) · Objetivo 12 m 421,6 USD · Ponderada −26,2 % · Base −24,2 % · Bajista −65,2 % · Alcista +8,9 % · Compra hasta 397,40 USD</w:t>
      </w:r>
      <w:r>
        <w:t xml:space="preserve"> </w:t>
      </w:r>
      <w:r>
        <w:t xml:space="preserve">Con la v7 (referencia): igual (−26,2 % / −24,2 %, Vender)</w:t>
      </w:r>
      <w:r>
        <w:t xml:space="preserve"> </w:t>
      </w:r>
      <w:r>
        <w:t xml:space="preserve">Precio actual: 547,73 USD (sesión del 15-oct en curso, 16:40 UTC); con el objetivo fijo, ponderada −23,0 %</w:t>
      </w:r>
      <w:r>
        <w:t xml:space="preserve"> </w:t>
      </w:r>
      <w:r>
        <w:t xml:space="preserve">Peso orientativo:</w:t>
      </w:r>
      <w:r>
        <w:t xml:space="preserve"> </w:t>
      </w:r>
      <w:r>
        <w:rPr>
          <w:bCs/>
          <w:b/>
        </w:rPr>
        <w:t xml:space="preserve">no entra</w:t>
      </w:r>
      <w:r>
        <w:t xml:space="preserve"> </w:t>
      </w:r>
      <w:r>
        <w:t xml:space="preserve">Prueba de robustez:</w:t>
      </w:r>
      <w:r>
        <w:t xml:space="preserve"> </w:t>
      </w:r>
      <w:r>
        <w:rPr>
          <w:bCs/>
          <w:b/>
        </w:rPr>
        <w:t xml:space="preserve">FRÁGIL</w:t>
      </w:r>
      <w:r>
        <w:t xml:space="preserve">. La acción robusta es</w:t>
      </w:r>
      <w:r>
        <w:t xml:space="preserve"> </w:t>
      </w:r>
      <w:r>
        <w:rPr>
          <w:bCs/>
          <w:b/>
        </w:rPr>
        <w:t xml:space="preserve">No comprar</w:t>
      </w:r>
      <w:r>
        <w:t xml:space="preserve"> </w:t>
      </w:r>
      <w:r>
        <w:t xml:space="preserve">igualmente. La única variante que la cambia (ventas del consenso) solo la sube a Mantener (+3,8 %).</w:t>
      </w:r>
      <w:r>
        <w:t xml:space="preserve"> </w:t>
      </w:r>
      <w:r>
        <w:t xml:space="preserve">Precio y noticias (regla 13):</w:t>
      </w:r>
      <w:r>
        <w:t xml:space="preserve"> </w:t>
      </w:r>
      <w:r>
        <w:rPr>
          <w:bCs/>
          <w:b/>
        </w:rPr>
        <w:t xml:space="preserve">no cambia</w:t>
      </w:r>
      <w:r>
        <w:t xml:space="preserve">. La caída de octubre viene del sector y de un dato de inflación, no de la tesis.</w:t>
      </w:r>
    </w:p>
    <w:bookmarkStart w:id="20" w:name="la-tesis-en-cinco-líneas"/>
    <w:p>
      <w:pPr>
        <w:pStyle w:val="Heading2"/>
      </w:pPr>
      <w:r>
        <w:t xml:space="preserve">1. La tesis en cinco líneas</w:t>
      </w:r>
    </w:p>
    <w:p>
      <w:pPr>
        <w:numPr>
          <w:ilvl w:val="0"/>
          <w:numId w:val="1001"/>
        </w:numPr>
        <w:pStyle w:val="Compact"/>
      </w:pPr>
      <w:r>
        <w:t xml:space="preserve">AMD es el segundo proveedor de chips para la IA de los centros de datos, detrás de Nvidia, y el que más cuota gana en procesadores de servidor. Factura 41.305 M USD en 12 meses (+39,5 %). En el último trimestre creció un 50 %, y Centros de Datos un 107 %. El margen bruto es del 55 % y el FCF, del 20 % de las ventas.</w:t>
      </w:r>
    </w:p>
    <w:p>
      <w:pPr>
        <w:numPr>
          <w:ilvl w:val="0"/>
          <w:numId w:val="1001"/>
        </w:numPr>
        <w:pStyle w:val="Compact"/>
      </w:pPr>
      <w:r>
        <w:t xml:space="preserve">El cambio de percepción ya ha ocurrido. Desde octubre de 2025 firmó contratos de gigavatios con OpenAI (6 GW), Meta (6 GW) y Anthropic (hasta 2 GW). Además lanza Helios, su primer sistema de rack completo. El consenso espera ventas de 89.050 M en 2027 (+75 %).</w:t>
      </w:r>
    </w:p>
    <w:p>
      <w:pPr>
        <w:numPr>
          <w:ilvl w:val="0"/>
          <w:numId w:val="1001"/>
        </w:numPr>
        <w:pStyle w:val="Compact"/>
      </w:pPr>
      <w:r>
        <w:t xml:space="preserve">El precio ya lo descuenta, y con euforia. La acción subió un 162 % en 12 meses y un 105 % en 6, y llegó a un billón de dólares de capitalización el 21-sep. Cotiza a 13,7 veces las ventas de los próximos 12 meses: el 170 % de su mediana de 3 años (8,0) y por encima de Nvidia (≈ 9,7 veces) y Broadcom (≈ 10,4).</w:t>
      </w:r>
    </w:p>
    <w:p>
      <w:pPr>
        <w:numPr>
          <w:ilvl w:val="0"/>
          <w:numId w:val="1001"/>
        </w:numPr>
        <w:pStyle w:val="Compact"/>
      </w:pPr>
      <w:r>
        <w:t xml:space="preserve">La regla mecánica proyecta ventas de 76.447 M dentro de 2 años, un 26 % por debajo de lo que extrapola el consenso. Con ese crecimiento, el múltiplo de hoy no se sostiene: el objetivo es de 421,6 USD (−26 %). Ni con las ventas del consenso llega a compra (+3,8 %, Mantener), y la euforia la veta de todos modos.</w:t>
      </w:r>
    </w:p>
    <w:p>
      <w:pPr>
        <w:numPr>
          <w:ilvl w:val="0"/>
          <w:numId w:val="1001"/>
        </w:numPr>
        <w:pStyle w:val="Compact"/>
      </w:pPr>
      <w:r>
        <w:t xml:space="preserve">Es un buen negocio en un momento caro. Pasaría a compra hacia 397 USD (−30 %), con la euforia ya pasada, o si los resultados del 3-nov y del 4T confirman que la rampa de 2027 no es solo un plan.</w:t>
      </w:r>
    </w:p>
    <w:bookmarkEnd w:id="20"/>
    <w:bookmarkStart w:id="21" w:name="negocio-y-tecnología"/>
    <w:p>
      <w:pPr>
        <w:pStyle w:val="Heading2"/>
      </w:pPr>
      <w:r>
        <w:t xml:space="preserve">2. Negocio y tecnología</w:t>
      </w:r>
    </w:p>
    <w:p>
      <w:pPr>
        <w:pStyle w:val="FirstParagraph"/>
      </w:pPr>
      <w:r>
        <w:t xml:space="preserve">AMD diseña chips y los fabrica TSMC. Tiene cuatro negocios.</w:t>
      </w:r>
      <w:r>
        <w:t xml:space="preserve"> </w:t>
      </w:r>
      <w:r>
        <w:rPr>
          <w:bCs/>
          <w:b/>
        </w:rPr>
        <w:t xml:space="preserve">Centros de Datos</w:t>
      </w:r>
      <w:r>
        <w:t xml:space="preserve"> </w:t>
      </w:r>
      <w:r>
        <w:t xml:space="preserve">(58 % de las ventas del 2T26) vende procesadores EPYC para servidores, aceleradores Instinct (GPU para entrenar y ejecutar modelos de IA), redes Pensando y, desde 2026, racks completos Helios gracias a la compra de ZT Systems.</w:t>
      </w:r>
      <w:r>
        <w:t xml:space="preserve"> </w:t>
      </w:r>
      <w:r>
        <w:rPr>
          <w:bCs/>
          <w:b/>
        </w:rPr>
        <w:t xml:space="preserve">Cliente</w:t>
      </w:r>
      <w:r>
        <w:t xml:space="preserve"> </w:t>
      </w:r>
      <w:r>
        <w:t xml:space="preserve">(27 %) vende procesadores Ryzen para PC.</w:t>
      </w:r>
      <w:r>
        <w:t xml:space="preserve"> </w:t>
      </w:r>
      <w:r>
        <w:rPr>
          <w:bCs/>
          <w:b/>
        </w:rPr>
        <w:t xml:space="preserve">Juegos</w:t>
      </w:r>
      <w:r>
        <w:t xml:space="preserve"> </w:t>
      </w:r>
      <w:r>
        <w:t xml:space="preserve">(7 %) hace chips a medida para consolas (Sony, Microsoft) y gráficas Radeon.</w:t>
      </w:r>
      <w:r>
        <w:t xml:space="preserve"> </w:t>
      </w:r>
      <w:r>
        <w:rPr>
          <w:bCs/>
          <w:b/>
        </w:rPr>
        <w:t xml:space="preserve">Integrados</w:t>
      </w:r>
      <w:r>
        <w:t xml:space="preserve"> </w:t>
      </w:r>
      <w:r>
        <w:t xml:space="preserve">(8 %) vende los FPGA de Xilinx para industria, automoción, defensa y comunicaciones [1].</w:t>
      </w:r>
    </w:p>
    <w:p>
      <w:pPr>
        <w:pStyle w:val="BodyText"/>
      </w:pPr>
      <w:r>
        <w:t xml:space="preserve">Lo nuevo: la</w:t>
      </w:r>
      <w:r>
        <w:t xml:space="preserve"> </w:t>
      </w:r>
      <w:r>
        <w:rPr>
          <w:bCs/>
          <w:b/>
        </w:rPr>
        <w:t xml:space="preserve">serie MI400</w:t>
      </w:r>
      <w:r>
        <w:t xml:space="preserve"> </w:t>
      </w:r>
      <w:r>
        <w:t xml:space="preserve">(MI450/MI455X para entrenar e inferir a gran escala, MI430X para supercomputación) dentro del rack</w:t>
      </w:r>
      <w:r>
        <w:t xml:space="preserve"> </w:t>
      </w:r>
      <w:r>
        <w:rPr>
          <w:bCs/>
          <w:b/>
        </w:rPr>
        <w:t xml:space="preserve">Helios</w:t>
      </w:r>
      <w:r>
        <w:t xml:space="preserve">, que compite de tú a tú con los racks de Nvidia. A eso se suman la 6.ª generación de EPYC (Venice) y el software</w:t>
      </w:r>
      <w:r>
        <w:t xml:space="preserve"> </w:t>
      </w:r>
      <w:r>
        <w:rPr>
          <w:bCs/>
          <w:b/>
        </w:rPr>
        <w:t xml:space="preserve">ROCm</w:t>
      </w:r>
      <w:r>
        <w:t xml:space="preserve">, la alternativa abierta a CUDA, que ya optimiza con Claude [1]. Los clientes de Helios son Anthropic, Meta, Microsoft, OpenAI, Oracle, HUMAIN y otros.</w:t>
      </w:r>
    </w:p>
    <w:p>
      <w:pPr>
        <w:pStyle w:val="BodyText"/>
      </w:pPr>
      <w:r>
        <w:rPr>
          <w:bCs/>
          <w:b/>
        </w:rPr>
        <w:t xml:space="preserve">Tecnología 4/5</w:t>
      </w:r>
      <w:r>
        <w:t xml:space="preserve">: lidera en procesadores de servidor y está al nivel de Nvidia en memoria por GPU y en coste por respuesta. Pero CUDA y el ecosistema de Nvidia (redes NVLink, software) siguen siendo una barrera de años.</w:t>
      </w:r>
      <w:r>
        <w:t xml:space="preserve"> </w:t>
      </w:r>
      <w:r>
        <w:rPr>
          <w:bCs/>
          <w:b/>
        </w:rPr>
        <w:t xml:space="preserve">Posición 4/5</w:t>
      </w:r>
      <w:r>
        <w:t xml:space="preserve">: número 2 en aceleradores, muy lejos del primero, y número 1 en crecimiento de cuota de servidor (y por ventas en algunos trimestres).</w:t>
      </w:r>
    </w:p>
    <w:p>
      <w:pPr>
        <w:pStyle w:val="BodyText"/>
      </w:pPr>
      <w:r>
        <w:rPr>
          <w:bCs/>
          <w:b/>
        </w:rPr>
        <w:t xml:space="preserve">Encaje en la megatendencia (IA, semiconductores)</w:t>
      </w:r>
      <w:r>
        <w:t xml:space="preserve">: AMD es uno de los dos únicos fabricantes de GPU de propósito general para IA a gran escala. Es la alternativa que los grandes compradores (OpenAI, Meta, Microsoft, Anthropic) financian para no depender solo de Nvidia. Por eso les ha dado opciones de compra de sus acciones (warrants) a cambio de comprometer gigavatios.</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interanual</w:t>
            </w:r>
          </w:p>
        </w:tc>
        <w:tc>
          <w:tcPr/>
          <w:p>
            <w:pPr>
              <w:pStyle w:val="Compact"/>
              <w:jc w:val="left"/>
            </w:pPr>
            <w:r>
              <w:t xml:space="preserve">Guía (punto medio)</w:t>
            </w:r>
          </w:p>
        </w:tc>
      </w:tr>
      <w:tr>
        <w:tc>
          <w:tcPr/>
          <w:p>
            <w:pPr>
              <w:pStyle w:val="Compact"/>
              <w:jc w:val="left"/>
            </w:pPr>
            <w:r>
              <w:t xml:space="preserve">3T24</w:t>
            </w:r>
          </w:p>
        </w:tc>
        <w:tc>
          <w:tcPr/>
          <w:p>
            <w:pPr>
              <w:pStyle w:val="Compact"/>
              <w:jc w:val="left"/>
            </w:pPr>
            <w:r>
              <w:t xml:space="preserve">6.819</w:t>
            </w:r>
          </w:p>
        </w:tc>
        <w:tc>
          <w:tcPr/>
          <w:p>
            <w:pPr>
              <w:pStyle w:val="Compact"/>
              <w:jc w:val="left"/>
            </w:pPr>
            <w:r>
              <w:t xml:space="preserve">17,6 %</w:t>
            </w:r>
          </w:p>
        </w:tc>
        <w:tc>
          <w:tcPr/>
          <w:p>
            <w:pPr>
              <w:pStyle w:val="Compact"/>
            </w:pPr>
          </w:p>
        </w:tc>
      </w:tr>
      <w:tr>
        <w:tc>
          <w:tcPr/>
          <w:p>
            <w:pPr>
              <w:pStyle w:val="Compact"/>
              <w:jc w:val="left"/>
            </w:pPr>
            <w:r>
              <w:t xml:space="preserve">4T24</w:t>
            </w:r>
          </w:p>
        </w:tc>
        <w:tc>
          <w:tcPr/>
          <w:p>
            <w:pPr>
              <w:pStyle w:val="Compact"/>
              <w:jc w:val="left"/>
            </w:pPr>
            <w:r>
              <w:t xml:space="preserve">7.658</w:t>
            </w:r>
          </w:p>
        </w:tc>
        <w:tc>
          <w:tcPr/>
          <w:p>
            <w:pPr>
              <w:pStyle w:val="Compact"/>
              <w:jc w:val="left"/>
            </w:pPr>
            <w:r>
              <w:t xml:space="preserve">24,2 %</w:t>
            </w:r>
          </w:p>
        </w:tc>
        <w:tc>
          <w:tcPr/>
          <w:p>
            <w:pPr>
              <w:pStyle w:val="Compact"/>
            </w:pPr>
          </w:p>
        </w:tc>
      </w:tr>
      <w:tr>
        <w:tc>
          <w:tcPr/>
          <w:p>
            <w:pPr>
              <w:pStyle w:val="Compact"/>
              <w:jc w:val="left"/>
            </w:pPr>
            <w:r>
              <w:t xml:space="preserve">1T25</w:t>
            </w:r>
          </w:p>
        </w:tc>
        <w:tc>
          <w:tcPr/>
          <w:p>
            <w:pPr>
              <w:pStyle w:val="Compact"/>
              <w:jc w:val="left"/>
            </w:pPr>
            <w:r>
              <w:t xml:space="preserve">7.438</w:t>
            </w:r>
          </w:p>
        </w:tc>
        <w:tc>
          <w:tcPr/>
          <w:p>
            <w:pPr>
              <w:pStyle w:val="Compact"/>
              <w:jc w:val="left"/>
            </w:pPr>
            <w:r>
              <w:t xml:space="preserve">35,9 %</w:t>
            </w:r>
          </w:p>
        </w:tc>
        <w:tc>
          <w:tcPr/>
          <w:p>
            <w:pPr>
              <w:pStyle w:val="Compact"/>
            </w:pPr>
          </w:p>
        </w:tc>
      </w:tr>
      <w:tr>
        <w:tc>
          <w:tcPr/>
          <w:p>
            <w:pPr>
              <w:pStyle w:val="Compact"/>
              <w:jc w:val="left"/>
            </w:pPr>
            <w:r>
              <w:t xml:space="preserve">2T25</w:t>
            </w:r>
          </w:p>
        </w:tc>
        <w:tc>
          <w:tcPr/>
          <w:p>
            <w:pPr>
              <w:pStyle w:val="Compact"/>
              <w:jc w:val="left"/>
            </w:pPr>
            <w:r>
              <w:t xml:space="preserve">7.685</w:t>
            </w:r>
          </w:p>
        </w:tc>
        <w:tc>
          <w:tcPr/>
          <w:p>
            <w:pPr>
              <w:pStyle w:val="Compact"/>
              <w:jc w:val="left"/>
            </w:pPr>
            <w:r>
              <w:t xml:space="preserve">31,7 %</w:t>
            </w:r>
          </w:p>
        </w:tc>
        <w:tc>
          <w:tcPr/>
          <w:p>
            <w:pPr>
              <w:pStyle w:val="Compact"/>
              <w:jc w:val="left"/>
            </w:pPr>
            <w:r>
              <w:t xml:space="preserve">(cargo de 800 M por el MI308)</w:t>
            </w:r>
          </w:p>
        </w:tc>
      </w:tr>
      <w:tr>
        <w:tc>
          <w:tcPr/>
          <w:p>
            <w:pPr>
              <w:pStyle w:val="Compact"/>
              <w:jc w:val="left"/>
            </w:pPr>
            <w:r>
              <w:t xml:space="preserve">3T25</w:t>
            </w:r>
          </w:p>
        </w:tc>
        <w:tc>
          <w:tcPr/>
          <w:p>
            <w:pPr>
              <w:pStyle w:val="Compact"/>
              <w:jc w:val="left"/>
            </w:pPr>
            <w:r>
              <w:t xml:space="preserve">9.246</w:t>
            </w:r>
          </w:p>
        </w:tc>
        <w:tc>
          <w:tcPr/>
          <w:p>
            <w:pPr>
              <w:pStyle w:val="Compact"/>
              <w:jc w:val="left"/>
            </w:pPr>
            <w:r>
              <w:t xml:space="preserve">35,6 %</w:t>
            </w:r>
          </w:p>
        </w:tc>
        <w:tc>
          <w:tcPr/>
          <w:p>
            <w:pPr>
              <w:pStyle w:val="Compact"/>
              <w:jc w:val="left"/>
            </w:pPr>
            <w:r>
              <w:t xml:space="preserve">8.700</w:t>
            </w:r>
          </w:p>
        </w:tc>
      </w:tr>
      <w:tr>
        <w:tc>
          <w:tcPr/>
          <w:p>
            <w:pPr>
              <w:pStyle w:val="Compact"/>
              <w:jc w:val="left"/>
            </w:pPr>
            <w:r>
              <w:t xml:space="preserve">4T25</w:t>
            </w:r>
          </w:p>
        </w:tc>
        <w:tc>
          <w:tcPr/>
          <w:p>
            <w:pPr>
              <w:pStyle w:val="Compact"/>
              <w:jc w:val="left"/>
            </w:pPr>
            <w:r>
              <w:t xml:space="preserve">10.270</w:t>
            </w:r>
          </w:p>
        </w:tc>
        <w:tc>
          <w:tcPr/>
          <w:p>
            <w:pPr>
              <w:pStyle w:val="Compact"/>
              <w:jc w:val="left"/>
            </w:pPr>
            <w:r>
              <w:t xml:space="preserve">34,1 %</w:t>
            </w:r>
          </w:p>
        </w:tc>
        <w:tc>
          <w:tcPr/>
          <w:p>
            <w:pPr>
              <w:pStyle w:val="Compact"/>
              <w:jc w:val="left"/>
            </w:pPr>
            <w:r>
              <w:t xml:space="preserve">9.600</w:t>
            </w:r>
          </w:p>
        </w:tc>
      </w:tr>
      <w:tr>
        <w:tc>
          <w:tcPr/>
          <w:p>
            <w:pPr>
              <w:pStyle w:val="Compact"/>
              <w:jc w:val="left"/>
            </w:pPr>
            <w:r>
              <w:t xml:space="preserve">1T26</w:t>
            </w:r>
          </w:p>
        </w:tc>
        <w:tc>
          <w:tcPr/>
          <w:p>
            <w:pPr>
              <w:pStyle w:val="Compact"/>
              <w:jc w:val="left"/>
            </w:pPr>
            <w:r>
              <w:t xml:space="preserve">10.253</w:t>
            </w:r>
          </w:p>
        </w:tc>
        <w:tc>
          <w:tcPr/>
          <w:p>
            <w:pPr>
              <w:pStyle w:val="Compact"/>
              <w:jc w:val="left"/>
            </w:pPr>
            <w:r>
              <w:t xml:space="preserve">37,8 %</w:t>
            </w:r>
          </w:p>
        </w:tc>
        <w:tc>
          <w:tcPr/>
          <w:p>
            <w:pPr>
              <w:pStyle w:val="Compact"/>
              <w:jc w:val="left"/>
            </w:pPr>
            <w:r>
              <w:t xml:space="preserve">9.800</w:t>
            </w:r>
          </w:p>
        </w:tc>
      </w:tr>
      <w:tr>
        <w:tc>
          <w:tcPr/>
          <w:p>
            <w:pPr>
              <w:pStyle w:val="Compact"/>
              <w:jc w:val="left"/>
            </w:pPr>
            <w:r>
              <w:t xml:space="preserve">2T26</w:t>
            </w:r>
          </w:p>
        </w:tc>
        <w:tc>
          <w:tcPr/>
          <w:p>
            <w:pPr>
              <w:pStyle w:val="Compact"/>
              <w:jc w:val="left"/>
            </w:pPr>
            <w:r>
              <w:t xml:space="preserve">11.536</w:t>
            </w:r>
          </w:p>
        </w:tc>
        <w:tc>
          <w:tcPr/>
          <w:p>
            <w:pPr>
              <w:pStyle w:val="Compact"/>
              <w:jc w:val="left"/>
            </w:pPr>
            <w:r>
              <w:t xml:space="preserve">50,1 %</w:t>
            </w:r>
          </w:p>
        </w:tc>
        <w:tc>
          <w:tcPr/>
          <w:p>
            <w:pPr>
              <w:pStyle w:val="Compact"/>
              <w:jc w:val="left"/>
            </w:pPr>
            <w:r>
              <w:t xml:space="preserve">11.200</w:t>
            </w:r>
          </w:p>
        </w:tc>
      </w:tr>
      <w:tr>
        <w:tc>
          <w:tcPr/>
          <w:p>
            <w:pPr>
              <w:pStyle w:val="Compact"/>
              <w:jc w:val="left"/>
            </w:pPr>
            <w:r>
              <w:t xml:space="preserve">3T26 (guía)</w:t>
            </w:r>
          </w:p>
        </w:tc>
        <w:tc>
          <w:tcPr/>
          <w:p>
            <w:pPr>
              <w:pStyle w:val="Compact"/>
              <w:jc w:val="left"/>
            </w:pPr>
            <w:r>
              <w:t xml:space="preserve">13.000 ± 300</w:t>
            </w:r>
          </w:p>
        </w:tc>
        <w:tc>
          <w:tcPr/>
          <w:p>
            <w:pPr>
              <w:pStyle w:val="Compact"/>
              <w:jc w:val="left"/>
            </w:pPr>
            <w:r>
              <w:t xml:space="preserve">40,6 %</w:t>
            </w:r>
          </w:p>
        </w:tc>
        <w:tc>
          <w:tcPr/>
          <w:p>
            <w:pPr>
              <w:pStyle w:val="Compact"/>
            </w:pP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Año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2023</w:t>
            </w:r>
          </w:p>
        </w:tc>
        <w:tc>
          <w:tcPr/>
          <w:p>
            <w:pPr>
              <w:pStyle w:val="Compact"/>
              <w:jc w:val="left"/>
            </w:pPr>
            <w:r>
              <w:t xml:space="preserve">22.680</w:t>
            </w:r>
          </w:p>
        </w:tc>
        <w:tc>
          <w:tcPr/>
          <w:p>
            <w:pPr>
              <w:pStyle w:val="Compact"/>
              <w:jc w:val="left"/>
            </w:pPr>
            <w:r>
              <w:t xml:space="preserve">−4 %</w:t>
            </w:r>
          </w:p>
        </w:tc>
      </w:tr>
      <w:tr>
        <w:tc>
          <w:tcPr/>
          <w:p>
            <w:pPr>
              <w:pStyle w:val="Compact"/>
              <w:jc w:val="left"/>
            </w:pPr>
            <w:r>
              <w:t xml:space="preserve">2024</w:t>
            </w:r>
          </w:p>
        </w:tc>
        <w:tc>
          <w:tcPr/>
          <w:p>
            <w:pPr>
              <w:pStyle w:val="Compact"/>
              <w:jc w:val="left"/>
            </w:pPr>
            <w:r>
              <w:t xml:space="preserve">25.785</w:t>
            </w:r>
          </w:p>
        </w:tc>
        <w:tc>
          <w:tcPr/>
          <w:p>
            <w:pPr>
              <w:pStyle w:val="Compact"/>
              <w:jc w:val="left"/>
            </w:pPr>
            <w:r>
              <w:t xml:space="preserve">14 %</w:t>
            </w:r>
          </w:p>
        </w:tc>
      </w:tr>
      <w:tr>
        <w:tc>
          <w:tcPr/>
          <w:p>
            <w:pPr>
              <w:pStyle w:val="Compact"/>
              <w:jc w:val="left"/>
            </w:pPr>
            <w:r>
              <w:t xml:space="preserve">2025</w:t>
            </w:r>
          </w:p>
        </w:tc>
        <w:tc>
          <w:tcPr/>
          <w:p>
            <w:pPr>
              <w:pStyle w:val="Compact"/>
              <w:jc w:val="left"/>
            </w:pPr>
            <w:r>
              <w:t xml:space="preserve">34.639</w:t>
            </w:r>
          </w:p>
        </w:tc>
        <w:tc>
          <w:tcPr/>
          <w:p>
            <w:pPr>
              <w:pStyle w:val="Compact"/>
              <w:jc w:val="left"/>
            </w:pPr>
            <w:r>
              <w:t xml:space="preserve">34 %</w:t>
            </w:r>
          </w:p>
        </w:tc>
      </w:tr>
      <w:tr>
        <w:tc>
          <w:tcPr/>
          <w:p>
            <w:pPr>
              <w:pStyle w:val="Compact"/>
              <w:jc w:val="left"/>
            </w:pPr>
            <w:r>
              <w:t xml:space="preserve">2026e (consenso)</w:t>
            </w:r>
          </w:p>
        </w:tc>
        <w:tc>
          <w:tcPr/>
          <w:p>
            <w:pPr>
              <w:pStyle w:val="Compact"/>
              <w:jc w:val="left"/>
            </w:pPr>
            <w:r>
              <w:t xml:space="preserve">50.950</w:t>
            </w:r>
          </w:p>
        </w:tc>
        <w:tc>
          <w:tcPr/>
          <w:p>
            <w:pPr>
              <w:pStyle w:val="Compact"/>
              <w:jc w:val="left"/>
            </w:pPr>
            <w:r>
              <w:t xml:space="preserve">47 %</w:t>
            </w:r>
          </w:p>
        </w:tc>
      </w:tr>
      <w:tr>
        <w:tc>
          <w:tcPr/>
          <w:p>
            <w:pPr>
              <w:pStyle w:val="Compact"/>
              <w:jc w:val="left"/>
            </w:pPr>
            <w:r>
              <w:t xml:space="preserve">2027e (consenso)</w:t>
            </w:r>
          </w:p>
        </w:tc>
        <w:tc>
          <w:tcPr/>
          <w:p>
            <w:pPr>
              <w:pStyle w:val="Compact"/>
              <w:jc w:val="left"/>
            </w:pPr>
            <w:r>
              <w:t xml:space="preserve">89.050</w:t>
            </w:r>
          </w:p>
        </w:tc>
        <w:tc>
          <w:tcPr/>
          <w:p>
            <w:pPr>
              <w:pStyle w:val="Compact"/>
              <w:jc w:val="left"/>
            </w:pPr>
            <w:r>
              <w:t xml:space="preserve">75 %</w:t>
            </w:r>
          </w:p>
        </w:tc>
      </w:tr>
    </w:tbl>
    <w:p>
      <w:pPr>
        <w:pStyle w:val="BodyText"/>
      </w:pPr>
      <w:r>
        <w:t xml:space="preserve">Fuentes: [1][2][4][7].</w:t>
      </w:r>
    </w:p>
    <w:p>
      <w:pPr>
        <w:numPr>
          <w:ilvl w:val="0"/>
          <w:numId w:val="1002"/>
        </w:numPr>
        <w:pStyle w:val="Compact"/>
      </w:pPr>
      <w:r>
        <w:rPr>
          <w:bCs/>
          <w:b/>
        </w:rPr>
        <w:t xml:space="preserve">12 meses</w:t>
      </w:r>
      <w:r>
        <w:t xml:space="preserve">: +39,5 %.</w:t>
      </w:r>
      <w:r>
        <w:t xml:space="preserve"> </w:t>
      </w:r>
      <w:r>
        <w:rPr>
          <w:bCs/>
          <w:b/>
        </w:rPr>
        <w:t xml:space="preserve">CAGR a 2 años</w:t>
      </w:r>
      <w:r>
        <w:t xml:space="preserve">: +33,2 %.</w:t>
      </w:r>
      <w:r>
        <w:t xml:space="preserve"> </w:t>
      </w:r>
      <w:r>
        <w:rPr>
          <w:bCs/>
          <w:b/>
        </w:rPr>
        <w:t xml:space="preserve">Aceleración</w:t>
      </w:r>
      <w:r>
        <w:t xml:space="preserve">: +15,3 puntos (50,1 % frente a una media del 34,8 % en los cuatro trimestres anteriores). Parte es efecto base: el 2T25 perdió las ventas a China por el veto al MI308.</w:t>
      </w:r>
    </w:p>
    <w:p>
      <w:pPr>
        <w:numPr>
          <w:ilvl w:val="0"/>
          <w:numId w:val="1002"/>
        </w:numPr>
        <w:pStyle w:val="Compact"/>
      </w:pPr>
      <w:r>
        <w:rPr>
          <w:bCs/>
          <w:b/>
        </w:rPr>
        <w:t xml:space="preserve">Guía</w:t>
      </w:r>
      <w:r>
        <w:t xml:space="preserve">: solo trimestral. AMD ha batido el punto medio en los cuatro últimos trimestres por 6,8 puntos de crecimiento de media [2]. A medio plazo (día del inversor, nov-2025) apunta a crecer más del 35 % al año, con Centros de Datos por encima del 60 % e IA por encima del 80 % [9].</w:t>
      </w:r>
    </w:p>
    <w:p>
      <w:pPr>
        <w:numPr>
          <w:ilvl w:val="0"/>
          <w:numId w:val="1002"/>
        </w:numPr>
        <w:pStyle w:val="Compact"/>
      </w:pPr>
      <w:r>
        <w:rPr>
          <w:bCs/>
          <w:b/>
        </w:rPr>
        <w:t xml:space="preserve">Lo que viene</w:t>
      </w:r>
      <w:r>
        <w:t xml:space="preserve">: el 4T26 implícito en el consenso son 16.160 M (+57 %), y 2027 debería casi duplicar Centros de Datos con los primeros GW de OpenAI y Meta [6][7]. La regla no lo usa (sección 9).</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unos 670.000 M USD en 2028. Son ≈ 550.000 M de centros de datos (AMD lo cifra en ≈ 200.000 M en 2025 y en un billón en 2030, &gt; 40 % anual) y ≈ 120.000 M de PC, consolas, gráficas e integrados (estimación propia) [9][23].</w:t>
      </w:r>
      <w:r>
        <w:t xml:space="preserve"> </w:t>
      </w:r>
      <w:r>
        <w:rPr>
          <w:bCs/>
          <w:b/>
        </w:rPr>
        <w:t xml:space="preserve">Penetración</w:t>
      </w:r>
      <w:r>
        <w:t xml:space="preserve">: 6,2 %.</w:t>
      </w:r>
    </w:p>
    <w:p>
      <w:pPr>
        <w:numPr>
          <w:ilvl w:val="0"/>
          <w:numId w:val="1003"/>
        </w:numPr>
        <w:pStyle w:val="Compact"/>
      </w:pPr>
      <w:r>
        <w:rPr>
          <w:bCs/>
          <w:b/>
        </w:rPr>
        <w:t xml:space="preserve">Rivales</w:t>
      </w:r>
      <w:r>
        <w:t xml:space="preserve">: Nvidia en aceleradores (más del 80 % de cuota, ≈ 9,7 veces las ventas adelantadas) y Broadcom y Marvell en los chips a medida de los grandes de la nube (TPU de Google, Trainium de Amazon, MTIA de Meta), que son la otra forma de no depender de Nvidia. En procesadores de servidor, Intel (perdiendo cuota) y los Arm propios de los grandes de la nube (Graviton, Axion, Cobalt).</w:t>
      </w:r>
    </w:p>
    <w:p>
      <w:pPr>
        <w:numPr>
          <w:ilvl w:val="0"/>
          <w:numId w:val="1003"/>
        </w:numPr>
        <w:pStyle w:val="Compact"/>
      </w:pPr>
      <w:r>
        <w:rPr>
          <w:bCs/>
          <w:b/>
        </w:rPr>
        <w:t xml:space="preserve">Por qué gana</w:t>
      </w:r>
      <w:r>
        <w:t xml:space="preserve">: es la única alternativa completa a Nvidia (CPU + GPU + redes + rack + software abierto), y los grandes compradores la necesitan para negociar precio y capacidad. Los contratos de GW con warrants atan a los clientes, pero también les regalan hasta un 20 % de la empresa [3].</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BPA 2027e de 12,96 a 15,45 USD en 90 días (a 7-sep) y hoy 15,76. Ventas 2027e de 83.400 M (UBS, jul) a 89.050 M. Objetivo medio de 538 (jul) a 636 USD. Citi 575 → 800, Mizuho 580 → 705 [7][8]</w:t>
            </w:r>
          </w:p>
        </w:tc>
      </w:tr>
      <w:tr>
        <w:tc>
          <w:tcPr/>
          <w:p>
            <w:pPr>
              <w:pStyle w:val="Compact"/>
              <w:jc w:val="left"/>
            </w:pPr>
            <w:r>
              <w:t xml:space="preserve">Precio sobre la media de 200 y subiendo</w:t>
            </w:r>
          </w:p>
        </w:tc>
        <w:tc>
          <w:tcPr/>
          <w:p>
            <w:pPr>
              <w:pStyle w:val="Compact"/>
              <w:jc w:val="left"/>
            </w:pPr>
            <w:r>
              <w:t xml:space="preserve">Sí</w:t>
            </w:r>
          </w:p>
        </w:tc>
        <w:tc>
          <w:tcPr/>
          <w:p>
            <w:pPr>
              <w:pStyle w:val="Compact"/>
              <w:jc w:val="left"/>
            </w:pPr>
            <w:r>
              <w:t xml:space="preserve">570,82 frente a ≈ 390 USD; la media pasa de 302 a 390 en 60 sesiones [5]</w:t>
            </w:r>
          </w:p>
        </w:tc>
      </w:tr>
      <w:tr>
        <w:tc>
          <w:tcPr/>
          <w:p>
            <w:pPr>
              <w:pStyle w:val="Compact"/>
              <w:jc w:val="left"/>
            </w:pPr>
            <w:r>
              <w:t xml:space="preserve">Fuerza relativa a 6 meses</w:t>
            </w:r>
          </w:p>
        </w:tc>
        <w:tc>
          <w:tcPr/>
          <w:p>
            <w:pPr>
              <w:pStyle w:val="Compact"/>
              <w:jc w:val="left"/>
            </w:pPr>
            <w:r>
              <w:t xml:space="preserve">Sí</w:t>
            </w:r>
          </w:p>
        </w:tc>
        <w:tc>
          <w:tcPr/>
          <w:p>
            <w:pPr>
              <w:pStyle w:val="Compact"/>
              <w:jc w:val="left"/>
            </w:pPr>
            <w:r>
              <w:t xml:space="preserve">+105 % frente a +13 % del QQQ y +21 % del SMH [5]</w:t>
            </w:r>
          </w:p>
        </w:tc>
      </w:tr>
      <w:tr>
        <w:tc>
          <w:tcPr/>
          <w:p>
            <w:pPr>
              <w:pStyle w:val="Compact"/>
              <w:jc w:val="left"/>
            </w:pPr>
            <w:r>
              <w:t xml:space="preserve">Mejora del múltiplo ≥ 20 % desde el mínimo</w:t>
            </w:r>
          </w:p>
        </w:tc>
        <w:tc>
          <w:tcPr/>
          <w:p>
            <w:pPr>
              <w:pStyle w:val="Compact"/>
              <w:jc w:val="left"/>
            </w:pPr>
            <w:r>
              <w:t xml:space="preserve">Sí</w:t>
            </w:r>
          </w:p>
        </w:tc>
        <w:tc>
          <w:tcPr/>
          <w:p>
            <w:pPr>
              <w:pStyle w:val="Compact"/>
              <w:jc w:val="left"/>
            </w:pPr>
            <w:r>
              <w:t xml:space="preserve">EV/ventas NTM de 6,0 (3-mar-2026) a 13,6 veces (+125 %) [12]</w:t>
            </w:r>
          </w:p>
        </w:tc>
      </w:tr>
      <w:tr>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operativo no GAAP del 27 % (12 % un año antes, 25 % en el 1T); Centros de Datos del −5 % al 31 % [1]</w:t>
            </w:r>
          </w:p>
        </w:tc>
      </w:tr>
      <w:tr>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Fue eufórico en septiembre (un billón de capitalización) y desde el 6-oct gira a miedo (−16 % en seis sesiones) [10][11][13]</w:t>
            </w:r>
          </w:p>
        </w:tc>
      </w:tr>
      <w:tr>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Ninguna compra; 357 M de ventas de directivos (Lisa Su con plan 10b5-1). Los warrants de Meta y OpenAI son incentivos comerciales [14][15]</w:t>
            </w:r>
          </w:p>
        </w:tc>
      </w:tr>
      <w:tr>
        <w:tc>
          <w:tcPr/>
          <w:p>
            <w:pPr>
              <w:pStyle w:val="Compact"/>
              <w:jc w:val="left"/>
            </w:pPr>
            <w:r>
              <w:t xml:space="preserve">Catalizador en 6 meses</w:t>
            </w:r>
          </w:p>
        </w:tc>
        <w:tc>
          <w:tcPr/>
          <w:p>
            <w:pPr>
              <w:pStyle w:val="Compact"/>
              <w:jc w:val="left"/>
            </w:pPr>
            <w:r>
              <w:t xml:space="preserve">Sí</w:t>
            </w:r>
          </w:p>
        </w:tc>
        <w:tc>
          <w:tcPr/>
          <w:p>
            <w:pPr>
              <w:pStyle w:val="Compact"/>
              <w:jc w:val="left"/>
            </w:pPr>
            <w:r>
              <w:t xml:space="preserve">Resultados el 3-nov, rampa de Helios en el 4T, primer GW de OpenAI y de Meta, Anthropic en el 1S27 [1][16]</w:t>
            </w:r>
          </w:p>
        </w:tc>
      </w:tr>
    </w:tbl>
    <w:p>
      <w:pPr>
        <w:pStyle w:val="BodyText"/>
      </w:pPr>
      <w:r>
        <w:rPr>
          <w:bCs/>
          <w:b/>
        </w:rPr>
        <w:t xml:space="preserve">Euforia: sí.</w:t>
      </w:r>
      <w:r>
        <w:t xml:space="preserve"> </w:t>
      </w:r>
      <w:r>
        <w:t xml:space="preserve">La acción sube un 161,7 % en 12 meses (cierre del 14-oct frente al del 14-oct-2025) con un EV/beneficio bruto de 24,6 veces, por encima de 20. La regla veta la compra. Ojo: la referencia de hace un año cae justo en la semana del acuerdo con OpenAI (+24 % el 6-oct-2025, +11 % el 8-oct, +9 % el 15-oct). Con el precio de hoy (≈ 548) frente al cierre del 15-oct-2025 (238,60), la subida es del +130 % y la euforia desaparecería. Eso no cambia la señal, que ya es negativa por valoración.</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55,5 % (no GAAP de los 12 meses; GAAP 53,2 %, que resta ≈ 260 M por trimestre de amortización de intangibles de Xilinx). Guía del 3T: 56 %. Los racks Helios y las GPU llevan un margen algo menor que la media y presionan la mezcla [1][6].</w:t>
      </w:r>
    </w:p>
    <w:p>
      <w:pPr>
        <w:numPr>
          <w:ilvl w:val="0"/>
          <w:numId w:val="1004"/>
        </w:numPr>
        <w:pStyle w:val="Compact"/>
      </w:pPr>
      <w:r>
        <w:rPr>
          <w:bCs/>
          <w:b/>
        </w:rPr>
        <w:t xml:space="preserve">Regla del 40</w:t>
      </w:r>
      <w:r>
        <w:t xml:space="preserve">: 39,5 + 20,3 =</w:t>
      </w:r>
      <w:r>
        <w:t xml:space="preserve"> </w:t>
      </w:r>
      <w:r>
        <w:rPr>
          <w:bCs/>
          <w:b/>
        </w:rPr>
        <w:t xml:space="preserve">59,8</w:t>
      </w:r>
      <w:r>
        <w:t xml:space="preserve">.</w:t>
      </w:r>
    </w:p>
    <w:p>
      <w:pPr>
        <w:numPr>
          <w:ilvl w:val="0"/>
          <w:numId w:val="1004"/>
        </w:numPr>
        <w:pStyle w:val="Compact"/>
      </w:pPr>
      <w:r>
        <w:rPr>
          <w:bCs/>
          <w:b/>
        </w:rPr>
        <w:t xml:space="preserve">FCF</w:t>
      </w:r>
      <w:r>
        <w:t xml:space="preserve">: 8.403 M en 12 meses (20,3 %), creciendo. El 2T bajó a 1.558 M por inversiones de 808 M (capacidad para racks) [1][4].</w:t>
      </w:r>
    </w:p>
    <w:p>
      <w:pPr>
        <w:numPr>
          <w:ilvl w:val="0"/>
          <w:numId w:val="1004"/>
        </w:numPr>
        <w:pStyle w:val="Compact"/>
      </w:pPr>
      <w:r>
        <w:rPr>
          <w:bCs/>
          <w:b/>
        </w:rPr>
        <w:t xml:space="preserve">Apalancamiento operativo</w:t>
      </w:r>
      <w:r>
        <w:t xml:space="preserve">: margen operativo no GAAP del 27 %, frente al objetivo de más del 35 % a 3-5 años [9].</w:t>
      </w:r>
    </w:p>
    <w:bookmarkEnd w:id="25"/>
    <w:bookmarkStart w:id="26" w:name="caja-deuda-y-dilución"/>
    <w:p>
      <w:pPr>
        <w:pStyle w:val="Heading2"/>
      </w:pPr>
      <w:r>
        <w:t xml:space="preserve">7. Caja, deuda y dilución</w:t>
      </w:r>
    </w:p>
    <w:p>
      <w:pPr>
        <w:numPr>
          <w:ilvl w:val="0"/>
          <w:numId w:val="1005"/>
        </w:numPr>
        <w:pStyle w:val="Compact"/>
      </w:pPr>
      <w:r>
        <w:rPr>
          <w:bCs/>
          <w:b/>
        </w:rPr>
        <w:t xml:space="preserve">Caja e inversiones</w:t>
      </w:r>
      <w:r>
        <w:t xml:space="preserve">: 13.111 M a 27-jun, más 4.740 M netos de los bonos emitidos el 17-ago (17.851 M pro forma).</w:t>
      </w:r>
      <w:r>
        <w:t xml:space="preserve"> </w:t>
      </w:r>
      <w:r>
        <w:rPr>
          <w:bCs/>
          <w:b/>
        </w:rPr>
        <w:t xml:space="preserve">Deuda</w:t>
      </w:r>
      <w:r>
        <w:t xml:space="preserve">: 3.226 M más 4.750 M de bonos 2029-2036 (7.976 M). Caja neta ≈ 9.900 M [1][3].</w:t>
      </w:r>
    </w:p>
    <w:p>
      <w:pPr>
        <w:numPr>
          <w:ilvl w:val="0"/>
          <w:numId w:val="1005"/>
        </w:numPr>
        <w:pStyle w:val="Compact"/>
      </w:pPr>
      <w:r>
        <w:rPr>
          <w:bCs/>
          <w:b/>
        </w:rPr>
        <w:t xml:space="preserve">Compromisos fuera de la caja</w:t>
      </w:r>
      <w:r>
        <w:t xml:space="preserve">: inversión de hasta 5.000 M en Anthropic (≈ 3 USD por acción, no restada) y garantías de alquileres de centros de datos de socios por 4.100 M [3][20].</w:t>
      </w:r>
    </w:p>
    <w:p>
      <w:pPr>
        <w:numPr>
          <w:ilvl w:val="0"/>
          <w:numId w:val="1005"/>
        </w:numPr>
        <w:pStyle w:val="Compact"/>
      </w:pPr>
      <w:r>
        <w:rPr>
          <w:bCs/>
          <w:b/>
        </w:rPr>
        <w:t xml:space="preserve">Dilución pasada</w:t>
      </w:r>
      <w:r>
        <w:t xml:space="preserve">: +1,8 % en 12 meses (acciones de ZT Systems).</w:t>
      </w:r>
      <w:r>
        <w:t xml:space="preserve"> </w:t>
      </w:r>
      <w:r>
        <w:rPr>
          <w:bCs/>
          <w:b/>
        </w:rPr>
        <w:t xml:space="preserve">Pagos en acciones</w:t>
      </w:r>
      <w:r>
        <w:t xml:space="preserve">: 4,6 % de las ventas.</w:t>
      </w:r>
    </w:p>
    <w:p>
      <w:pPr>
        <w:numPr>
          <w:ilvl w:val="0"/>
          <w:numId w:val="1005"/>
        </w:numPr>
        <w:pStyle w:val="Compact"/>
      </w:pPr>
      <w:r>
        <w:rPr>
          <w:bCs/>
          <w:b/>
        </w:rPr>
        <w:t xml:space="preserve">Dilución que viene</w:t>
      </w:r>
      <w:r>
        <w:t xml:space="preserve">: World Labs (8.200 M en acciones, ≈ 0,9 %, ya sumado a las 1.673,6 M de acciones del cálculo). Además están los</w:t>
      </w:r>
      <w:r>
        <w:t xml:space="preserve"> </w:t>
      </w:r>
      <w:r>
        <w:rPr>
          <w:bCs/>
          <w:b/>
        </w:rPr>
        <w:t xml:space="preserve">warrants de OpenAI y Meta, de hasta 160 M de acciones cada uno a 0,01 USD (≈ 20 % de la empresa)</w:t>
      </w:r>
      <w:r>
        <w:t xml:space="preserve">, que se liberan por tramos con las compras de GPU y con precios de la acción. El último tramo de OpenAI exige 600 USD, ya tocados. Cada GW comprado trae ventas de «decenas de miles de millones» y ≈ 1,6 % de dilución (estimación propia, si los tramos son proporcionales). El cálculo no los incluye: con el primer GW de cada cliente en 12 meses, el objetivo bajaría un ≈ 3 % más [3][21].</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5/5</w:t>
      </w:r>
      <w:r>
        <w:t xml:space="preserve">: AMD ha batido el punto medio de su guía trimestral en los cuatro últimos trimestres y en casi todos los de los últimos dos años. Ha cumplido las hojas de ruta (MI300, MI350, MI400, EPYC por generaciones) y ejecutado bien la integración de Xilinx [2].</w:t>
      </w:r>
    </w:p>
    <w:p>
      <w:pPr>
        <w:numPr>
          <w:ilvl w:val="0"/>
          <w:numId w:val="1006"/>
        </w:numPr>
        <w:pStyle w:val="Compact"/>
      </w:pPr>
      <w:r>
        <w:rPr>
          <w:bCs/>
          <w:b/>
        </w:rPr>
        <w:t xml:space="preserve">Dirección 4/5</w:t>
      </w:r>
      <w:r>
        <w:t xml:space="preserve">: Lisa Su, consejera delegada desde 2014, artífice del giro. Su asignación de capital ha sido buena (Xilinx, ZT Systems y la venta de su fabricación). Pero vende ≈ 125.000 acciones al mes con un plan 10b5-1 (conserva ≈ 3 M, ≈ 1.700 M USD), y los warrants ceden hasta un 20 % de la empresa a dos clientes: es un precio alto por el volumen [3][14].</w:t>
      </w:r>
    </w:p>
    <w:bookmarkEnd w:id="27"/>
    <w:bookmarkStart w:id="28" w:name="valoración"/>
    <w:p>
      <w:pPr>
        <w:pStyle w:val="Heading2"/>
      </w:pPr>
      <w:r>
        <w:t xml:space="preserve">9. Valoración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3T27-2T28 (M USD)</w:t>
            </w:r>
          </w:p>
        </w:tc>
        <w:tc>
          <w:tcPr/>
          <w:p>
            <w:pPr>
              <w:pStyle w:val="Compact"/>
              <w:jc w:val="left"/>
            </w:pPr>
            <w:r>
              <w:t xml:space="preserve">EV/ventas NTM</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57.541</w:t>
            </w:r>
          </w:p>
        </w:tc>
        <w:tc>
          <w:tcPr/>
          <w:p>
            <w:pPr>
              <w:pStyle w:val="Compact"/>
              <w:jc w:val="left"/>
            </w:pPr>
            <w:r>
              <w:t xml:space="preserve">5,7</w:t>
            </w:r>
          </w:p>
        </w:tc>
        <w:tc>
          <w:tcPr/>
          <w:p>
            <w:pPr>
              <w:pStyle w:val="Compact"/>
              <w:jc w:val="left"/>
            </w:pPr>
            <w:r>
              <w:t xml:space="preserve">198,7</w:t>
            </w:r>
          </w:p>
        </w:tc>
        <w:tc>
          <w:tcPr/>
          <w:p>
            <w:pPr>
              <w:pStyle w:val="Compact"/>
              <w:jc w:val="left"/>
            </w:pPr>
            <w:r>
              <w:t xml:space="preserve">−65,2 %</w:t>
            </w:r>
          </w:p>
        </w:tc>
      </w:tr>
      <w:tr>
        <w:tc>
          <w:tcPr/>
          <w:p>
            <w:pPr>
              <w:pStyle w:val="Compact"/>
              <w:jc w:val="left"/>
            </w:pPr>
            <w:r>
              <w:t xml:space="preserve">Base (50 %)</w:t>
            </w:r>
          </w:p>
        </w:tc>
        <w:tc>
          <w:tcPr/>
          <w:p>
            <w:pPr>
              <w:pStyle w:val="Compact"/>
              <w:jc w:val="left"/>
            </w:pPr>
            <w:r>
              <w:t xml:space="preserve">76.447</w:t>
            </w:r>
          </w:p>
        </w:tc>
        <w:tc>
          <w:tcPr/>
          <w:p>
            <w:pPr>
              <w:pStyle w:val="Compact"/>
              <w:jc w:val="left"/>
            </w:pPr>
            <w:r>
              <w:t xml:space="preserve">9,5</w:t>
            </w:r>
          </w:p>
        </w:tc>
        <w:tc>
          <w:tcPr/>
          <w:p>
            <w:pPr>
              <w:pStyle w:val="Compact"/>
              <w:jc w:val="left"/>
            </w:pPr>
            <w:r>
              <w:t xml:space="preserve">433,0</w:t>
            </w:r>
          </w:p>
        </w:tc>
        <w:tc>
          <w:tcPr/>
          <w:p>
            <w:pPr>
              <w:pStyle w:val="Compact"/>
              <w:jc w:val="left"/>
            </w:pPr>
            <w:r>
              <w:t xml:space="preserve">−24,2 %</w:t>
            </w:r>
          </w:p>
        </w:tc>
      </w:tr>
      <w:tr>
        <w:tc>
          <w:tcPr/>
          <w:p>
            <w:pPr>
              <w:pStyle w:val="Compact"/>
              <w:jc w:val="left"/>
            </w:pPr>
            <w:r>
              <w:t xml:space="preserve">Alcista (25 %)</w:t>
            </w:r>
          </w:p>
        </w:tc>
        <w:tc>
          <w:tcPr/>
          <w:p>
            <w:pPr>
              <w:pStyle w:val="Compact"/>
              <w:jc w:val="left"/>
            </w:pPr>
            <w:r>
              <w:t xml:space="preserve">84.757</w:t>
            </w:r>
          </w:p>
        </w:tc>
        <w:tc>
          <w:tcPr/>
          <w:p>
            <w:pPr>
              <w:pStyle w:val="Compact"/>
              <w:jc w:val="left"/>
            </w:pPr>
            <w:r>
              <w:t xml:space="preserve">12,4</w:t>
            </w:r>
          </w:p>
        </w:tc>
        <w:tc>
          <w:tcPr/>
          <w:p>
            <w:pPr>
              <w:pStyle w:val="Compact"/>
              <w:jc w:val="left"/>
            </w:pPr>
            <w:r>
              <w:t xml:space="preserve">621,5</w:t>
            </w:r>
          </w:p>
        </w:tc>
        <w:tc>
          <w:tcPr/>
          <w:p>
            <w:pPr>
              <w:pStyle w:val="Compact"/>
              <w:jc w:val="left"/>
            </w:pPr>
            <w:r>
              <w:t xml:space="preserve">+8,9 %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421,6</w:t>
            </w:r>
          </w:p>
        </w:tc>
        <w:tc>
          <w:tcPr/>
          <w:p>
            <w:pPr>
              <w:pStyle w:val="Compact"/>
              <w:jc w:val="left"/>
            </w:pPr>
            <w:r>
              <w:rPr>
                <w:bCs/>
                <w:b/>
              </w:rPr>
              <w:t xml:space="preserve">−26,2 %</w:t>
            </w:r>
          </w:p>
        </w:tc>
      </w:tr>
    </w:tbl>
    <w:p>
      <w:pPr>
        <w:numPr>
          <w:ilvl w:val="0"/>
          <w:numId w:val="1007"/>
        </w:numPr>
        <w:pStyle w:val="Compact"/>
      </w:pPr>
      <w:r>
        <w:rPr>
          <w:bCs/>
          <w:b/>
        </w:rPr>
        <w:t xml:space="preserve">Cómo sale</w:t>
      </w:r>
      <w:r>
        <w:t xml:space="preserve">: la regla parte de un crecimiento del 39 % (media del pasado y del CAGR), que decae un 15 % al año. Las ventas de cada escenario son la menor entre la proyección mecánica y la del analista. Aquí manda siempre la mecánica, porque la del analista es mayor. Las ventas de los próximos 12 meses ya son ≈ 69.200 M (guía + consenso, +67,5 %), así que la base supone que el crecimiento del año objetivo cae al 10,5 %. Por eso el múltiplo de hoy (13,6) se rebaja al máximo (−30 %, hasta 9,5).</w:t>
      </w:r>
    </w:p>
    <w:p>
      <w:pPr>
        <w:numPr>
          <w:ilvl w:val="0"/>
          <w:numId w:val="1007"/>
        </w:numPr>
        <w:pStyle w:val="Compact"/>
      </w:pPr>
      <w:r>
        <w:rPr>
          <w:bCs/>
          <w:b/>
        </w:rPr>
        <w:t xml:space="preserve">Contraste con el consenso</w:t>
      </w:r>
      <w:r>
        <w:t xml:space="preserve">: ventas de la ventana ≈ 104.000 M (extrapoladas del consenso de 2027) y objetivo medio de 636 USD (+11 %). Con las ventas del analista, el método da +3,8 % ponderada y +3,2 % base:</w:t>
      </w:r>
      <w:r>
        <w:t xml:space="preserve"> </w:t>
      </w:r>
      <w:r>
        <w:rPr>
          <w:bCs/>
          <w:b/>
        </w:rPr>
        <w:t xml:space="preserve">Mantener</w:t>
      </w:r>
      <w:r>
        <w:t xml:space="preserve">, sin llegar a compra (pide ≥ 5 %) [7].</w:t>
      </w:r>
    </w:p>
    <w:p>
      <w:pPr>
        <w:numPr>
          <w:ilvl w:val="0"/>
          <w:numId w:val="1007"/>
        </w:numPr>
        <w:pStyle w:val="Compact"/>
      </w:pPr>
      <w:r>
        <w:rPr>
          <w:bCs/>
          <w:b/>
        </w:rPr>
        <w:t xml:space="preserve">DCF inverso</w:t>
      </w:r>
      <w:r>
        <w:t xml:space="preserve">: el precio exige crecer un 25,8 % al año durante 10 años (con el margen FCF subiendo del 20 % al 30 %) [12]. Es menos de lo que crece hoy, pero lleva implícito que la IA siga invirtiendo a este ritmo una década.</w:t>
      </w:r>
    </w:p>
    <w:p>
      <w:pPr>
        <w:numPr>
          <w:ilvl w:val="0"/>
          <w:numId w:val="1007"/>
        </w:numPr>
        <w:pStyle w:val="Compact"/>
      </w:pPr>
      <w:r>
        <w:rPr>
          <w:bCs/>
          <w:b/>
        </w:rPr>
        <w:t xml:space="preserve">Múltiplos</w:t>
      </w:r>
      <w:r>
        <w:t xml:space="preserve">: 13,7 veces las ventas NTM y 24,6 veces el beneficio bruto NTM (tope 35: pasa). ≈ 51 veces el BPA adelantado y 13,0 veces las ventas adelantadas, frente a 9,7 de Nvidia, 10,4 de Broadcom y 13,3 de Marvell [22].</w:t>
      </w:r>
    </w:p>
    <w:p>
      <w:pPr>
        <w:numPr>
          <w:ilvl w:val="0"/>
          <w:numId w:val="1007"/>
        </w:numPr>
        <w:pStyle w:val="Compact"/>
      </w:pPr>
      <w:r>
        <w:rPr>
          <w:bCs/>
          <w:b/>
        </w:rPr>
        <w:t xml:space="preserve">Precio máximo de compra: 397,40 USD.</w:t>
      </w:r>
      <w:r>
        <w:t xml:space="preserve"> </w:t>
      </w:r>
      <w:r>
        <w:t xml:space="preserve">Es el menor entre el precio que da ponderada +5 % con base ≥ 0 %, el que lleva el EV/beneficio bruto a 35 y el que respeta un bajista de −50 %.</w:t>
      </w:r>
    </w:p>
    <w:bookmarkEnd w:id="28"/>
    <w:bookmarkStart w:id="29" w:name="foros-y-sentimiento"/>
    <w:p>
      <w:pPr>
        <w:pStyle w:val="Heading2"/>
      </w:pPr>
      <w:r>
        <w:t xml:space="preserve">10. Foros y sentimiento</w:t>
      </w:r>
    </w:p>
    <w:p>
      <w:pPr>
        <w:numPr>
          <w:ilvl w:val="0"/>
          <w:numId w:val="1008"/>
        </w:numPr>
        <w:pStyle w:val="Compact"/>
      </w:pPr>
      <w:r>
        <w:rPr>
          <w:bCs/>
          <w:b/>
        </w:rPr>
        <w:t xml:space="preserve">StockTwits (15-oct)</w:t>
      </w:r>
      <w:r>
        <w:t xml:space="preserve">: 10 alcistas y 5 bajistas de 30 mensajes, en plena caída. Hay miedo («corto en todo lo de IA», «tirón hasta 500») y gente que ve una oportunidad («venta forzada de un fondo, rebote fuerte») [11]. El lunes 12 había mensajes de «800 USD esta semana».</w:t>
      </w:r>
    </w:p>
    <w:p>
      <w:pPr>
        <w:numPr>
          <w:ilvl w:val="0"/>
          <w:numId w:val="1008"/>
        </w:numPr>
        <w:pStyle w:val="Compact"/>
      </w:pPr>
      <w:r>
        <w:rPr>
          <w:bCs/>
          <w:b/>
        </w:rPr>
        <w:t xml:space="preserve">Prensa y análisis</w:t>
      </w:r>
      <w:r>
        <w:t xml:space="preserve">: en septiembre, euforia («el billón», «se une a Nvidia»). En octubre llegan dudas sobre la capacidad de pago de OpenAI (FT del 8-oct) y sobre la financiación de los centros de datos (CoreWeave). Los analistas siguen casi todos en Comprar (0 ventas) y suben objetivos hasta 800 USD [7][13][21].</w:t>
      </w:r>
    </w:p>
    <w:p>
      <w:pPr>
        <w:numPr>
          <w:ilvl w:val="0"/>
          <w:numId w:val="1008"/>
        </w:numPr>
        <w:pStyle w:val="Compact"/>
      </w:pPr>
      <w:r>
        <w:rPr>
          <w:bCs/>
          <w:b/>
        </w:rPr>
        <w:t xml:space="preserve">Contraste con los datos</w:t>
      </w:r>
      <w:r>
        <w:t xml:space="preserve">: los resultados acompañan (+50 %, guía de +41 %). Pero el precio ha corrido más que el negocio y el sentimiento ha pasado de eufórico a nervioso en una semana. Es la «reversión del sentimiento» que el método pide vigilar. Reddit, Rankia e Investing ES no se pudieron consultar desde aquí: es una laguna.</w:t>
      </w:r>
    </w:p>
    <w:bookmarkEnd w:id="29"/>
    <w:bookmarkStart w:id="30" w:name="bis.-precio-y-noticias-antes-de-decidir"/>
    <w:p>
      <w:pPr>
        <w:pStyle w:val="Heading2"/>
      </w:pPr>
      <w:r>
        <w:t xml:space="preserve">10 bis. Precio y noticias antes de decidir</w:t>
      </w:r>
    </w:p>
    <w:p>
      <w:pPr>
        <w:pStyle w:val="FirstParagraph"/>
      </w:pPr>
      <w:r>
        <w:rPr>
          <w:bCs/>
          <w:b/>
        </w:rPr>
        <w:t xml:space="preserve">Movimiento</w:t>
      </w:r>
      <w:r>
        <w:t xml:space="preserve"> </w:t>
      </w:r>
      <w:r>
        <w:t xml:space="preserve">(</w:t>
      </w:r>
      <w:r>
        <w:rPr>
          <w:rStyle w:val="VerbatimChar"/>
        </w:rPr>
        <w:t xml:space="preserve">movimiento.mjs AMD</w:t>
      </w:r>
      <w:r>
        <w:t xml:space="preserve">, 15-oct, sesión en curso a 548 USD): 1 mes +6,9 %; 3 meses +10,5 %; 6 meses +96,9 %; 12 meses +151,3 %. Está a −15,6 % del máximo de 52 semanas y del histórico (649,42, 6-oct), a +187 % del mínimo de 52 semanas y ≈ +40 % sobre la media de 200 sesiones. Tendencia alcista, volatilidad de 60 días del 62 %. Mayor caída de un mes en seis: −20,4 % (hasta el 29-jul); mayor subida: +92,4 % (hasta el 8-may). Sin avisos P1-P5.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Mes</w:t>
            </w:r>
          </w:p>
        </w:tc>
        <w:tc>
          <w:tcPr/>
          <w:p>
            <w:pPr>
              <w:pStyle w:val="Compact"/>
              <w:jc w:val="left"/>
            </w:pPr>
            <w:r>
              <w:t xml:space="preserve">Variación</w:t>
            </w:r>
          </w:p>
        </w:tc>
        <w:tc>
          <w:tcPr/>
          <w:p>
            <w:pPr>
              <w:pStyle w:val="Compact"/>
              <w:jc w:val="left"/>
            </w:pPr>
            <w:r>
              <w:t xml:space="preserve">Causa</w:t>
            </w:r>
          </w:p>
        </w:tc>
        <w:tc>
          <w:tcPr/>
          <w:p>
            <w:pPr>
              <w:pStyle w:val="Compact"/>
              <w:jc w:val="left"/>
            </w:pPr>
            <w:r>
              <w:t xml:space="preserve">Veredicto</w:t>
            </w:r>
          </w:p>
        </w:tc>
      </w:tr>
      <w:tr>
        <w:tc>
          <w:tcPr/>
          <w:p>
            <w:pPr>
              <w:pStyle w:val="Compact"/>
              <w:jc w:val="left"/>
            </w:pPr>
            <w:r>
              <w:t xml:space="preserve">oct-2025</w:t>
            </w:r>
          </w:p>
        </w:tc>
        <w:tc>
          <w:tcPr/>
          <w:p>
            <w:pPr>
              <w:pStyle w:val="Compact"/>
              <w:jc w:val="left"/>
            </w:pPr>
            <w:r>
              <w:t xml:space="preserve">+58,3 %</w:t>
            </w:r>
          </w:p>
        </w:tc>
        <w:tc>
          <w:tcPr/>
          <w:p>
            <w:pPr>
              <w:pStyle w:val="Compact"/>
              <w:jc w:val="left"/>
            </w:pPr>
            <w:r>
              <w:t xml:space="preserve">Acuerdo con OpenAI (6 GW, warrant de 160 M de acciones); +23,7 % el 6-oct [3][17]</w:t>
            </w:r>
          </w:p>
        </w:tc>
        <w:tc>
          <w:tcPr/>
          <w:p>
            <w:pPr>
              <w:pStyle w:val="Compact"/>
              <w:jc w:val="left"/>
            </w:pPr>
            <w:r>
              <w:t xml:space="preserve">no cambia</w:t>
            </w:r>
          </w:p>
        </w:tc>
      </w:tr>
      <w:tr>
        <w:tc>
          <w:tcPr/>
          <w:p>
            <w:pPr>
              <w:pStyle w:val="Compact"/>
              <w:jc w:val="left"/>
            </w:pPr>
            <w:r>
              <w:t xml:space="preserve">nov-2025</w:t>
            </w:r>
          </w:p>
        </w:tc>
        <w:tc>
          <w:tcPr/>
          <w:p>
            <w:pPr>
              <w:pStyle w:val="Compact"/>
              <w:jc w:val="left"/>
            </w:pPr>
            <w:r>
              <w:t xml:space="preserve">−15,1 %</w:t>
            </w:r>
          </w:p>
        </w:tc>
        <w:tc>
          <w:tcPr/>
          <w:p>
            <w:pPr>
              <w:pStyle w:val="Compact"/>
              <w:jc w:val="left"/>
            </w:pPr>
            <w:r>
              <w:t xml:space="preserve">Miedo a la burbuja de la IA y venta del sector [17]</w:t>
            </w:r>
          </w:p>
        </w:tc>
        <w:tc>
          <w:tcPr/>
          <w:p>
            <w:pPr>
              <w:pStyle w:val="Compact"/>
              <w:jc w:val="left"/>
            </w:pPr>
            <w:r>
              <w:t xml:space="preserve">no cambia</w:t>
            </w:r>
          </w:p>
        </w:tc>
      </w:tr>
      <w:tr>
        <w:tc>
          <w:tcPr/>
          <w:p>
            <w:pPr>
              <w:pStyle w:val="Compact"/>
              <w:jc w:val="left"/>
            </w:pPr>
            <w:r>
              <w:t xml:space="preserve">feb-2026</w:t>
            </w:r>
          </w:p>
        </w:tc>
        <w:tc>
          <w:tcPr/>
          <w:p>
            <w:pPr>
              <w:pStyle w:val="Compact"/>
              <w:jc w:val="left"/>
            </w:pPr>
            <w:r>
              <w:t xml:space="preserve">−15,4 %</w:t>
            </w:r>
          </w:p>
        </w:tc>
        <w:tc>
          <w:tcPr/>
          <w:p>
            <w:pPr>
              <w:pStyle w:val="Compact"/>
              <w:jc w:val="left"/>
            </w:pPr>
            <w:r>
              <w:t xml:space="preserve">4T25: bate, pero con 390 M de China no previstos y una guía del 1T que no llegó a lo optimista; −17,3 % el 4-feb [18]</w:t>
            </w:r>
          </w:p>
        </w:tc>
        <w:tc>
          <w:tcPr/>
          <w:p>
            <w:pPr>
              <w:pStyle w:val="Compact"/>
              <w:jc w:val="left"/>
            </w:pPr>
            <w:r>
              <w:t xml:space="preserve">no cambia</w:t>
            </w:r>
          </w:p>
        </w:tc>
      </w:tr>
      <w:tr>
        <w:tc>
          <w:tcPr/>
          <w:p>
            <w:pPr>
              <w:pStyle w:val="Compact"/>
              <w:jc w:val="left"/>
            </w:pPr>
            <w:r>
              <w:t xml:space="preserve">abr-2026</w:t>
            </w:r>
          </w:p>
        </w:tc>
        <w:tc>
          <w:tcPr/>
          <w:p>
            <w:pPr>
              <w:pStyle w:val="Compact"/>
              <w:jc w:val="left"/>
            </w:pPr>
            <w:r>
              <w:t xml:space="preserve">+74,3 %</w:t>
            </w:r>
          </w:p>
        </w:tc>
        <w:tc>
          <w:tcPr/>
          <w:p>
            <w:pPr>
              <w:pStyle w:val="Compact"/>
              <w:jc w:val="left"/>
            </w:pPr>
            <w:r>
              <w:t xml:space="preserve">El mercado pone precio a los contratos (OpenAI, Meta) y a la demanda de CPU para IA con agentes; DA Davidson [19]</w:t>
            </w:r>
          </w:p>
        </w:tc>
        <w:tc>
          <w:tcPr/>
          <w:p>
            <w:pPr>
              <w:pStyle w:val="Compact"/>
              <w:jc w:val="left"/>
            </w:pPr>
            <w:r>
              <w:t xml:space="preserve">no cambia</w:t>
            </w:r>
          </w:p>
        </w:tc>
      </w:tr>
      <w:tr>
        <w:tc>
          <w:tcPr/>
          <w:p>
            <w:pPr>
              <w:pStyle w:val="Compact"/>
              <w:jc w:val="left"/>
            </w:pPr>
            <w:r>
              <w:t xml:space="preserve">may-2026</w:t>
            </w:r>
          </w:p>
        </w:tc>
        <w:tc>
          <w:tcPr/>
          <w:p>
            <w:pPr>
              <w:pStyle w:val="Compact"/>
              <w:jc w:val="left"/>
            </w:pPr>
            <w:r>
              <w:t xml:space="preserve">+45,6 %</w:t>
            </w:r>
          </w:p>
        </w:tc>
        <w:tc>
          <w:tcPr/>
          <w:p>
            <w:pPr>
              <w:pStyle w:val="Compact"/>
              <w:jc w:val="left"/>
            </w:pPr>
            <w:r>
              <w:t xml:space="preserve">1T26 por encima de la guía y guía del 2T de +46 %; +18,6 % el 6-may [2]</w:t>
            </w:r>
          </w:p>
        </w:tc>
        <w:tc>
          <w:tcPr/>
          <w:p>
            <w:pPr>
              <w:pStyle w:val="Compact"/>
              <w:jc w:val="left"/>
            </w:pPr>
            <w:r>
              <w:t xml:space="preserve">no cambia</w:t>
            </w:r>
          </w:p>
        </w:tc>
      </w:tr>
      <w:tr>
        <w:tc>
          <w:tcPr/>
          <w:p>
            <w:pPr>
              <w:pStyle w:val="Compact"/>
              <w:jc w:val="left"/>
            </w:pPr>
            <w:r>
              <w:t xml:space="preserve">jul-2026</w:t>
            </w:r>
          </w:p>
        </w:tc>
        <w:tc>
          <w:tcPr/>
          <w:p>
            <w:pPr>
              <w:pStyle w:val="Compact"/>
              <w:jc w:val="left"/>
            </w:pPr>
            <w:r>
              <w:t xml:space="preserve">−18,0 %</w:t>
            </w:r>
          </w:p>
        </w:tc>
        <w:tc>
          <w:tcPr/>
          <w:p>
            <w:pPr>
              <w:pStyle w:val="Compact"/>
              <w:jc w:val="left"/>
            </w:pPr>
            <w:r>
              <w:t xml:space="preserve">Rotación a Nvidia y Broadcom, comercio de IA «abarrotado»; alianza con Anthropic el 22-jul [20]</w:t>
            </w:r>
          </w:p>
        </w:tc>
        <w:tc>
          <w:tcPr/>
          <w:p>
            <w:pPr>
              <w:pStyle w:val="Compact"/>
              <w:jc w:val="left"/>
            </w:pPr>
            <w:r>
              <w:t xml:space="preserve">no cambia</w:t>
            </w:r>
          </w:p>
        </w:tc>
      </w:tr>
      <w:tr>
        <w:tc>
          <w:tcPr/>
          <w:p>
            <w:pPr>
              <w:pStyle w:val="Compact"/>
              <w:jc w:val="left"/>
            </w:pPr>
            <w:r>
              <w:t xml:space="preserve">sep-2026</w:t>
            </w:r>
          </w:p>
        </w:tc>
        <w:tc>
          <w:tcPr/>
          <w:p>
            <w:pPr>
              <w:pStyle w:val="Compact"/>
              <w:jc w:val="left"/>
            </w:pPr>
            <w:r>
              <w:t xml:space="preserve">+30,0 %</w:t>
            </w:r>
          </w:p>
        </w:tc>
        <w:tc>
          <w:tcPr/>
          <w:p>
            <w:pPr>
              <w:pStyle w:val="Compact"/>
              <w:jc w:val="left"/>
            </w:pPr>
            <w:r>
              <w:t xml:space="preserve">Un billón de capitalización, subida del 10 % de precios, envíos de Helios [6][10]</w:t>
            </w:r>
          </w:p>
        </w:tc>
        <w:tc>
          <w:tcPr/>
          <w:p>
            <w:pPr>
              <w:pStyle w:val="Compact"/>
              <w:jc w:val="left"/>
            </w:pPr>
            <w:r>
              <w:t xml:space="preserve">no cambia</w:t>
            </w:r>
          </w:p>
        </w:tc>
      </w:tr>
      <w:tr>
        <w:tc>
          <w:tcPr/>
          <w:p>
            <w:pPr>
              <w:pStyle w:val="Compact"/>
              <w:jc w:val="left"/>
            </w:pPr>
            <w:r>
              <w:t xml:space="preserve">oct-2026 (al 15)</w:t>
            </w:r>
          </w:p>
        </w:tc>
        <w:tc>
          <w:tcPr/>
          <w:p>
            <w:pPr>
              <w:pStyle w:val="Compact"/>
              <w:jc w:val="left"/>
            </w:pPr>
            <w:r>
              <w:t xml:space="preserve">−10,4 %</w:t>
            </w:r>
          </w:p>
        </w:tc>
        <w:tc>
          <w:tcPr/>
          <w:p>
            <w:pPr>
              <w:pStyle w:val="Compact"/>
              <w:jc w:val="left"/>
            </w:pPr>
            <w:r>
              <w:t xml:space="preserve">Venta de chips: FT sobre los ingresos de OpenAI (8-oct), IPC del 3,7 % (14-oct, −5,7 %), CoreWeave [13][21]</w:t>
            </w:r>
          </w:p>
        </w:tc>
        <w:tc>
          <w:tcPr/>
          <w:p>
            <w:pPr>
              <w:pStyle w:val="Compact"/>
              <w:jc w:val="left"/>
            </w:pPr>
            <w:r>
              <w:t xml:space="preserve">no cambia</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Fecha</w:t>
            </w:r>
          </w:p>
        </w:tc>
        <w:tc>
          <w:tcPr/>
          <w:p>
            <w:pPr>
              <w:pStyle w:val="Compact"/>
              <w:jc w:val="left"/>
            </w:pPr>
            <w:r>
              <w:t xml:space="preserve">Tipo</w:t>
            </w:r>
          </w:p>
        </w:tc>
        <w:tc>
          <w:tcPr/>
          <w:p>
            <w:pPr>
              <w:pStyle w:val="Compact"/>
              <w:jc w:val="left"/>
            </w:pPr>
            <w:r>
              <w:t xml:space="preserve">Hecho</w:t>
            </w:r>
          </w:p>
        </w:tc>
        <w:tc>
          <w:tcPr/>
          <w:p>
            <w:pPr>
              <w:pStyle w:val="Compact"/>
              <w:jc w:val="left"/>
            </w:pPr>
            <w:r>
              <w:t xml:space="preserve">Veredicto</w:t>
            </w:r>
          </w:p>
        </w:tc>
      </w:tr>
      <w:tr>
        <w:tc>
          <w:tcPr/>
          <w:p>
            <w:pPr>
              <w:pStyle w:val="Compact"/>
              <w:jc w:val="left"/>
            </w:pPr>
            <w:r>
              <w:t xml:space="preserve">3-nov-2026</w:t>
            </w:r>
          </w:p>
        </w:tc>
        <w:tc>
          <w:tcPr/>
          <w:p>
            <w:pPr>
              <w:pStyle w:val="Compact"/>
              <w:jc w:val="left"/>
            </w:pPr>
            <w:r>
              <w:t xml:space="preserve">Resultados</w:t>
            </w:r>
          </w:p>
        </w:tc>
        <w:tc>
          <w:tcPr/>
          <w:p>
            <w:pPr>
              <w:pStyle w:val="Compact"/>
              <w:jc w:val="left"/>
            </w:pPr>
            <w:r>
              <w:t xml:space="preserve">3T26 (guía 13.000 M); primera prueba de Helios y del primer GW de OpenAI [16]</w:t>
            </w:r>
          </w:p>
        </w:tc>
        <w:tc>
          <w:tcPr/>
          <w:p>
            <w:pPr>
              <w:pStyle w:val="Compact"/>
              <w:jc w:val="left"/>
            </w:pPr>
            <w:r>
              <w:t xml:space="preserve">no cambia (regla 11)</w:t>
            </w:r>
          </w:p>
        </w:tc>
      </w:tr>
      <w:tr>
        <w:tc>
          <w:tcPr/>
          <w:p>
            <w:pPr>
              <w:pStyle w:val="Compact"/>
              <w:jc w:val="left"/>
            </w:pPr>
            <w:r>
              <w:t xml:space="preserve">15-oct-2026</w:t>
            </w:r>
          </w:p>
        </w:tc>
        <w:tc>
          <w:tcPr/>
          <w:p>
            <w:pPr>
              <w:pStyle w:val="Compact"/>
              <w:jc w:val="left"/>
            </w:pPr>
            <w:r>
              <w:t xml:space="preserve">Recomendación</w:t>
            </w:r>
          </w:p>
        </w:tc>
        <w:tc>
          <w:tcPr/>
          <w:p>
            <w:pPr>
              <w:pStyle w:val="Compact"/>
              <w:jc w:val="left"/>
            </w:pPr>
            <w:r>
              <w:t xml:space="preserve">KeyBanc Comprar 725; Citi 800, Mizuho 705, Stifel 700; objetivo medio 636 (0 ventas) [7]</w:t>
            </w:r>
          </w:p>
        </w:tc>
        <w:tc>
          <w:tcPr/>
          <w:p>
            <w:pPr>
              <w:pStyle w:val="Compact"/>
              <w:jc w:val="left"/>
            </w:pPr>
            <w:r>
              <w:t xml:space="preserve">no cambia</w:t>
            </w:r>
          </w:p>
        </w:tc>
      </w:tr>
      <w:tr>
        <w:tc>
          <w:tcPr/>
          <w:p>
            <w:pPr>
              <w:pStyle w:val="Compact"/>
              <w:jc w:val="left"/>
            </w:pPr>
            <w:r>
              <w:t xml:space="preserve">8-oct-2026</w:t>
            </w:r>
          </w:p>
        </w:tc>
        <w:tc>
          <w:tcPr/>
          <w:p>
            <w:pPr>
              <w:pStyle w:val="Compact"/>
              <w:jc w:val="left"/>
            </w:pPr>
            <w:r>
              <w:t xml:space="preserve">Rumor</w:t>
            </w:r>
          </w:p>
        </w:tc>
        <w:tc>
          <w:tcPr/>
          <w:p>
            <w:pPr>
              <w:pStyle w:val="Compact"/>
              <w:jc w:val="left"/>
            </w:pPr>
            <w:r>
              <w:t xml:space="preserve">FT: ingresos de OpenAI ≈ 20.000 M por debajo de lo que circulaba; Bloomberg: ≥ 70.000 M a fin de año [21]</w:t>
            </w:r>
          </w:p>
        </w:tc>
        <w:tc>
          <w:tcPr/>
          <w:p>
            <w:pPr>
              <w:pStyle w:val="Compact"/>
              <w:jc w:val="left"/>
            </w:pPr>
            <w:r>
              <w:t xml:space="preserve">no cambia</w:t>
            </w:r>
          </w:p>
        </w:tc>
      </w:tr>
      <w:tr>
        <w:tc>
          <w:tcPr/>
          <w:p>
            <w:pPr>
              <w:pStyle w:val="Compact"/>
              <w:jc w:val="left"/>
            </w:pPr>
            <w:r>
              <w:t xml:space="preserve">26-sep-2026</w:t>
            </w:r>
          </w:p>
        </w:tc>
        <w:tc>
          <w:tcPr/>
          <w:p>
            <w:pPr>
              <w:pStyle w:val="Compact"/>
              <w:jc w:val="left"/>
            </w:pPr>
            <w:r>
              <w:t xml:space="preserve">Fusión</w:t>
            </w:r>
          </w:p>
        </w:tc>
        <w:tc>
          <w:tcPr/>
          <w:p>
            <w:pPr>
              <w:pStyle w:val="Compact"/>
              <w:jc w:val="left"/>
            </w:pPr>
            <w:r>
              <w:t xml:space="preserve">World Labs por 8.200 M en acciones (≈ 0,9 % de dilución) [3]</w:t>
            </w:r>
          </w:p>
        </w:tc>
        <w:tc>
          <w:tcPr/>
          <w:p>
            <w:pPr>
              <w:pStyle w:val="Compact"/>
              <w:jc w:val="left"/>
            </w:pPr>
            <w:r>
              <w:t xml:space="preserve">no cambia</w:t>
            </w:r>
          </w:p>
        </w:tc>
      </w:tr>
      <w:tr>
        <w:tc>
          <w:tcPr/>
          <w:p>
            <w:pPr>
              <w:pStyle w:val="Compact"/>
              <w:jc w:val="left"/>
            </w:pPr>
            <w:r>
              <w:t xml:space="preserve">10-sep-2026</w:t>
            </w:r>
          </w:p>
        </w:tc>
        <w:tc>
          <w:tcPr/>
          <w:p>
            <w:pPr>
              <w:pStyle w:val="Compact"/>
              <w:jc w:val="left"/>
            </w:pPr>
            <w:r>
              <w:t xml:space="preserve">Directivos</w:t>
            </w:r>
          </w:p>
        </w:tc>
        <w:tc>
          <w:tcPr/>
          <w:p>
            <w:pPr>
              <w:pStyle w:val="Compact"/>
              <w:jc w:val="left"/>
            </w:pPr>
            <w:r>
              <w:t xml:space="preserve">Lisa Su vende con un plan 10b5-1 (≈ 125.000 acciones al mes); ninguna compra en 12 meses [14][15]</w:t>
            </w:r>
          </w:p>
        </w:tc>
        <w:tc>
          <w:tcPr/>
          <w:p>
            <w:pPr>
              <w:pStyle w:val="Compact"/>
              <w:jc w:val="left"/>
            </w:pPr>
            <w:r>
              <w:t xml:space="preserve">no cambia</w:t>
            </w:r>
          </w:p>
        </w:tc>
      </w:tr>
      <w:tr>
        <w:tc>
          <w:tcPr/>
          <w:p>
            <w:pPr>
              <w:pStyle w:val="Compact"/>
              <w:jc w:val="left"/>
            </w:pPr>
            <w:r>
              <w:t xml:space="preserve">17-ago-2026</w:t>
            </w:r>
          </w:p>
        </w:tc>
        <w:tc>
          <w:tcPr/>
          <w:p>
            <w:pPr>
              <w:pStyle w:val="Compact"/>
              <w:jc w:val="left"/>
            </w:pPr>
            <w:r>
              <w:t xml:space="preserve">Deuda</w:t>
            </w:r>
          </w:p>
        </w:tc>
        <w:tc>
          <w:tcPr/>
          <w:p>
            <w:pPr>
              <w:pStyle w:val="Compact"/>
              <w:jc w:val="left"/>
            </w:pPr>
            <w:r>
              <w:t xml:space="preserve">Bonos de 4.750 M (2029-2036) [3]</w:t>
            </w:r>
          </w:p>
        </w:tc>
        <w:tc>
          <w:tcPr/>
          <w:p>
            <w:pPr>
              <w:pStyle w:val="Compact"/>
              <w:jc w:val="left"/>
            </w:pPr>
            <w:r>
              <w:t xml:space="preserve">no cambia</w:t>
            </w:r>
          </w:p>
        </w:tc>
      </w:tr>
      <w:tr>
        <w:tc>
          <w:tcPr/>
          <w:p>
            <w:pPr>
              <w:pStyle w:val="Compact"/>
              <w:jc w:val="left"/>
            </w:pPr>
            <w:r>
              <w:t xml:space="preserve">22-jul-2026</w:t>
            </w:r>
          </w:p>
        </w:tc>
        <w:tc>
          <w:tcPr/>
          <w:p>
            <w:pPr>
              <w:pStyle w:val="Compact"/>
              <w:jc w:val="left"/>
            </w:pPr>
            <w:r>
              <w:t xml:space="preserve">Alianza</w:t>
            </w:r>
          </w:p>
        </w:tc>
        <w:tc>
          <w:tcPr/>
          <w:p>
            <w:pPr>
              <w:pStyle w:val="Compact"/>
              <w:jc w:val="left"/>
            </w:pPr>
            <w:r>
              <w:t xml:space="preserve">Anthropic, hasta 2 GW desde el 1S27; AMD invierte hasta 5.000 M [20]</w:t>
            </w:r>
          </w:p>
        </w:tc>
        <w:tc>
          <w:tcPr/>
          <w:p>
            <w:pPr>
              <w:pStyle w:val="Compact"/>
              <w:jc w:val="left"/>
            </w:pPr>
            <w:r>
              <w:t xml:space="preserve">no cambia</w:t>
            </w:r>
          </w:p>
        </w:tc>
      </w:tr>
      <w:tr>
        <w:tc>
          <w:tcPr/>
          <w:p>
            <w:pPr>
              <w:pStyle w:val="Compact"/>
              <w:jc w:val="left"/>
            </w:pPr>
            <w:r>
              <w:t xml:space="preserve">24-feb-2026</w:t>
            </w:r>
          </w:p>
        </w:tc>
        <w:tc>
          <w:tcPr/>
          <w:p>
            <w:pPr>
              <w:pStyle w:val="Compact"/>
              <w:jc w:val="left"/>
            </w:pPr>
            <w:r>
              <w:t xml:space="preserve">Warrant</w:t>
            </w:r>
          </w:p>
        </w:tc>
        <w:tc>
          <w:tcPr/>
          <w:p>
            <w:pPr>
              <w:pStyle w:val="Compact"/>
              <w:jc w:val="left"/>
            </w:pPr>
            <w:r>
              <w:t xml:space="preserve">Meta: hasta 160 M de acciones a 0,01 USD, como OpenAI; ≈ 20 % juntos [3]</w:t>
            </w:r>
          </w:p>
        </w:tc>
        <w:tc>
          <w:tcPr/>
          <w:p>
            <w:pPr>
              <w:pStyle w:val="Compact"/>
              <w:jc w:val="left"/>
            </w:pPr>
            <w:r>
              <w:t xml:space="preserve">no cambia</w:t>
            </w:r>
          </w:p>
        </w:tc>
      </w:tr>
    </w:tbl>
    <w:p>
      <w:pPr>
        <w:pStyle w:val="BodyText"/>
      </w:pPr>
      <w:r>
        <w:rPr>
          <w:bCs/>
          <w:b/>
        </w:rPr>
        <w:t xml:space="preserve">Veredicto global: no cambia.</w:t>
      </w:r>
      <w:r>
        <w:t xml:space="preserve"> </w:t>
      </w:r>
      <w:r>
        <w:t xml:space="preserve">No hay ningún hecho pendiente ajeno al análisis (colocación, ampliación o decisión regulatoria con fecha) que pueda mover el precio más de un 5 % en contra. Los resultados cercanos no retrasan nada (regla 11). Las ventas de Lisa Su son programadas. La dilución de los warrants va ligada a ventas, no es una colocación. La señal ya es No comprar por valoración y euforia.</w:t>
      </w:r>
    </w:p>
    <w:bookmarkEnd w:id="30"/>
    <w:bookmarkStart w:id="31" w:name="riesgos-y-qué-rompería-la-tesis"/>
    <w:p>
      <w:pPr>
        <w:pStyle w:val="Heading2"/>
      </w:pPr>
      <w:r>
        <w:t xml:space="preserve">11. Riesgos y qué rompería la tesis</w:t>
      </w:r>
    </w:p>
    <w:p>
      <w:pPr>
        <w:numPr>
          <w:ilvl w:val="0"/>
          <w:numId w:val="1009"/>
        </w:numPr>
        <w:pStyle w:val="Compact"/>
      </w:pPr>
      <w:r>
        <w:rPr>
          <w:bCs/>
          <w:b/>
        </w:rPr>
        <w:t xml:space="preserve">Alerta del método: sin guía anual</w:t>
      </w:r>
      <w:r>
        <w:t xml:space="preserve"> </w:t>
      </w:r>
      <w:r>
        <w:t xml:space="preserve">(solo trimestral). El recorte por la guía de la v9 no actúa. Aquí no importa: la mecánica ya queda muy por debajo del consenso (G3), así que la señal es prudente, no optimista.</w:t>
      </w:r>
    </w:p>
    <w:p>
      <w:pPr>
        <w:numPr>
          <w:ilvl w:val="0"/>
          <w:numId w:val="1009"/>
        </w:numPr>
        <w:pStyle w:val="Compact"/>
      </w:pPr>
      <w:r>
        <w:rPr>
          <w:bCs/>
          <w:b/>
        </w:rPr>
        <w:t xml:space="preserve">Ciclo de inversión en IA y capacidad de pago de los clientes</w:t>
      </w:r>
      <w:r>
        <w:t xml:space="preserve">: la mitad del crecimiento de 2027 depende de OpenAI, Meta y Anthropic. OpenAI financia sus compras con capital ajeno y sus ingresos están en duda (FT). Si el gasto en IA se frena, AMD (beta ≈ 2,5) cae más que el negocio.</w:t>
      </w:r>
    </w:p>
    <w:p>
      <w:pPr>
        <w:numPr>
          <w:ilvl w:val="0"/>
          <w:numId w:val="1009"/>
        </w:numPr>
        <w:pStyle w:val="Compact"/>
      </w:pPr>
      <w:r>
        <w:rPr>
          <w:bCs/>
          <w:b/>
        </w:rPr>
        <w:t xml:space="preserve">Concentración por llegar</w:t>
      </w:r>
      <w:r>
        <w:t xml:space="preserve">: cuando entren los GW, dos o tres clientes pueden pasar del 40 % de las ventas. El 10-Q aún no da ningún cliente por encima del 10 %.</w:t>
      </w:r>
    </w:p>
    <w:p>
      <w:pPr>
        <w:numPr>
          <w:ilvl w:val="0"/>
          <w:numId w:val="1009"/>
        </w:numPr>
        <w:pStyle w:val="Compact"/>
      </w:pPr>
      <w:r>
        <w:rPr>
          <w:bCs/>
          <w:b/>
        </w:rPr>
        <w:t xml:space="preserve">Dilución de los warrants</w:t>
      </w:r>
      <w:r>
        <w:t xml:space="preserve">: hasta 320 M de acciones (≈ 20 %) a 0,01 USD si se cumplen los 12 GW. Es buena dilución, porque llega con ventas, pero reduce el valor por acción.</w:t>
      </w:r>
    </w:p>
    <w:p>
      <w:pPr>
        <w:numPr>
          <w:ilvl w:val="0"/>
          <w:numId w:val="1009"/>
        </w:numPr>
        <w:pStyle w:val="Compact"/>
      </w:pPr>
      <w:r>
        <w:rPr>
          <w:bCs/>
          <w:b/>
        </w:rPr>
        <w:t xml:space="preserve">Ejecución de Helios</w:t>
      </w:r>
      <w:r>
        <w:t xml:space="preserve">: primer rack completo de AMD, con riesgo de rendimiento de fabricación y de retrasos en la rampa del 4T26-2027. Nvidia (Rubin) y los chips a medida (Broadcom) presionan precio y margen.</w:t>
      </w:r>
    </w:p>
    <w:p>
      <w:pPr>
        <w:numPr>
          <w:ilvl w:val="0"/>
          <w:numId w:val="1009"/>
        </w:numPr>
        <w:pStyle w:val="Compact"/>
      </w:pPr>
      <w:r>
        <w:rPr>
          <w:bCs/>
          <w:b/>
        </w:rPr>
        <w:t xml:space="preserve">China y exportaciones</w:t>
      </w:r>
      <w:r>
        <w:t xml:space="preserve">: el veto al MI308 costó 800 M en 2025. Cualquier norma nueva afecta a ventas y margen.</w:t>
      </w:r>
    </w:p>
    <w:p>
      <w:pPr>
        <w:numPr>
          <w:ilvl w:val="0"/>
          <w:numId w:val="1009"/>
        </w:numPr>
        <w:pStyle w:val="Compact"/>
      </w:pPr>
      <w:r>
        <w:rPr>
          <w:bCs/>
          <w:b/>
        </w:rPr>
        <w:t xml:space="preserve">Dependencia de TSMC</w:t>
      </w:r>
      <w:r>
        <w:t xml:space="preserve"> </w:t>
      </w:r>
      <w:r>
        <w:t xml:space="preserve">(Taiwán) y de la memoria HBM (escasa).</w:t>
      </w:r>
    </w:p>
    <w:p>
      <w:pPr>
        <w:numPr>
          <w:ilvl w:val="0"/>
          <w:numId w:val="1009"/>
        </w:numPr>
        <w:pStyle w:val="Compact"/>
      </w:pPr>
      <w:r>
        <w:rPr>
          <w:bCs/>
          <w:b/>
        </w:rPr>
        <w:t xml:space="preserve">Riesgo de IA para el negocio: medio.</w:t>
      </w:r>
      <w:r>
        <w:t xml:space="preserve"> </w:t>
      </w:r>
      <w:r>
        <w:t xml:space="preserve">Como sustituto es bajo: AMD vende las palas y los picos de la IA, y la IA aumenta la demanda de sus CPU y GPU, incluido el PC con IA. Como dependencia es alto: el crecimiento y la valoración dependen de que la inversión en IA siga, y un parón o una IA mucho más eficiente en cómputo golpearía primero a los proveedores de chips. Además, la propia IA acelera el diseño de chips a medida de los clientes (TPU, Trainium), que compiten con las GPU.</w:t>
      </w:r>
    </w:p>
    <w:p>
      <w:pPr>
        <w:numPr>
          <w:ilvl w:val="0"/>
          <w:numId w:val="1009"/>
        </w:numPr>
        <w:pStyle w:val="Compact"/>
      </w:pPr>
      <w:r>
        <w:rPr>
          <w:bCs/>
          <w:b/>
        </w:rPr>
        <w:t xml:space="preserve">Qué rompería la tesis (señales de venta si se tuviera)</w:t>
      </w:r>
      <w:r>
        <w:t xml:space="preserve">: retraso del primer GW de OpenAI o de Meta más allá del 1S27; dos trimestres seguidos con Centros de Datos por debajo de la guía; recorte de las previsiones de 2027 de la propia empresa; un cliente de GW que renegocie o cancele.</w:t>
      </w:r>
    </w:p>
    <w:bookmarkEnd w:id="31"/>
    <w:bookmarkStart w:id="32" w:name="catalizadores-con-fecha"/>
    <w:p>
      <w:pPr>
        <w:pStyle w:val="Heading2"/>
      </w:pPr>
      <w:r>
        <w:t xml:space="preserve">12. Catalizadores con fecha</w:t>
      </w:r>
    </w:p>
    <w:p>
      <w:pPr>
        <w:numPr>
          <w:ilvl w:val="0"/>
          <w:numId w:val="1010"/>
        </w:numPr>
        <w:pStyle w:val="Compact"/>
      </w:pPr>
      <w:r>
        <w:rPr>
          <w:bCs/>
          <w:b/>
        </w:rPr>
        <w:t xml:space="preserve">3-nov-2026</w:t>
      </w:r>
      <w:r>
        <w:t xml:space="preserve">: resultados del 3T26 (guía 13.000 M; ¿arranca el primer GW de OpenAI y de Meta?; guía del 4T).</w:t>
      </w:r>
    </w:p>
    <w:p>
      <w:pPr>
        <w:numPr>
          <w:ilvl w:val="0"/>
          <w:numId w:val="1010"/>
        </w:numPr>
        <w:pStyle w:val="Compact"/>
      </w:pPr>
      <w:r>
        <w:rPr>
          <w:bCs/>
          <w:b/>
        </w:rPr>
        <w:t xml:space="preserve">1-dic y 9-dic-2026</w:t>
      </w:r>
      <w:r>
        <w:t xml:space="preserve">: conferencias de UBS y Barclays.</w:t>
      </w:r>
    </w:p>
    <w:p>
      <w:pPr>
        <w:numPr>
          <w:ilvl w:val="0"/>
          <w:numId w:val="1010"/>
        </w:numPr>
        <w:pStyle w:val="Compact"/>
      </w:pPr>
      <w:r>
        <w:rPr>
          <w:bCs/>
          <w:b/>
        </w:rPr>
        <w:t xml:space="preserve">4T26-1S27</w:t>
      </w:r>
      <w:r>
        <w:t xml:space="preserve">: rampa de Helios/MI450; Anthropic desde el 1S27; cierre de la compra de World Labs.</w:t>
      </w:r>
    </w:p>
    <w:p>
      <w:pPr>
        <w:numPr>
          <w:ilvl w:val="0"/>
          <w:numId w:val="1010"/>
        </w:numPr>
        <w:pStyle w:val="Compact"/>
      </w:pPr>
      <w:r>
        <w:rPr>
          <w:bCs/>
          <w:b/>
        </w:rPr>
        <w:t xml:space="preserve">Feb-2027</w:t>
      </w:r>
      <w:r>
        <w:t xml:space="preserve">: resultados del 4T26 y, quizá, primera indicación para 2027.</w:t>
      </w:r>
    </w:p>
    <w:bookmarkEnd w:id="32"/>
    <w:bookmarkStart w:id="33" w:name="encaje-en-cartera"/>
    <w:p>
      <w:pPr>
        <w:pStyle w:val="Heading2"/>
      </w:pPr>
      <w:r>
        <w:t xml:space="preserve">13. Encaje en cartera</w:t>
      </w:r>
    </w:p>
    <w:p>
      <w:pPr>
        <w:pStyle w:val="FirstParagraph"/>
      </w:pPr>
      <w:r>
        <w:t xml:space="preserve">No entra. La señal es No comprar, robusta, y la acción está un 44 % por encima del precio máximo de compra (397,40 USD). Ninguna de las growth de la cartera vigente (Nu, Axon, Shopify, Snowflake, Samsara) tiene que ceder hueco. Queda</w:t>
      </w:r>
      <w:r>
        <w:t xml:space="preserve"> </w:t>
      </w:r>
      <w:r>
        <w:rPr>
          <w:bCs/>
          <w:b/>
        </w:rPr>
        <w:t xml:space="preserve">en la lista de seguimiento</w:t>
      </w:r>
      <w:r>
        <w:t xml:space="preserve"> </w:t>
      </w:r>
      <w:r>
        <w:t xml:space="preserve">con dos vías para revisarla:</w:t>
      </w:r>
      <w:r>
        <w:t xml:space="preserve"> </w:t>
      </w:r>
      <w:r>
        <w:t xml:space="preserve">1.</w:t>
      </w:r>
      <w:r>
        <w:t xml:space="preserve"> </w:t>
      </w:r>
      <w:r>
        <w:rPr>
          <w:bCs/>
          <w:b/>
        </w:rPr>
        <w:t xml:space="preserve">Por precio</w:t>
      </w:r>
      <w:r>
        <w:t xml:space="preserve">: por debajo de 397,40 USD (objetivo fijo, regla de revisión de precio) y sin euforia.</w:t>
      </w:r>
      <w:r>
        <w:t xml:space="preserve"> </w:t>
      </w:r>
      <w:r>
        <w:t xml:space="preserve">2.</w:t>
      </w:r>
      <w:r>
        <w:t xml:space="preserve"> </w:t>
      </w:r>
      <w:r>
        <w:rPr>
          <w:bCs/>
          <w:b/>
        </w:rPr>
        <w:t xml:space="preserve">Por negocio</w:t>
      </w:r>
      <w:r>
        <w:t xml:space="preserve">: si los resultados del 3-nov y del 4T confirman la rampa (Centros de Datos ≥ 9.000 M en el 4T26). En ese caso, al rehacer el análisis la proyección mecánica parte de un crecimiento mayor y la distancia con el consenso se estrecha.</w:t>
      </w:r>
    </w:p>
    <w:p>
      <w:pPr>
        <w:pStyle w:val="BodyText"/>
      </w:pPr>
      <w:r>
        <w:t xml:space="preserve">Si entrara, sería con peso de convicción media o baja (3,5-4 %) y entera de una vez (regla 11), con el bajista del método por encima de −50 %.</w:t>
      </w:r>
    </w:p>
    <w:bookmarkEnd w:id="33"/>
    <w:bookmarkStart w:id="34"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21,7</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15,0</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12,0</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9,0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82,3</w:t>
            </w:r>
          </w:p>
        </w:tc>
        <w:tc>
          <w:tcPr/>
          <w:p>
            <w:pPr>
              <w:pStyle w:val="Compact"/>
              <w:jc w:val="left"/>
            </w:pPr>
            <w:r>
              <w:rPr>
                <w:bCs/>
                <w:b/>
              </w:rPr>
              <w:t xml:space="preserve">100</w:t>
            </w:r>
          </w:p>
        </w:tc>
      </w:tr>
    </w:tbl>
    <w:p>
      <w:pPr>
        <w:pStyle w:val="BodyText"/>
      </w:pPr>
      <w:r>
        <w:t xml:space="preserve">Calidad (dato de contraste del método value; no decide en growth): ROIC con fondo de comercio ≈ 10 % (beneficio operativo GAAP de 12 meses de 6.488 M después de impuestos sobre ≈ 57.300 M de capital invertido, con 25.470 M de fondo de comercio y 15.635 M de intangibles de Xilinx). Frente a un coste del capital del ≈ 11 % (beta alta), da</w:t>
      </w:r>
      <w:r>
        <w:t xml:space="preserve"> </w:t>
      </w:r>
      <w:r>
        <w:rPr>
          <w:bCs/>
          <w:b/>
        </w:rPr>
        <w:t xml:space="preserve">ROIC − WACC ≈ −1 punto</w:t>
      </w:r>
      <w:r>
        <w:t xml:space="preserve">: no pasaría el filtro value. Sin fondo de comercio ni intangibles, ≈ 55 %.</w:t>
      </w:r>
      <w:r>
        <w:t xml:space="preserve"> </w:t>
      </w:r>
      <w:r>
        <w:rPr>
          <w:bCs/>
          <w:b/>
        </w:rPr>
        <w:t xml:space="preserve">Sostenibilidad del crecimiento: en parte</w:t>
      </w:r>
      <w:r>
        <w:t xml:space="preserve">: depende de contratos de GW con clientes que aún no ganan dinero (OpenAI, Anthropic) [4].</w:t>
      </w:r>
    </w:p>
    <w:bookmarkEnd w:id="34"/>
    <w:bookmarkStart w:id="35" w:name="fuentes"/>
    <w:p>
      <w:pPr>
        <w:pStyle w:val="Heading2"/>
      </w:pPr>
      <w:r>
        <w:t xml:space="preserve">Fuentes</w:t>
      </w:r>
    </w:p>
    <w:p>
      <w:pPr>
        <w:pStyle w:val="FirstParagraph"/>
      </w:pPr>
      <w:r>
        <w:t xml:space="preserve">[1] AMD, nota de resultados del 2T26 (4-ago-2026), 8-K ex. 99.1 (SEC, leída directamente): ventas 11.536 M USD (+50 %), Centros de Datos 6.718 M (+107 %), Cliente 3.062 M, Juegos 779 M, Integrados 977 M; margen bruto GAAP 54 % y no GAAP 56 %; beneficio operativo no GAAP 3.094 M; FCF 1.558 M; caja e inversiones 13.111 M; deuda 3.226 M; guía 3T26 de 13.000 M ± 300 M.</w:t>
      </w:r>
      <w:r>
        <w:t xml:space="preserve"> </w:t>
      </w:r>
      <w:r>
        <w:t xml:space="preserve">[2] AMD, notas de resultados del 1T26 (5-may-2026), 4T25 (3-feb-2026) y 3T25: guías trimestrales de 8.700, 9.600, 9.800 y 11.200 M frente a reales de 9.246, 10.270, 10.253 y 11.536 M.</w:t>
      </w:r>
      <w:r>
        <w:t xml:space="preserve"> </w:t>
      </w:r>
      <w:r>
        <w:t xml:space="preserve">[3] AMD, 10-Q del 2T26 (5-ago-2026, SEC): 1.632 M de acciones; warrants de OpenAI y Meta (hasta 160 M cada uno a 0,01 USD, sin tramos consolidados a 27-jun); garantías de 4.100 M. 8-K del 17-ago-2026 (bonos de 4.750 M) y del 28-sep-2026 (World Labs por ≈ 8.200 M en acciones).</w:t>
      </w:r>
      <w:r>
        <w:t xml:space="preserve"> </w:t>
      </w:r>
      <w:r>
        <w:t xml:space="preserve">[4] SEC XBRL companyfacts (CIK 2488): series trimestrales de 2021 al 2T26 y cálculos de 12 meses (ventas 41.305 M, +39,5 %; CAGR 33,2 %; FCF 8.403 M; pagos en acciones 1.895 M; acciones diluidas 1.659 M, +1,8 %); patrimonio 67.224 M, fondo de comercio 25.470 M, intangibles 15.635 M.</w:t>
      </w:r>
      <w:r>
        <w:t xml:space="preserve"> </w:t>
      </w:r>
      <w:r>
        <w:t xml:space="preserve">[5] Yahoo Finance chart API (AMD, QQQ y SMH, diario a 5 años, leída el 15-oct-2026 a las 16:39 UTC): cierre del 14-oct 570,82 USD; sesión del 15-oct a 548,15; 14-oct-2025 218,09; mínimo de 12 meses 190,95 (3-mar-2026); máximo 649,42 (6-oct-2026). Segunda fuente del cierre: IBTimes e Invezz.</w:t>
      </w:r>
      <w:r>
        <w:t xml:space="preserve"> </w:t>
      </w:r>
      <w:r>
        <w:t xml:space="preserve">[6] 24/7 Wall St. (21-sep-2026): subida del 10 % de precios; «decenas de miles de millones» por GW; Centros de Datos más que duplicándose en 2027.</w:t>
      </w:r>
      <w:r>
        <w:t xml:space="preserve"> </w:t>
      </w:r>
      <w:r>
        <w:t xml:space="preserve">[7] StockAnalysis (S&amp;P Global, 15-oct-2026): objetivo medio 636,21 USD (55 analistas, 0 ventas); ventas 2026e 50.950 M y 2027e 89.050 M; BPA 2026e 7,59 y 2027e 15,76; KeyBanc, Citi, Mizuho y Stifel en octubre.</w:t>
      </w:r>
      <w:r>
        <w:t xml:space="preserve"> </w:t>
      </w:r>
      <w:r>
        <w:t xml:space="preserve">[8] Parameter.io (16-jul-2026) y 24/7 Wall St. (7-sep-2026): UBS, Rosenblatt y KeyBanc en julio; BPA 2027e de 12,96 a 15,45 USD en 90 días.</w:t>
      </w:r>
      <w:r>
        <w:t xml:space="preserve"> </w:t>
      </w:r>
      <w:r>
        <w:t xml:space="preserve">[9] Finviz/Zacks y ts2.tech sobre el día del inversor del 11-nov-2025: mercado de centros de datos de ≈ 1 billón en 2030; objetivos de &gt; 35 % de crecimiento, margen operativo &gt; 35 % y BPA &gt; 20 USD.</w:t>
      </w:r>
      <w:r>
        <w:t xml:space="preserve"> </w:t>
      </w:r>
      <w:r>
        <w:t xml:space="preserve">[10] 24/7 Wall St. y Channel Insider (21-sep-2026): un billón de capitalización.</w:t>
      </w:r>
      <w:r>
        <w:t xml:space="preserve"> </w:t>
      </w:r>
      <w:r>
        <w:t xml:space="preserve">[11] StockTwits, flujo público de AMD (15-oct-2026, 16:45 UTC): 10 alcistas, 5 bajistas, 15 sin etiqueta. Reddit, Rankia e Investing ES no accesibles: laguna.</w:t>
      </w:r>
      <w:r>
        <w:t xml:space="preserve"> </w:t>
      </w:r>
      <w:r>
        <w:t xml:space="preserve">[12] Cálculo propio: EV ≈ 945.400 M USD; ventas NTM ≈ 69.200 M; serie diaria de EV/ventas NTM desde oct-2023 (mediana 8,0; mínimo 3,6; mínimo de 12 meses 6,0); DCF inverso 25,8 %.</w:t>
      </w:r>
      <w:r>
        <w:t xml:space="preserve"> </w:t>
      </w:r>
      <w:r>
        <w:t xml:space="preserve">[13] Invezz, IBTimes y TradersUnion (14/15-oct-2026): venta de semiconductores, IPC del 3,7 %, CoreWeave.</w:t>
      </w:r>
      <w:r>
        <w:t xml:space="preserve"> </w:t>
      </w:r>
      <w:r>
        <w:t xml:space="preserve">[14] SEC, Form 4 de Lisa T. Su (14-sep-2026): ventas con un plan 10b5-1 adoptado el 8-jun-2026; conserva 2.997.156 acciones.</w:t>
      </w:r>
      <w:r>
        <w:t xml:space="preserve"> </w:t>
      </w:r>
      <w:r>
        <w:t xml:space="preserve">[15] MarketBeat (15-oct-2026): 0 compras y 356,7 M USD de ventas de 7 directivos en 12 meses.</w:t>
      </w:r>
      <w:r>
        <w:t xml:space="preserve"> </w:t>
      </w:r>
      <w:r>
        <w:t xml:space="preserve">[16] AMD (6-oct-2026): resultados del 3T26 el 3-nov-2026; conferencias de UBS y Barclays.</w:t>
      </w:r>
      <w:r>
        <w:t xml:space="preserve"> </w:t>
      </w:r>
      <w:r>
        <w:t xml:space="preserve">[17] DE MEMORIA (no verificado en esta sesión): acuerdo con OpenAI del 6-oct-2025; venta del sector en noviembre de 2025.</w:t>
      </w:r>
      <w:r>
        <w:t xml:space="preserve"> </w:t>
      </w:r>
      <w:r>
        <w:t xml:space="preserve">[18] Nasdaq.com y Seeking Alpha (4-feb-2026): −17,3 % tras el 4T25.</w:t>
      </w:r>
      <w:r>
        <w:t xml:space="preserve"> </w:t>
      </w:r>
      <w:r>
        <w:t xml:space="preserve">[19] TIKR (may-2026): +74,3 % en abril; acuerdo con Meta (24-feb); Lisa Su en Morgan Stanley (3-mar).</w:t>
      </w:r>
      <w:r>
        <w:t xml:space="preserve"> </w:t>
      </w:r>
      <w:r>
        <w:t xml:space="preserve">[20] Sahm Capital (28-jul-2026) y Barchart (22-jul-2026): venta del sector; alianza con Anthropic.</w:t>
      </w:r>
      <w:r>
        <w:t xml:space="preserve"> </w:t>
      </w:r>
      <w:r>
        <w:t xml:space="preserve">[21] TIKR (11-oct-2026): FT del 8-oct sobre OpenAI; warrants ≈ 20 % de las acciones; último tramo de OpenAI a 600 USD.</w:t>
      </w:r>
      <w:r>
        <w:t xml:space="preserve"> </w:t>
      </w:r>
      <w:r>
        <w:t xml:space="preserve">[22] StockAnalysis (15-oct-2026): ventas adelantadas de Nvidia 9,7, Broadcom 10,4, Marvell 13,3 y AMD 13,0 veces.</w:t>
      </w:r>
      <w:r>
        <w:t xml:space="preserve"> </w:t>
      </w:r>
      <w:r>
        <w:t xml:space="preserve">[23] DE MEMORIA y cálculo propio (no verificado): mercado alcanzable ≈ 670.000 M USD en 2028; ventas del analista de la ventana ≈ 104.000 M extrapoladas del consenso de 2027 con +30 % en 2028.</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2026-10-15T16:51:19Z</dcterms:created>
  <dcterms:modified xsi:type="dcterms:W3CDTF">2026-10-15T16:51:19Z</dcterms:modified>
</cp:coreProperties>
</file>

<file path=docProps/custom.xml><?xml version="1.0" encoding="utf-8"?>
<Properties xmlns="http://schemas.openxmlformats.org/officeDocument/2006/custom-properties" xmlns:vt="http://schemas.openxmlformats.org/officeDocument/2006/docPropsVTypes"/>
</file>