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124a1a5fd26152339a4f47f3e680a968ed4665"/>
    <w:p>
      <w:pPr>
        <w:pStyle w:val="Heading1"/>
      </w:pPr>
      <w:r>
        <w:t xml:space="preserve">nVent Electric (NVT): análisis growth, 15-oct-2026</w:t>
      </w:r>
    </w:p>
    <w:p>
      <w:pPr>
        <w:pStyle w:val="FirstParagraph"/>
      </w:pPr>
      <w:r>
        <w:rPr>
          <w:bCs/>
          <w:b/>
        </w:rPr>
        <w:t xml:space="preserve">Señal: Mantener (acción robusta: Mantener; si no se tiene, no comprar todavía)</w:t>
      </w:r>
      <w:r>
        <w:t xml:space="preserve"> </w:t>
      </w:r>
      <w:r>
        <w:t xml:space="preserve">· Puntuación 76,2/100 · Señales de cambio de tendencia 5/8</w:t>
      </w:r>
      <w:r>
        <w:t xml:space="preserve"> </w:t>
      </w:r>
      <w:r>
        <w:t xml:space="preserve">Precio 152,72 USD (cierre del 14-oct; en la sesión del 15-oct, 142,5-143,0) · Objetivo 12 m 140,7 USD (ponderada −7,3 %, base −6,4 %, bajista −54,0 %, alcista +37,4 %) · Compra hasta</w:t>
      </w:r>
      <w:r>
        <w:t xml:space="preserve"> </w:t>
      </w:r>
      <w:r>
        <w:rPr>
          <w:bCs/>
          <w:b/>
        </w:rPr>
        <w:t xml:space="preserve">134,70 USD</w:t>
      </w:r>
      <w:r>
        <w:t xml:space="preserve"> </w:t>
      </w:r>
      <w:r>
        <w:t xml:space="preserve">Peso orientativo: no entra hoy; por debajo de 134,70 USD, Comprar con convicción baja-media (3,5-4 %)</w:t>
      </w:r>
    </w:p>
    <w:p>
      <w:pPr>
        <w:pStyle w:val="BlockText"/>
      </w:pPr>
      <w:r>
        <w:rPr>
          <w:bCs/>
          <w:b/>
        </w:rPr>
        <w:t xml:space="preserve">Perfil.</w:t>
      </w:r>
      <w:r>
        <w:t xml:space="preserve"> </w:t>
      </w:r>
      <w:r>
        <w:t xml:space="preserve">nVent crece muy deprisa (+46 % en 12 meses, +53 % el último trimestre) y además gana dinero (margen operativo ajustado del 21,9 %, FCF de 664 M en 12 meses). Es un caso híbrido: el método growth lo puede medir, pero el perfil encaja también con el análisis value (ROIC − WACC de unos +4 a +6 puntos, objetivo por PER). Se recomienda contrastarlo con</w:t>
      </w:r>
      <w:r>
        <w:t xml:space="preserve"> </w:t>
      </w:r>
      <w:r>
        <w:rPr>
          <w:rStyle w:val="VerbatimChar"/>
        </w:rPr>
        <w:t xml:space="preserve">/analiza-empresa</w:t>
      </w:r>
      <w:r>
        <w:t xml:space="preserve"> </w:t>
      </w:r>
      <w:r>
        <w:t xml:space="preserve">si se quiere un hueco en la cartera value.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nVent fabrica la «fontanería eléctrica» de los centros de datos y de la red: armarios y envolventes, distribución de energía en rack, conexiones y, sobre todo,</w:t>
      </w:r>
      <w:r>
        <w:t xml:space="preserve"> </w:t>
      </w:r>
      <w:r>
        <w:rPr>
          <w:bCs/>
          <w:b/>
        </w:rPr>
        <w:t xml:space="preserve">refrigeración líquida</w:t>
      </w:r>
      <w:r>
        <w:t xml:space="preserve"> </w:t>
      </w:r>
      <w:r>
        <w:t xml:space="preserve">para los servidores de IA.</w:t>
      </w:r>
    </w:p>
    <w:p>
      <w:pPr>
        <w:numPr>
          <w:ilvl w:val="0"/>
          <w:numId w:val="1001"/>
        </w:numPr>
        <w:pStyle w:val="Compact"/>
      </w:pPr>
      <w:r>
        <w:t xml:space="preserve">Las ventas se han acelerado seis trimestres seguidos (orgánico del +9 % al +47 %) y la guía anual ha subido de +15/18 % a +37/39 % en seis meses.</w:t>
      </w:r>
    </w:p>
    <w:p>
      <w:pPr>
        <w:numPr>
          <w:ilvl w:val="0"/>
          <w:numId w:val="1001"/>
        </w:numPr>
        <w:pStyle w:val="Compact"/>
      </w:pPr>
      <w:r>
        <w:t xml:space="preserve">Pero</w:t>
      </w:r>
      <w:r>
        <w:t xml:space="preserve"> </w:t>
      </w:r>
      <w:r>
        <w:rPr>
          <w:bCs/>
          <w:b/>
        </w:rPr>
        <w:t xml:space="preserve">los pedidos ya no acompañan</w:t>
      </w:r>
      <w:r>
        <w:t xml:space="preserve">: en el 2T26 los pedidos orgánicos crecieron «a doble dígito bajo» y la cartera bajó de 2.600 a 2.500 M; la propia empresa guía un 4T de +17 %.</w:t>
      </w:r>
    </w:p>
    <w:p>
      <w:pPr>
        <w:numPr>
          <w:ilvl w:val="0"/>
          <w:numId w:val="1001"/>
        </w:numPr>
        <w:pStyle w:val="Compact"/>
      </w:pPr>
      <w:r>
        <w:t xml:space="preserve">A 20,2 veces el EBITDA de los 12 meses siguientes (mediana de 3 años: 15,7), el precio ya descuenta un FCF creciendo un 14 % anual durante 10 años.</w:t>
      </w:r>
    </w:p>
    <w:p>
      <w:pPr>
        <w:numPr>
          <w:ilvl w:val="0"/>
          <w:numId w:val="1001"/>
        </w:numPr>
        <w:pStyle w:val="Compact"/>
      </w:pPr>
      <w:r>
        <w:t xml:space="preserve">Con la desaceleración que guían la empresa y el consenso, el método no ve recorrido: Mantener, con compra por debajo de 134,70 USD.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Systems Protection</w:t>
      </w:r>
      <w:r>
        <w:t xml:space="preserve"> </w:t>
      </w:r>
      <w:r>
        <w:t xml:space="preserve">(73 % de las ventas del 2T26; +70 %, orgánico +62 %): envolventes y armarios (Hoffman, Schroff), edificios técnicos prefabricados (Trachte), distribución de energía (PDU) y gestión de cables en rack, y</w:t>
      </w:r>
      <w:r>
        <w:t xml:space="preserve"> </w:t>
      </w:r>
      <w:r>
        <w:rPr>
          <w:bCs/>
          <w:b/>
        </w:rPr>
        <w:t xml:space="preserve">refrigeración líquida</w:t>
      </w:r>
      <w:r>
        <w:t xml:space="preserve"> </w:t>
      </w:r>
      <w:r>
        <w:t xml:space="preserve">(unidades de distribución de refrigerante, colectores, intercambiadores en la puerta trasera). Margen ajustado del 23,2 %.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Electrical Connections</w:t>
      </w:r>
      <w:r>
        <w:t xml:space="preserve"> </w:t>
      </w:r>
      <w:r>
        <w:t xml:space="preserve">(27 %; +21 %, orgánico +18 %): conectores, puesta a tierra y fijaciones (Erico, Caddy, Avail EPG para redes eléctricas). Margen ajustado del 27,3 %.</w:t>
      </w:r>
    </w:p>
    <w:p>
      <w:pPr>
        <w:numPr>
          <w:ilvl w:val="0"/>
          <w:numId w:val="1002"/>
        </w:numPr>
        <w:pStyle w:val="Compact"/>
      </w:pPr>
      <w:r>
        <w:t xml:space="preserve">La vertical de</w:t>
      </w:r>
      <w:r>
        <w:t xml:space="preserve"> </w:t>
      </w:r>
      <w:r>
        <w:rPr>
          <w:bCs/>
          <w:b/>
        </w:rPr>
        <w:t xml:space="preserve">infraestructuras</w:t>
      </w:r>
      <w:r>
        <w:t xml:space="preserve"> </w:t>
      </w:r>
      <w:r>
        <w:t xml:space="preserve">(centros de datos y redes eléctricas) es ya cerca del</w:t>
      </w:r>
      <w:r>
        <w:t xml:space="preserve"> </w:t>
      </w:r>
      <w:r>
        <w:rPr>
          <w:bCs/>
          <w:b/>
        </w:rPr>
        <w:t xml:space="preserve">60 % de las ventas</w:t>
      </w:r>
      <w:r>
        <w:t xml:space="preserve">; sus ventas orgánicas se duplicaron en el 2T26 [13].</w:t>
      </w:r>
    </w:p>
    <w:p>
      <w:pPr>
        <w:numPr>
          <w:ilvl w:val="0"/>
          <w:numId w:val="1002"/>
        </w:numPr>
        <w:pStyle w:val="Compact"/>
      </w:pPr>
      <w:r>
        <w:t xml:space="preserve">Qué tiene de nuevo: es uno de los socios con diseños de referencia de Nvidia para la refrigeración líquida de sus racks, con visibilidad de su plan hasta 2030; los productos nuevos aportaron más de 30 puntos del crecimiento del 2T [1][13]. Es buena ingeniería con alternativas (Vertiv, Schneider-Motivair, CoolIT, Boyd), no una tecnología que nadie pueda replicar: tecnología 3/5.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Compra pendiente</w:t>
      </w:r>
      <w:r>
        <w:t xml:space="preserve">: Maverick Power (distribución eléctrica para centros de datos, 527 M de ventas) por 1.750 M más hasta 550 M variables; cierre previsto en el 4T26.</w:t>
      </w:r>
      <w:r>
        <w:t xml:space="preserve"> </w:t>
      </w:r>
      <w:r>
        <w:rPr>
          <w:bCs/>
          <w:b/>
        </w:rPr>
        <w:t xml:space="preserve">El análisis no la incluye</w:t>
      </w:r>
      <w:r>
        <w:t xml:space="preserve"> </w:t>
      </w:r>
      <w:r>
        <w:t xml:space="preserve">(ni sus ventas ni su deuda) [11].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(publicado)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22-24 %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27-29 %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31-33 %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+53,5 %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34-36 %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+32/35 %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+32/35 %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4T26 (implícito)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1.252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+17 %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Años: 2023 2.668,9 M · 2024 3.006,1 M (+12,6 %) · 2025 3.893,1 M (+29,5 %) · 2026 guía ≈ 5.372 M (+38 %). Doce meses a jun-2026: 4.834 M (+46,2 %); CAGR a 2 años +29,6 %; aceleración +12,7 pp [1][2][4].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: 2S26 implícito +25,4 %; la empresa la ha batido de media en 14,7 puntos los últimos 4 trimestres (alerta del motor: con un exceso &gt; 10 pp el recorte por la guía casi no actúa).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 que preocupa</w:t>
      </w:r>
      <w:r>
        <w:t xml:space="preserve">: pedidos orgánicos del 1T26 ~+40 %, del 2T26 solo «low double digits»; cartera 2.600 → 2.500 M. Las ventas están consumiendo cartera. La dirección lo atribuye a la irregularidad de los grandes pedidos de centros de datos y dice que el 3T «empezó fuerte» [13].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Consenso</w:t>
      </w:r>
      <w:r>
        <w:t xml:space="preserve">: 2026 5.501 M (+41 %), 2027 7.045 M (+28 %), con Maverick incluida en parte; sin ella, ≈ 6.240 M (+15 %) [5].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t xml:space="preserve">Mercado alcanzable en 2028: ~45.000 M USD (envolventes, refrigeración líquida y distribución de energía para centros de datos, conexiones y fijaciones). Es una estimación propia [19]; penetración del 10,7 %.</w:t>
      </w:r>
    </w:p>
    <w:p>
      <w:pPr>
        <w:numPr>
          <w:ilvl w:val="0"/>
          <w:numId w:val="1004"/>
        </w:numPr>
        <w:pStyle w:val="Compact"/>
      </w:pPr>
      <w:r>
        <w:t xml:space="preserve">Rivales: Vertiv (líder en energía y frío de centros de datos), Schneider Electric (con Motivair), Eaton (con Boyd Thermal), Rittal (privada), Legrand, Hubbell, Amphenol y CoolIT/Boyd en refrigeración líquida.</w:t>
      </w:r>
    </w:p>
    <w:p>
      <w:pPr>
        <w:numPr>
          <w:ilvl w:val="0"/>
          <w:numId w:val="1004"/>
        </w:numPr>
        <w:pStyle w:val="Compact"/>
      </w:pPr>
      <w:r>
        <w:t xml:space="preserve">Posición 4/5: líder en envolventes y conexiones en Norteamérica y entre los tres primeros en refrigeración líquida de rack, con capacidad ampliada (Blaine I en marcha, Blaine II para 2027-2028).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BPA 2026 de consenso 4,61 → 5,16 USD en 90 días; 2027, 5,74 → 6,73 (en parte por Maverick); Citi 228, RBC 208, BMO 212 en octubre [5][6]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sobre la media de 200 y girando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152,72 frente a ~142,9 y la media sube (104,5 → 127,0 → 137,4). El 15-oct cotiza justo encima de la media 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+17,8 % frente a +9,7 % del S&amp;P 500 y −1,9 % del XLI 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Mejora del múltiplo ≥ 20 %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 NTM de 14,5x (dic-2025) a 20,2x (+39 %) 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era rentable; margen ajustado +1,1 pp 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optimista ya (16 de 19 analistas en Compra fuerte) y enfriándose tras −17 % desde junio [5][8][9]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 de directivos o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 M de compras frente a 61,8 M de ventas en 12 meses 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Catalizador nuevo en 6 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3T26 (~30-oct), cierre de Maverick, Blaine II, rampa de Vera Rubin de Nvidia [1][11][13]</w:t>
            </w:r>
          </w:p>
        </w:tc>
      </w:tr>
    </w:tbl>
    <w:p>
      <w:pPr>
        <w:pStyle w:val="BodyText"/>
      </w:pPr>
      <w:r>
        <w:t xml:space="preserve">Euforia: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(+49 % en 12 meses, por debajo del +150 %; EV/beneficio bruto NTM de 12,3).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t xml:space="preserve">Margen bruto de 12 meses: 37,0 % (37,9 % en el 2T26). Es un fabricante industrial, no software: el bloque D puntúa bajo por eso.</w:t>
      </w:r>
    </w:p>
    <w:p>
      <w:pPr>
        <w:numPr>
          <w:ilvl w:val="0"/>
          <w:numId w:val="1005"/>
        </w:numPr>
        <w:pStyle w:val="Compact"/>
      </w:pPr>
      <w:r>
        <w:t xml:space="preserve">Margen operativo ajustado: 20,6 % en 12 meses (21,9 % en el 2T26). Aranceles: 100 M de coste en 2026; 25,8 M de devolución IEEPA en el 2T [1][13].</w:t>
      </w:r>
    </w:p>
    <w:p>
      <w:pPr>
        <w:numPr>
          <w:ilvl w:val="0"/>
          <w:numId w:val="1005"/>
        </w:numPr>
        <w:pStyle w:val="Compact"/>
      </w:pPr>
      <w:r>
        <w:t xml:space="preserve">FCF de 12 meses ≈ 664 M (13,7 % de las ventas; 2025: 561 M, +31 %). Regla del 40: 46 + 14 = 60.</w:t>
      </w:r>
    </w:p>
    <w:p>
      <w:pPr>
        <w:numPr>
          <w:ilvl w:val="0"/>
          <w:numId w:val="1005"/>
        </w:numPr>
        <w:pStyle w:val="Compact"/>
      </w:pPr>
      <w:r>
        <w:t xml:space="preserve">Capacidad tensionada: inversión de más de 130 M en 2026 (frente a 93 M en 2025).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t xml:space="preserve">A 30-jun: caja 256 M, deuda 1.492 M; deuda neta / EBITDA 1,2x. Con Maverick sube a unos 3.000 M de deuda neta (≈ 2,2x el EBITDA combinado), con bonos al 6,15 % a 2036 y un préstamo de 600 M.</w:t>
      </w:r>
    </w:p>
    <w:p>
      <w:pPr>
        <w:numPr>
          <w:ilvl w:val="0"/>
          <w:numId w:val="1006"/>
        </w:numPr>
        <w:pStyle w:val="Compact"/>
      </w:pPr>
      <w:r>
        <w:t xml:space="preserve">Dilución: +0,3 % en 12 meses (recompras de 50 M en el semestre); pagos en acciones del 0,8 % de las ventas. Dividendo 0,84 USD al año (0,55 %).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t xml:space="preserve">Consejera delegada Beth Wozniak desde la escisión de Pentair (2018). Ha transformado la cartera: vendió Thermal Management (1.700 M, ene-2025) y compró Trachte, Avail EPG y ahora Maverick. Cumple y supera la guía en todos los trimestres revisados: historial 5/5.</w:t>
      </w:r>
    </w:p>
    <w:p>
      <w:pPr>
        <w:numPr>
          <w:ilvl w:val="0"/>
          <w:numId w:val="1007"/>
        </w:numPr>
        <w:pStyle w:val="Compact"/>
      </w:pPr>
      <w:r>
        <w:t xml:space="preserve">Dirección 4/5: asignación de capital coherente con el giro a centros de datos y redes; en contra, 61,8 M de ventas de directivos en 12 meses (la consejera delegada, 9,8 M) y solo un 0,8 % del capital en manos de directivos.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t xml:space="preserve">Métrica: EV/EBITDA de los 12 meses siguientes (rentable de forma estable). EV de hoy 26.297 M; EBITDA ajustado NTM ≈ 1.300 M;</w:t>
      </w:r>
      <w:r>
        <w:t xml:space="preserve"> </w:t>
      </w:r>
      <w:r>
        <w:rPr>
          <w:bCs/>
          <w:b/>
        </w:rPr>
        <w:t xml:space="preserve">20,2x</w:t>
      </w:r>
      <w:r>
        <w:t xml:space="preserve"> </w:t>
      </w:r>
      <w:r>
        <w:t xml:space="preserve">(mediana de 3 años 15,7x, mínimo 9,5x; comparables ~19x) [12][18].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jul-27 a jun-28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−54,0 %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140,7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−7,3 %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Proyección: v11 usa la menor entre la mecánica (9.014 M en el base, que extrapola el +40 % de partida) y la del analista (6.650 M, consenso sin Maverick). Alerta: la mecánica supera 1,2 veces la del analista.</w:t>
      </w:r>
    </w:p>
    <w:p>
      <w:pPr>
        <w:numPr>
          <w:ilvl w:val="0"/>
          <w:numId w:val="1008"/>
        </w:numPr>
        <w:pStyle w:val="Compact"/>
      </w:pPr>
      <w:r>
        <w:t xml:space="preserve">El múltiplo base baja de 20,2x a 16,5x por la desaceleración (crecimiento de 19,6 % hoy a 13 % en el año objetivo).</w:t>
      </w:r>
    </w:p>
    <w:p>
      <w:pPr>
        <w:numPr>
          <w:ilvl w:val="0"/>
          <w:numId w:val="1008"/>
        </w:numPr>
        <w:pStyle w:val="Compact"/>
      </w:pPr>
      <w:r>
        <w:t xml:space="preserve">Contraste: objetivo medio de los analistas 205,6 USD (+35 %), que suponen que el múltiplo se mantiene y que Maverick suma.</w:t>
      </w:r>
      <w:r>
        <w:t xml:space="preserve"> </w:t>
      </w:r>
      <w:r>
        <w:rPr>
          <w:bCs/>
          <w:b/>
        </w:rPr>
        <w:t xml:space="preserve">DCF inverso</w:t>
      </w:r>
      <w:r>
        <w:t xml:space="preserve">: el precio ya descuenta un FCF creciendo un 13,9 % anual durante 10 años (WACC 9 %).</w:t>
      </w:r>
    </w:p>
    <w:p>
      <w:pPr>
        <w:numPr>
          <w:ilvl w:val="0"/>
          <w:numId w:val="1008"/>
        </w:numPr>
        <w:pStyle w:val="Compact"/>
      </w:pPr>
      <w:r>
        <w:t xml:space="preserve">Con el objetivo fijo y el precio de hoy (142,54): ponderada −0,7 %, base +0,3 %. Sigue en Mantener.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t xml:space="preserve">StockTwits: 7 alcistas y 2 bajistas en 30 mensajes; lo tratan como valor de «momentum» de electricidad para la IA junto a Quanta, EMCOR y Sterling; compras a 173 USD el 6-oct [8].</w:t>
      </w:r>
    </w:p>
    <w:p>
      <w:pPr>
        <w:numPr>
          <w:ilvl w:val="0"/>
          <w:numId w:val="1009"/>
        </w:numPr>
        <w:pStyle w:val="Compact"/>
      </w:pPr>
      <w:r>
        <w:t xml:space="preserve">Prensa y blogs: «sigue a 30 veces beneficios tras un retroceso del 14 %», «comprar el rumor, vender la noticia» tras Maverick [9].</w:t>
      </w:r>
    </w:p>
    <w:p>
      <w:pPr>
        <w:numPr>
          <w:ilvl w:val="0"/>
          <w:numId w:val="1009"/>
        </w:numPr>
        <w:pStyle w:val="Compact"/>
      </w:pPr>
      <w:r>
        <w:t xml:space="preserve">Analistas: 16 de 19 en Compra fuerte; solo Wells Fargo (Igual que el mercado, 182) y un Venta.</w:t>
      </w:r>
    </w:p>
    <w:p>
      <w:pPr>
        <w:numPr>
          <w:ilvl w:val="0"/>
          <w:numId w:val="1009"/>
        </w:numPr>
        <w:pStyle w:val="Compact"/>
      </w:pPr>
      <w:r>
        <w:t xml:space="preserve">Reddit y foros en castellano no accesibles desde esta sesión: laguna.</w:t>
      </w:r>
    </w:p>
    <w:p>
      <w:pPr>
        <w:numPr>
          <w:ilvl w:val="0"/>
          <w:numId w:val="1009"/>
        </w:numPr>
        <w:pStyle w:val="Compact"/>
      </w:pPr>
      <w:r>
        <w:t xml:space="preserve">Lectura: el sentimiento sigue alto pero ya no mejora; la caída del 14 y 15-oct es del sector entero.</w:t>
      </w:r>
    </w:p>
    <w:bookmarkEnd w:id="29"/>
    <w:bookmarkStart w:id="30" w:name="bis.-precio-y-noticias-antes-de-decidir"/>
    <w:p>
      <w:pPr>
        <w:pStyle w:val="Heading2"/>
      </w:pPr>
      <w:r>
        <w:t xml:space="preserve">10 bis. Precio y noticias antes de decidir</w:t>
      </w:r>
    </w:p>
    <w:p>
      <w:pPr>
        <w:pStyle w:val="FirstParagraph"/>
      </w:pPr>
      <w:r>
        <w:t xml:space="preserve">Movimiento (15-oct, 16:55 UTC, sesión en curso a 143,06): 1 m −3,1 % · 3 m −7,7 % · 6 m +10,3 % · 12 m +43,8 % · −22,4 % del máximo (184,34, 22-jun) · +50,6 % sobre el mínimo (94,99, 17-dic-2025) · justo en la media de 200 · tendencia lateral · volatilidad 54 %. Sin avisos P1-P5.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Periodo / 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oct-2025 (+16 %)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3T25: primer trimestre de más de 1.000 M y cartera récord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abr-may-2026 (+45 %)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Rebote del sector de IA y resultados del 1T26 (guía de +15/18 % a +26/28 %)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jul-2026 (−18 %)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 del sector antes de resultados (Vertiv −15,8 % el 29-jul); recupera con el 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ago-sep-2026 (−17 %)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de Maverick con deuda y dudas por valoración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oct-2026 (−18 %)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 del sector de infraestructura de IA el 14-15 oct tras un IPC alto (Vertiv −12 %, Modine −13 %)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31-jul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2T26 récord, pero pedidos «low double digits» y cartera a la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 (vigilar)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24-ago / 29-sep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Maverick: 1.750 M + hasta 550 M; bonos de 800 M al 6,15 % y préstamo de 600 M; sin ampliación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RBC 208, Citi 228, BMO 212, Wells Fargo 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de directivos por 61,8 M (0,25 % del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~30-oct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 (fecha sin confirmar)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Veredicto global: no cambia.</w:t>
      </w:r>
      <w:r>
        <w:t xml:space="preserve"> </w:t>
      </w:r>
      <w:r>
        <w:t xml:space="preserve">No hay colocación ni decisión pendiente ajena al análisis; los resultados cercanos no aplazan nada (regla 11).</w:t>
      </w:r>
    </w:p>
    <w:bookmarkEnd w:id="30"/>
    <w:bookmarkStart w:id="31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Ciclo de centros de datos.</w:t>
      </w:r>
      <w:r>
        <w:t xml:space="preserve"> </w:t>
      </w:r>
      <w:r>
        <w:t xml:space="preserve">Cerca del 60 % de las ventas depende de infraestructuras y la mayor parte del crecimiento, de la inversión en IA. Si los grandes clientes frenan, el bajista (−54 %) es real: el sector ya cayó un 30-50 % en 2022 y en abril de 2025.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Pedidos por debajo de las ventas</w:t>
      </w:r>
      <w:r>
        <w:t xml:space="preserve"> </w:t>
      </w:r>
      <w:r>
        <w:t xml:space="preserve">en el 2T26. Si el 3T trae otra caída de la cartera, el crecimiento de 2027 será menor que el consenso.</w:t>
      </w:r>
      <w:r>
        <w:t xml:space="preserve"> </w:t>
      </w:r>
      <w:r>
        <w:rPr>
          <w:bCs/>
          <w:b/>
        </w:rPr>
        <w:t xml:space="preserve">Señal de venta</w:t>
      </w:r>
      <w:r>
        <w:t xml:space="preserve">: dos trimestres seguidos de pedidos planos o a la baja con la guía recortada.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Integración y deuda de Maverick</w:t>
      </w:r>
      <w:r>
        <w:t xml:space="preserve"> </w:t>
      </w:r>
      <w:r>
        <w:t xml:space="preserve">(hasta 2.300 M, 3,3-4,4 veces sus ventas) justo en la parte alta del ciclo.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Competencia y precio</w:t>
      </w:r>
      <w:r>
        <w:t xml:space="preserve"> </w:t>
      </w:r>
      <w:r>
        <w:t xml:space="preserve">en refrigeración líquida: Vertiv, Schneider y Eaton compran capacidad; el margen bruto (37 %) deja poco colchón.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Riesgo de IA para el negocio: medio.</w:t>
      </w:r>
      <w:r>
        <w:t xml:space="preserve"> </w:t>
      </w:r>
      <w:r>
        <w:t xml:space="preserve">Como sustituto, bajo: la IA no hace innecesario un armario, un conector ni un circuito de agua; al contrario, los racks de IA necesitan más frío y más potencia. Como dependencia, alto: el crecimiento depende del ciclo de inversión en IA. Hay además riesgo tecnológico: en enero de 2026 Jensen Huang habló de chips que necesitan menos refrigeración (castigó a las enfriadoras, no a la refrigeración líquida).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Alertas del motor</w:t>
      </w:r>
      <w:r>
        <w:t xml:space="preserve">: (1) proyección mecánica 1,35 veces la del analista; se usa la del analista. Es lo prudente: la empresa ya guía un 4T de +17 %. (2) Exceso sobre la guía de 14,7 pp. Si sigue batiendo así, el base se queda corto; lo vigila el 3T.</w:t>
      </w:r>
    </w:p>
    <w:bookmarkEnd w:id="31"/>
    <w:bookmarkStart w:id="32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1"/>
        </w:numPr>
        <w:pStyle w:val="Compact"/>
      </w:pPr>
      <w:r>
        <w:t xml:space="preserve">~30-oct-2026: resultados del 3T26 (guía +32/35 %, BPA ajustado 1,35-1,38). Primera guía de 2027 en febrero de 2027.</w:t>
      </w:r>
    </w:p>
    <w:p>
      <w:pPr>
        <w:numPr>
          <w:ilvl w:val="0"/>
          <w:numId w:val="1011"/>
        </w:numPr>
        <w:pStyle w:val="Compact"/>
      </w:pPr>
      <w:r>
        <w:t xml:space="preserve">4T26 (límite 20-nov, ampliable a 19-feb-2027): cierre de Maverick Power.</w:t>
      </w:r>
    </w:p>
    <w:p>
      <w:pPr>
        <w:numPr>
          <w:ilvl w:val="0"/>
          <w:numId w:val="1011"/>
        </w:numPr>
        <w:pStyle w:val="Compact"/>
      </w:pPr>
      <w:r>
        <w:t xml:space="preserve">2026-2027: Blaine I a pleno ritmo; Blaine II para 2027-2028; rampa de Vera Rubin de Nvidia.</w:t>
      </w:r>
    </w:p>
    <w:bookmarkEnd w:id="32"/>
    <w:bookmarkStart w:id="33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2"/>
        </w:numPr>
        <w:pStyle w:val="Compact"/>
      </w:pPr>
      <w:r>
        <w:t xml:space="preserve">Hoy no entra: la ponderada es negativa y el bajista pasa del −50 %. Por debajo de</w:t>
      </w:r>
      <w:r>
        <w:t xml:space="preserve"> </w:t>
      </w:r>
      <w:r>
        <w:rPr>
          <w:bCs/>
          <w:b/>
        </w:rPr>
        <w:t xml:space="preserve">134,70 USD</w:t>
      </w:r>
      <w:r>
        <w:t xml:space="preserve"> </w:t>
      </w:r>
      <w:r>
        <w:t xml:space="preserve">se cumpliría la regla (Comprar, convicción baja-media, 3,5-4 % del bolsillo growth, de una vez).</w:t>
      </w:r>
    </w:p>
    <w:p>
      <w:pPr>
        <w:numPr>
          <w:ilvl w:val="0"/>
          <w:numId w:val="1012"/>
        </w:numPr>
        <w:pStyle w:val="Compact"/>
      </w:pPr>
      <w:r>
        <w:t xml:space="preserve">Frente a otras analizadas del mismo tema (electricidad e infraestructura para la IA), es la menos cara: Comfort Systems −17,6 %, Quanta −18,8 %, GE Vernova −14,8 % y Celestica −26,2 % en growth, todas en Vender; Vertiv en value, Vender; Eaton y Schneider, Mantener. nVent, −7,3 %.</w:t>
      </w:r>
    </w:p>
    <w:p>
      <w:pPr>
        <w:numPr>
          <w:ilvl w:val="0"/>
          <w:numId w:val="1012"/>
        </w:numPr>
        <w:pStyle w:val="Compact"/>
      </w:pPr>
      <w:r>
        <w:t xml:space="preserve">Perfil híbrido: también conviene contrastarlo con el análisis value (</w:t>
      </w:r>
      <w:r>
        <w:rPr>
          <w:rStyle w:val="VerbatimChar"/>
        </w:rPr>
        <w:t xml:space="preserve">/analiza-empresa</w:t>
      </w:r>
      <w:r>
        <w:t xml:space="preserve">).</w:t>
      </w:r>
    </w:p>
    <w:bookmarkEnd w:id="33"/>
    <w:bookmarkStart w:id="34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Robustez</w:t>
      </w:r>
      <w:r>
        <w:t xml:space="preserve"> </w:t>
      </w:r>
      <w:r>
        <w:t xml:space="preserve">(</w:t>
      </w:r>
      <w:r>
        <w:rPr>
          <w:rStyle w:val="VerbatimChar"/>
        </w:rPr>
        <w:t xml:space="preserve">robustez-growth.mjs --precios</w:t>
      </w:r>
      <w:r>
        <w:t xml:space="preserve">):</w:t>
      </w:r>
      <w:r>
        <w:t xml:space="preserve"> </w:t>
      </w:r>
      <w:r>
        <w:rPr>
          <w:bCs/>
          <w:b/>
        </w:rPr>
        <w:t xml:space="preserve">FRÁGIL</w:t>
      </w:r>
      <w:r>
        <w:t xml:space="preserve">, acción robusta</w:t>
      </w:r>
      <w:r>
        <w:t xml:space="preserve"> </w:t>
      </w:r>
      <w:r>
        <w:rPr>
          <w:bCs/>
          <w:b/>
        </w:rPr>
        <w:t xml:space="preserve">Mantener</w:t>
      </w:r>
      <w:r>
        <w:t xml:space="preserve">. Solo cambia con v7 (sin el tope de la proyección del analista): Comprar, +24,9 %, porque extrapola el +40 % de partida. Con pesos 35/50/15, Vender. Con el precio de hoy y el objetivo fijo, −0,7 %: Mantener. Con ventas un 10 % peores: Vender (−17 %). Aunque el consenso de 2027 no incluyera Maverick (base 7.500 M), quedaría en Mantener «en vigilancia» (+4,6 %, compra ≤ 152,1).</w:t>
      </w:r>
    </w:p>
    <w:bookmarkEnd w:id="34"/>
    <w:bookmarkStart w:id="35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Las fuentes [1] a [19] están 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fuentes</w:t>
      </w:r>
      <w:r>
        <w:t xml:space="preserve">). Fuentes primarias: notas de resultados y 8-K de la SEC del 1T25 al 2T26, 424B5 y 8-K de Maverick, XBRL de la SEC y Form 4. Mercado: Yahoo Finance. Analistas: StockAnalysis, Investing.com y TipRanks. Prensa: GuruFocus, CNBC, RTTNews, Motley Fool y ts2.tech. Foros: StockTwits.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2026-10-15T17:06:34Z</dcterms:created>
  <dcterms:modified xsi:type="dcterms:W3CDTF">2026-10-15T17:06:34Z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