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okta-okta-análisis-growth-15-oct-2026"/>
    <w:p>
      <w:pPr>
        <w:pStyle w:val="Heading1"/>
      </w:pPr>
      <w:r>
        <w:t xml:space="preserve">Okta (OKTA): análisis growth, 15-oct-2026</w:t>
      </w:r>
    </w:p>
    <w:p>
      <w:pPr>
        <w:pStyle w:val="FirstParagraph"/>
      </w:pPr>
      <w:r>
        <w:rPr>
          <w:bCs/>
          <w:b/>
        </w:rPr>
        <w:t xml:space="preserve">Señal (método vigente v11): Comprar (convicción baja)</w:t>
      </w:r>
      <w:r>
        <w:t xml:space="preserve"> </w:t>
      </w:r>
      <w:r>
        <w:t xml:space="preserve">· Puntuación 67,7/100 · Señales de cambio de tendencia 6/8 · EV/beneficio bruto 13,9 veces</w:t>
      </w:r>
      <w:r>
        <w:t xml:space="preserve"> </w:t>
      </w:r>
      <w:r>
        <w:t xml:space="preserve">Precio 211,92 USD (cierre del 14-oct) · Objetivo 12 m 228,7 USD · Ponderada +7,9 % · Base +10,2 % · Bajista −36,8 % · Alcista +48,1 % · Compra hasta 217,8 USD</w:t>
      </w:r>
      <w:r>
        <w:t xml:space="preserve"> </w:t>
      </w:r>
      <w:r>
        <w:t xml:space="preserve">Precio actual: 209,51 USD (15-oct, media sesión, 16:40 UTC); con el objetivo fijo, ponderada +9,2 %</w:t>
      </w:r>
      <w:r>
        <w:t xml:space="preserve"> </w:t>
      </w:r>
      <w:r>
        <w:t xml:space="preserve">Peso orientativo: 3,5 % por la regla, pero</w:t>
      </w:r>
      <w:r>
        <w:t xml:space="preserve"> </w:t>
      </w:r>
      <w:r>
        <w:rPr>
          <w:bCs/>
          <w:b/>
        </w:rPr>
        <w:t xml:space="preserve">no entra</w:t>
      </w:r>
      <w:r>
        <w:t xml:space="preserve">: no pasa el filtro previo growth (crece un 11 %, por debajo del 15 %) y rinde la mitad que el listón de la cartera (sección 13).</w:t>
      </w:r>
      <w:r>
        <w:t xml:space="preserve"> </w:t>
      </w:r>
      <w:r>
        <w:t xml:space="preserve">Prueba de robustez:</w:t>
      </w:r>
      <w:r>
        <w:t xml:space="preserve"> </w:t>
      </w:r>
      <w:r>
        <w:rPr>
          <w:bCs/>
          <w:b/>
        </w:rPr>
        <w:t xml:space="preserve">SÓLIDA</w:t>
      </w:r>
      <w:r>
        <w:t xml:space="preserve">, Comprar con cautela (peso pequeño); con el escenario malo más pesado (35/50/15) pasa a Mantener.</w:t>
      </w:r>
      <w:r>
        <w:t xml:space="preserve"> </w:t>
      </w:r>
      <w:r>
        <w:t xml:space="preserve">Precio y noticias (regla 13):</w:t>
      </w:r>
      <w:r>
        <w:t xml:space="preserve"> </w:t>
      </w:r>
      <w:r>
        <w:rPr>
          <w:bCs/>
          <w:b/>
        </w:rPr>
        <w:t xml:space="preserve">no cambia</w:t>
      </w:r>
      <w:r>
        <w:t xml:space="preserve">. Ningún hecho pendiente; la subida tiene causas de negocio y una parte de ola sectorial.</w:t>
      </w:r>
    </w:p>
    <w:bookmarkStart w:id="20" w:name="la-tesis-en-cinco-líneas"/>
    <w:p>
      <w:pPr>
        <w:pStyle w:val="Heading2"/>
      </w:pPr>
      <w:r>
        <w:t xml:space="preserve">1. La tesis en cinco líneas</w:t>
      </w:r>
    </w:p>
    <w:p>
      <w:pPr>
        <w:numPr>
          <w:ilvl w:val="0"/>
          <w:numId w:val="1001"/>
        </w:numPr>
        <w:pStyle w:val="Compact"/>
      </w:pPr>
      <w:r>
        <w:t xml:space="preserve">Okta es el mayor proveedor independiente de</w:t>
      </w:r>
      <w:r>
        <w:t xml:space="preserve"> </w:t>
      </w:r>
      <w:r>
        <w:rPr>
          <w:bCs/>
          <w:b/>
        </w:rPr>
        <w:t xml:space="preserve">identidad</w:t>
      </w:r>
      <w:r>
        <w:t xml:space="preserve">: decide quién entra en qué aplicación de una empresa (empleados, clientes y, ahora, agentes de IA). Factura 3.073 M USD en 12 meses, crece un 11 %, tiene un margen bruto del 78 % y un FCF del 31 % de las ventas.</w:t>
      </w:r>
    </w:p>
    <w:p>
      <w:pPr>
        <w:numPr>
          <w:ilvl w:val="0"/>
          <w:numId w:val="1001"/>
        </w:numPr>
        <w:pStyle w:val="Compact"/>
      </w:pPr>
      <w:r>
        <w:t xml:space="preserve">La IA le da un relato nuevo: cada agente de IA que una empresa pone a trabajar necesita una identidad, permisos y control, igual que un empleado. Okta for AI Agents está disponible desde el 30-abr, y en contratos grandes cobra un 25-37 % más. Pero los ingresos de IA</w:t>
      </w:r>
      <w:r>
        <w:t xml:space="preserve"> </w:t>
      </w:r>
      <w:r>
        <w:rPr>
          <w:bCs/>
          <w:b/>
        </w:rPr>
        <w:t xml:space="preserve">aún no son materiales</w:t>
      </w:r>
      <w:r>
        <w:t xml:space="preserve"> </w:t>
      </w:r>
      <w:r>
        <w:t xml:space="preserve">y la empresa no los espera en este ejercicio.</w:t>
      </w:r>
    </w:p>
    <w:p>
      <w:pPr>
        <w:numPr>
          <w:ilvl w:val="0"/>
          <w:numId w:val="1001"/>
        </w:numPr>
        <w:pStyle w:val="Compact"/>
      </w:pPr>
      <w:r>
        <w:t xml:space="preserve">El negocio va bien, sin más: dos trimestres batiendo y subiendo la guía, cartera de contratos (RPO) +17 % y la parte de 12 meses (cRPO) +14 %, que acelera y crece más que las ventas. Pero crece un 10-11 %, la mitad que hace tres años.</w:t>
      </w:r>
    </w:p>
    <w:p>
      <w:pPr>
        <w:numPr>
          <w:ilvl w:val="0"/>
          <w:numId w:val="1001"/>
        </w:numPr>
        <w:pStyle w:val="Compact"/>
      </w:pPr>
      <w:r>
        <w:t xml:space="preserve">La acción se ha triplicado en 6 meses (+191 %, de 72 a 212 USD). El múltiplo pasó de 2,9 a 10,9 veces las ventas siguientes, el doble de su mediana de 3 años. Casi toda la subida es</w:t>
      </w:r>
      <w:r>
        <w:t xml:space="preserve"> </w:t>
      </w:r>
      <w:r>
        <w:rPr>
          <w:bCs/>
          <w:b/>
        </w:rPr>
        <w:t xml:space="preserve">cambio de percepción</w:t>
      </w:r>
      <w:r>
        <w:t xml:space="preserve">, no de cifras.</w:t>
      </w:r>
    </w:p>
    <w:p>
      <w:pPr>
        <w:numPr>
          <w:ilvl w:val="0"/>
          <w:numId w:val="1001"/>
        </w:numPr>
        <w:pStyle w:val="Compact"/>
      </w:pPr>
      <w:r>
        <w:t xml:space="preserve">La regla da Comprar (baja) por poco: +7,9 %, con el límite de compra (217,8 USD) un 3 % por encima del precio. Con unas ventas un 10 % menores o con más peso del escenario malo pasa a Mantener. No mejora a ninguna growth de la cartera.</w:t>
      </w:r>
    </w:p>
    <w:bookmarkEnd w:id="20"/>
    <w:bookmarkStart w:id="21" w:name="negocio-y-tecnología"/>
    <w:p>
      <w:pPr>
        <w:pStyle w:val="Heading2"/>
      </w:pPr>
      <w:r>
        <w:t xml:space="preserve">2. Negocio y tecnología</w:t>
      </w:r>
    </w:p>
    <w:p>
      <w:pPr>
        <w:pStyle w:val="FirstParagraph"/>
      </w:pPr>
      <w:r>
        <w:t xml:space="preserve">Okta vende</w:t>
      </w:r>
      <w:r>
        <w:t xml:space="preserve"> </w:t>
      </w:r>
      <w:r>
        <w:rPr>
          <w:bCs/>
          <w:b/>
        </w:rPr>
        <w:t xml:space="preserve">identidad en la nube</w:t>
      </w:r>
      <w:r>
        <w:t xml:space="preserve"> </w:t>
      </w:r>
      <w:r>
        <w:t xml:space="preserve">con dos productos:</w:t>
      </w:r>
      <w:r>
        <w:t xml:space="preserve"> </w:t>
      </w:r>
      <w:r>
        <w:t xml:space="preserve">-</w:t>
      </w:r>
      <w:r>
        <w:t xml:space="preserve"> </w:t>
      </w:r>
      <w:r>
        <w:rPr>
          <w:bCs/>
          <w:b/>
        </w:rPr>
        <w:t xml:space="preserve">Identidad de empleados</w:t>
      </w:r>
      <w:r>
        <w:t xml:space="preserve"> </w:t>
      </w:r>
      <w:r>
        <w:t xml:space="preserve">(Workforce Identity): inicio de sesión único, doble factor, alta y baja automática de usuarios en miles de aplicaciones, gobierno de accesos (Okta Identity Governance) y accesos privilegiados.</w:t>
      </w:r>
      <w:r>
        <w:t xml:space="preserve"> </w:t>
      </w:r>
      <w:r>
        <w:t xml:space="preserve">-</w:t>
      </w:r>
      <w:r>
        <w:t xml:space="preserve"> </w:t>
      </w:r>
      <w:r>
        <w:rPr>
          <w:bCs/>
          <w:b/>
        </w:rPr>
        <w:t xml:space="preserve">Identidad de clientes</w:t>
      </w:r>
      <w:r>
        <w:t xml:space="preserve"> </w:t>
      </w:r>
      <w:r>
        <w:t xml:space="preserve">(Customer Identity, la antigua Auth0, comprada en 2021 por 6.500 M USD): el inicio de sesión de las aplicaciones de sus clientes para sus usuarios.</w:t>
      </w:r>
    </w:p>
    <w:p>
      <w:pPr>
        <w:pStyle w:val="BodyText"/>
      </w:pPr>
      <w:r>
        <w:t xml:space="preserve">Cobra por suscripción, casi siempre por usuario y año. Tiene más de 19.000 clientes y más de 600 pagan más de 1 M USD al año (+20 %) [1][10].</w:t>
      </w:r>
    </w:p>
    <w:p>
      <w:pPr>
        <w:pStyle w:val="BodyText"/>
      </w:pPr>
      <w:r>
        <w:t xml:space="preserve">Lo nuevo:</w:t>
      </w:r>
      <w:r>
        <w:t xml:space="preserve"> </w:t>
      </w:r>
      <w:r>
        <w:t xml:space="preserve">-</w:t>
      </w:r>
      <w:r>
        <w:t xml:space="preserve"> </w:t>
      </w:r>
      <w:r>
        <w:rPr>
          <w:bCs/>
          <w:b/>
        </w:rPr>
        <w:t xml:space="preserve">Okta for AI Agents</w:t>
      </w:r>
      <w:r>
        <w:t xml:space="preserve">: descubre los agentes de IA de una empresa, les da identidad, limita a qué acceden y corta su acceso si algo va mal. Disponible para todos desde el 30-abr-2026.</w:t>
      </w:r>
      <w:r>
        <w:t xml:space="preserve"> </w:t>
      </w:r>
      <w:r>
        <w:t xml:space="preserve">-</w:t>
      </w:r>
      <w:r>
        <w:t xml:space="preserve"> </w:t>
      </w:r>
      <w:r>
        <w:rPr>
          <w:bCs/>
          <w:b/>
        </w:rPr>
        <w:t xml:space="preserve">Cross App Access</w:t>
      </w:r>
      <w:r>
        <w:t xml:space="preserve">: un estándar abierto para que los agentes se conecten entre aplicaciones con permisos controlados.</w:t>
      </w:r>
      <w:r>
        <w:t xml:space="preserve"> </w:t>
      </w:r>
      <w:r>
        <w:t xml:space="preserve">-</w:t>
      </w:r>
      <w:r>
        <w:t xml:space="preserve"> </w:t>
      </w:r>
      <w:r>
        <w:rPr>
          <w:bCs/>
          <w:b/>
        </w:rPr>
        <w:t xml:space="preserve">Permiso Security</w:t>
      </w:r>
      <w:r>
        <w:t xml:space="preserve">: comprada en julio por ~200 M USD, detecta amenazas sobre identidades humanas y de máquinas.</w:t>
      </w:r>
    </w:p>
    <w:p>
      <w:pPr>
        <w:pStyle w:val="BodyText"/>
      </w:pPr>
      <w:r>
        <w:t xml:space="preserve">Los productos nuevos fueron ~30 % de la contratación del 2T27 y, cuando se venden juntos, suben el contrato medio un ~40 % [9][10][13].</w:t>
      </w:r>
    </w:p>
    <w:p>
      <w:pPr>
        <w:numPr>
          <w:ilvl w:val="0"/>
          <w:numId w:val="1002"/>
        </w:numPr>
        <w:pStyle w:val="Compact"/>
      </w:pPr>
      <w:r>
        <w:rPr>
          <w:bCs/>
          <w:b/>
        </w:rPr>
        <w:t xml:space="preserve">Tecnología 3/5</w:t>
      </w:r>
      <w:r>
        <w:t xml:space="preserve">: buena y muy integrada (más de 7.000 integraciones listas), pero con alternativas serias. Microsoft Entra viene incluida en las licencias de Microsoft 365; CyberArk, ahora de Palo Alto, y SailPoint cubren el gobierno y los accesos privilegiados.</w:t>
      </w:r>
    </w:p>
    <w:p>
      <w:pPr>
        <w:numPr>
          <w:ilvl w:val="0"/>
          <w:numId w:val="1002"/>
        </w:numPr>
        <w:pStyle w:val="Compact"/>
      </w:pPr>
      <w:r>
        <w:rPr>
          <w:bCs/>
          <w:b/>
        </w:rPr>
        <w:t xml:space="preserve">Posición 4/5</w:t>
      </w:r>
      <w:r>
        <w:t xml:space="preserve">: es la líder independiente y la referencia en identidad de clientes. En empleados es la número dos, con un ~30 % frente al ~40 % de Microsoft, y su cuota está estable [9].</w:t>
      </w:r>
    </w:p>
    <w:bookmarkEnd w:id="21"/>
    <w:bookmarkStart w:id="22" w:name="crecimiento"/>
    <w:p>
      <w:pPr>
        <w:pStyle w:val="Heading2"/>
      </w:pPr>
      <w:r>
        <w:t xml:space="preserve">3. Crecimiento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Trimestre (ejercicio, cierre)</w:t>
            </w:r>
          </w:p>
        </w:tc>
        <w:tc>
          <w:tcPr/>
          <w:p>
            <w:pPr>
              <w:pStyle w:val="Compact"/>
              <w:jc w:val="left"/>
            </w:pPr>
            <w:r>
              <w:t xml:space="preserve">Ventas (M USD)</w:t>
            </w:r>
          </w:p>
        </w:tc>
        <w:tc>
          <w:tcPr/>
          <w:p>
            <w:pPr>
              <w:pStyle w:val="Compact"/>
              <w:jc w:val="left"/>
            </w:pPr>
            <w:r>
              <w:t xml:space="preserve">Crecimiento interanual</w:t>
            </w:r>
          </w:p>
        </w:tc>
      </w:tr>
      <w:tr>
        <w:tc>
          <w:tcPr/>
          <w:p>
            <w:pPr>
              <w:pStyle w:val="Compact"/>
              <w:jc w:val="left"/>
            </w:pPr>
            <w:r>
              <w:t xml:space="preserve">1T26 (abr-25)</w:t>
            </w:r>
          </w:p>
        </w:tc>
        <w:tc>
          <w:tcPr/>
          <w:p>
            <w:pPr>
              <w:pStyle w:val="Compact"/>
              <w:jc w:val="left"/>
            </w:pPr>
            <w:r>
              <w:t xml:space="preserve">688</w:t>
            </w:r>
          </w:p>
        </w:tc>
        <w:tc>
          <w:tcPr/>
          <w:p>
            <w:pPr>
              <w:pStyle w:val="Compact"/>
              <w:jc w:val="left"/>
            </w:pPr>
            <w:r>
              <w:t xml:space="preserve">11,5 %</w:t>
            </w:r>
          </w:p>
        </w:tc>
      </w:tr>
      <w:tr>
        <w:tc>
          <w:tcPr/>
          <w:p>
            <w:pPr>
              <w:pStyle w:val="Compact"/>
              <w:jc w:val="left"/>
            </w:pPr>
            <w:r>
              <w:t xml:space="preserve">2T26 (jul-25)</w:t>
            </w:r>
          </w:p>
        </w:tc>
        <w:tc>
          <w:tcPr/>
          <w:p>
            <w:pPr>
              <w:pStyle w:val="Compact"/>
              <w:jc w:val="left"/>
            </w:pPr>
            <w:r>
              <w:t xml:space="preserve">728</w:t>
            </w:r>
          </w:p>
        </w:tc>
        <w:tc>
          <w:tcPr/>
          <w:p>
            <w:pPr>
              <w:pStyle w:val="Compact"/>
              <w:jc w:val="left"/>
            </w:pPr>
            <w:r>
              <w:t xml:space="preserve">12,7 %</w:t>
            </w:r>
          </w:p>
        </w:tc>
      </w:tr>
      <w:tr>
        <w:tc>
          <w:tcPr/>
          <w:p>
            <w:pPr>
              <w:pStyle w:val="Compact"/>
              <w:jc w:val="left"/>
            </w:pPr>
            <w:r>
              <w:t xml:space="preserve">3T26 (oct-25)</w:t>
            </w:r>
          </w:p>
        </w:tc>
        <w:tc>
          <w:tcPr/>
          <w:p>
            <w:pPr>
              <w:pStyle w:val="Compact"/>
              <w:jc w:val="left"/>
            </w:pPr>
            <w:r>
              <w:t xml:space="preserve">742</w:t>
            </w:r>
          </w:p>
        </w:tc>
        <w:tc>
          <w:tcPr/>
          <w:p>
            <w:pPr>
              <w:pStyle w:val="Compact"/>
              <w:jc w:val="left"/>
            </w:pPr>
            <w:r>
              <w:t xml:space="preserve">11,6 %</w:t>
            </w:r>
          </w:p>
        </w:tc>
      </w:tr>
      <w:tr>
        <w:tc>
          <w:tcPr/>
          <w:p>
            <w:pPr>
              <w:pStyle w:val="Compact"/>
              <w:jc w:val="left"/>
            </w:pPr>
            <w:r>
              <w:t xml:space="preserve">4T26 (ene-26)</w:t>
            </w:r>
          </w:p>
        </w:tc>
        <w:tc>
          <w:tcPr/>
          <w:p>
            <w:pPr>
              <w:pStyle w:val="Compact"/>
              <w:jc w:val="left"/>
            </w:pPr>
            <w:r>
              <w:t xml:space="preserve">761</w:t>
            </w:r>
          </w:p>
        </w:tc>
        <w:tc>
          <w:tcPr/>
          <w:p>
            <w:pPr>
              <w:pStyle w:val="Compact"/>
              <w:jc w:val="left"/>
            </w:pPr>
            <w:r>
              <w:t xml:space="preserve">11,6 %</w:t>
            </w:r>
          </w:p>
        </w:tc>
      </w:tr>
      <w:tr>
        <w:tc>
          <w:tcPr/>
          <w:p>
            <w:pPr>
              <w:pStyle w:val="Compact"/>
              <w:jc w:val="left"/>
            </w:pPr>
            <w:r>
              <w:t xml:space="preserve">1T27 (abr-26)</w:t>
            </w:r>
          </w:p>
        </w:tc>
        <w:tc>
          <w:tcPr/>
          <w:p>
            <w:pPr>
              <w:pStyle w:val="Compact"/>
              <w:jc w:val="left"/>
            </w:pPr>
            <w:r>
              <w:t xml:space="preserve">765</w:t>
            </w:r>
          </w:p>
        </w:tc>
        <w:tc>
          <w:tcPr/>
          <w:p>
            <w:pPr>
              <w:pStyle w:val="Compact"/>
              <w:jc w:val="left"/>
            </w:pPr>
            <w:r>
              <w:t xml:space="preserve">11,2 %</w:t>
            </w:r>
          </w:p>
        </w:tc>
      </w:tr>
      <w:tr>
        <w:tc>
          <w:tcPr/>
          <w:p>
            <w:pPr>
              <w:pStyle w:val="Compact"/>
              <w:jc w:val="left"/>
            </w:pPr>
            <w:r>
              <w:t xml:space="preserve">2T27 (jul-26)</w:t>
            </w:r>
          </w:p>
        </w:tc>
        <w:tc>
          <w:tcPr/>
          <w:p>
            <w:pPr>
              <w:pStyle w:val="Compact"/>
              <w:jc w:val="left"/>
            </w:pPr>
            <w:r>
              <w:t xml:space="preserve">805</w:t>
            </w:r>
          </w:p>
        </w:tc>
        <w:tc>
          <w:tcPr/>
          <w:p>
            <w:pPr>
              <w:pStyle w:val="Compact"/>
              <w:jc w:val="left"/>
            </w:pPr>
            <w:r>
              <w:t xml:space="preserve">10,6 %</w:t>
            </w:r>
          </w:p>
        </w:tc>
      </w:tr>
      <w:tr>
        <w:tc>
          <w:tcPr/>
          <w:p>
            <w:pPr>
              <w:pStyle w:val="Compact"/>
              <w:jc w:val="left"/>
            </w:pPr>
            <w:r>
              <w:t xml:space="preserve">Guía 3T27 (oct-26)</w:t>
            </w:r>
          </w:p>
        </w:tc>
        <w:tc>
          <w:tcPr/>
          <w:p>
            <w:pPr>
              <w:pStyle w:val="Compact"/>
              <w:jc w:val="left"/>
            </w:pPr>
            <w:r>
              <w:t xml:space="preserve">813-817</w:t>
            </w:r>
          </w:p>
        </w:tc>
        <w:tc>
          <w:tcPr/>
          <w:p>
            <w:pPr>
              <w:pStyle w:val="Compact"/>
              <w:jc w:val="left"/>
            </w:pPr>
            <w:r>
              <w:t xml:space="preserve">~9,8 %</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 (cierre en enero)</w:t>
            </w:r>
          </w:p>
        </w:tc>
        <w:tc>
          <w:tcPr/>
          <w:p>
            <w:pPr>
              <w:pStyle w:val="Compact"/>
              <w:jc w:val="left"/>
            </w:pPr>
            <w:r>
              <w:t xml:space="preserve">Ventas (M USD)</w:t>
            </w:r>
          </w:p>
        </w:tc>
        <w:tc>
          <w:tcPr/>
          <w:p>
            <w:pPr>
              <w:pStyle w:val="Compact"/>
              <w:jc w:val="left"/>
            </w:pPr>
            <w:r>
              <w:t xml:space="preserve">Crecimiento</w:t>
            </w:r>
          </w:p>
        </w:tc>
      </w:tr>
      <w:tr>
        <w:tc>
          <w:tcPr/>
          <w:p>
            <w:pPr>
              <w:pStyle w:val="Compact"/>
              <w:jc w:val="left"/>
            </w:pPr>
            <w:r>
              <w:t xml:space="preserve">2023</w:t>
            </w:r>
          </w:p>
        </w:tc>
        <w:tc>
          <w:tcPr/>
          <w:p>
            <w:pPr>
              <w:pStyle w:val="Compact"/>
              <w:jc w:val="left"/>
            </w:pPr>
            <w:r>
              <w:t xml:space="preserve">1.858</w:t>
            </w:r>
          </w:p>
        </w:tc>
        <w:tc>
          <w:tcPr/>
          <w:p>
            <w:pPr>
              <w:pStyle w:val="Compact"/>
              <w:jc w:val="left"/>
            </w:pPr>
            <w:r>
              <w:t xml:space="preserve">42,9 %</w:t>
            </w:r>
          </w:p>
        </w:tc>
      </w:tr>
      <w:tr>
        <w:tc>
          <w:tcPr/>
          <w:p>
            <w:pPr>
              <w:pStyle w:val="Compact"/>
              <w:jc w:val="left"/>
            </w:pPr>
            <w:r>
              <w:t xml:space="preserve">2024</w:t>
            </w:r>
          </w:p>
        </w:tc>
        <w:tc>
          <w:tcPr/>
          <w:p>
            <w:pPr>
              <w:pStyle w:val="Compact"/>
              <w:jc w:val="left"/>
            </w:pPr>
            <w:r>
              <w:t xml:space="preserve">2.263</w:t>
            </w:r>
          </w:p>
        </w:tc>
        <w:tc>
          <w:tcPr/>
          <w:p>
            <w:pPr>
              <w:pStyle w:val="Compact"/>
              <w:jc w:val="left"/>
            </w:pPr>
            <w:r>
              <w:t xml:space="preserve">21,8 %</w:t>
            </w:r>
          </w:p>
        </w:tc>
      </w:tr>
      <w:tr>
        <w:tc>
          <w:tcPr/>
          <w:p>
            <w:pPr>
              <w:pStyle w:val="Compact"/>
              <w:jc w:val="left"/>
            </w:pPr>
            <w:r>
              <w:t xml:space="preserve">2025</w:t>
            </w:r>
          </w:p>
        </w:tc>
        <w:tc>
          <w:tcPr/>
          <w:p>
            <w:pPr>
              <w:pStyle w:val="Compact"/>
              <w:jc w:val="left"/>
            </w:pPr>
            <w:r>
              <w:t xml:space="preserve">2.610</w:t>
            </w:r>
          </w:p>
        </w:tc>
        <w:tc>
          <w:tcPr/>
          <w:p>
            <w:pPr>
              <w:pStyle w:val="Compact"/>
              <w:jc w:val="left"/>
            </w:pPr>
            <w:r>
              <w:t xml:space="preserve">15,3 %</w:t>
            </w:r>
          </w:p>
        </w:tc>
      </w:tr>
      <w:tr>
        <w:tc>
          <w:tcPr/>
          <w:p>
            <w:pPr>
              <w:pStyle w:val="Compact"/>
              <w:jc w:val="left"/>
            </w:pPr>
            <w:r>
              <w:t xml:space="preserve">2026</w:t>
            </w:r>
          </w:p>
        </w:tc>
        <w:tc>
          <w:tcPr/>
          <w:p>
            <w:pPr>
              <w:pStyle w:val="Compact"/>
              <w:jc w:val="left"/>
            </w:pPr>
            <w:r>
              <w:t xml:space="preserve">2.919</w:t>
            </w:r>
          </w:p>
        </w:tc>
        <w:tc>
          <w:tcPr/>
          <w:p>
            <w:pPr>
              <w:pStyle w:val="Compact"/>
              <w:jc w:val="left"/>
            </w:pPr>
            <w:r>
              <w:t xml:space="preserve">11,8 %</w:t>
            </w:r>
          </w:p>
        </w:tc>
      </w:tr>
      <w:tr>
        <w:tc>
          <w:tcPr/>
          <w:p>
            <w:pPr>
              <w:pStyle w:val="Compact"/>
              <w:jc w:val="left"/>
            </w:pPr>
            <w:r>
              <w:t xml:space="preserve">2027 (guía)</w:t>
            </w:r>
          </w:p>
        </w:tc>
        <w:tc>
          <w:tcPr/>
          <w:p>
            <w:pPr>
              <w:pStyle w:val="Compact"/>
              <w:jc w:val="left"/>
            </w:pPr>
            <w:r>
              <w:t xml:space="preserve">3.216-3.226</w:t>
            </w:r>
          </w:p>
        </w:tc>
        <w:tc>
          <w:tcPr/>
          <w:p>
            <w:pPr>
              <w:pStyle w:val="Compact"/>
              <w:jc w:val="left"/>
            </w:pPr>
            <w:r>
              <w:t xml:space="preserve">10-11 %</w:t>
            </w:r>
          </w:p>
        </w:tc>
      </w:tr>
      <w:tr>
        <w:tc>
          <w:tcPr/>
          <w:p>
            <w:pPr>
              <w:pStyle w:val="Compact"/>
              <w:jc w:val="left"/>
            </w:pPr>
            <w:r>
              <w:t xml:space="preserve">2028 (consenso)</w:t>
            </w:r>
          </w:p>
        </w:tc>
        <w:tc>
          <w:tcPr/>
          <w:p>
            <w:pPr>
              <w:pStyle w:val="Compact"/>
              <w:jc w:val="left"/>
            </w:pPr>
            <w:r>
              <w:t xml:space="preserve">~3.550</w:t>
            </w:r>
          </w:p>
        </w:tc>
        <w:tc>
          <w:tcPr/>
          <w:p>
            <w:pPr>
              <w:pStyle w:val="Compact"/>
              <w:jc w:val="left"/>
            </w:pPr>
            <w:r>
              <w:t xml:space="preserve">~10 %</w:t>
            </w:r>
          </w:p>
        </w:tc>
      </w:tr>
    </w:tbl>
    <w:p>
      <w:pPr>
        <w:pStyle w:val="BodyText"/>
      </w:pPr>
      <w:r>
        <w:t xml:space="preserve">Fuentes: [1][2][3][8].</w:t>
      </w:r>
    </w:p>
    <w:p>
      <w:pPr>
        <w:numPr>
          <w:ilvl w:val="0"/>
          <w:numId w:val="1003"/>
        </w:numPr>
        <w:pStyle w:val="Compact"/>
      </w:pPr>
      <w:r>
        <w:rPr>
          <w:bCs/>
          <w:b/>
        </w:rPr>
        <w:t xml:space="preserve">Doce meses</w:t>
      </w:r>
      <w:r>
        <w:t xml:space="preserve">: +11,2 %.</w:t>
      </w:r>
      <w:r>
        <w:t xml:space="preserve"> </w:t>
      </w:r>
      <w:r>
        <w:rPr>
          <w:bCs/>
          <w:b/>
        </w:rPr>
        <w:t xml:space="preserve">CAGR a 2 años</w:t>
      </w:r>
      <w:r>
        <w:t xml:space="preserve">: 12,0 %.</w:t>
      </w:r>
      <w:r>
        <w:t xml:space="preserve"> </w:t>
      </w:r>
      <w:r>
        <w:rPr>
          <w:bCs/>
          <w:b/>
        </w:rPr>
        <w:t xml:space="preserve">Aceleración</w:t>
      </w:r>
      <w:r>
        <w:t xml:space="preserve">: −1,2 pp (10,6 % frente al 11,8 % de media en los cuatro trimestres anteriores).</w:t>
      </w:r>
    </w:p>
    <w:p>
      <w:pPr>
        <w:numPr>
          <w:ilvl w:val="0"/>
          <w:numId w:val="1003"/>
        </w:numPr>
        <w:pStyle w:val="Compact"/>
      </w:pPr>
      <w:r>
        <w:rPr>
          <w:bCs/>
          <w:b/>
        </w:rPr>
        <w:t xml:space="preserve">Guía</w:t>
      </w:r>
      <w:r>
        <w:t xml:space="preserve">: el segundo semestre implícito crece un 9,8 %. Okta bate su guía trimestral por ~1,9 puntos de media, y la anual ha subido dos veces este año (3.180 → 3.195 → 3.221 M). La guía lleva además ~1 punto de freno por pasar los servicios profesionales a sus socios.</w:t>
      </w:r>
    </w:p>
    <w:p>
      <w:pPr>
        <w:numPr>
          <w:ilvl w:val="0"/>
          <w:numId w:val="1003"/>
        </w:numPr>
        <w:pStyle w:val="Compact"/>
      </w:pPr>
      <w:r>
        <w:rPr>
          <w:bCs/>
          <w:b/>
        </w:rPr>
        <w:t xml:space="preserve">Lo que mejora</w:t>
      </w:r>
      <w:r>
        <w:t xml:space="preserve">: la cartera de contratos (RPO) crece un 17 % y su parte de los próximos 12 meses (cRPO) un 14 %, por encima de las ventas. La contratación del 2T27 fue un récord fuera de un cuarto trimestre. Es la base para pensar que lo peor de la desaceleración ha pasado. La retención neta ronda el 106 %, de memoria y sin verificar [14].</w:t>
      </w:r>
    </w:p>
    <w:bookmarkEnd w:id="22"/>
    <w:bookmarkStart w:id="23" w:name="mercado-y-competencia"/>
    <w:p>
      <w:pPr>
        <w:pStyle w:val="Heading2"/>
      </w:pPr>
      <w:r>
        <w:t xml:space="preserve">4. Mercado y competencia</w:t>
      </w:r>
    </w:p>
    <w:p>
      <w:pPr>
        <w:numPr>
          <w:ilvl w:val="0"/>
          <w:numId w:val="1004"/>
        </w:numPr>
        <w:pStyle w:val="Compact"/>
      </w:pPr>
      <w:r>
        <w:rPr>
          <w:bCs/>
          <w:b/>
        </w:rPr>
        <w:t xml:space="preserve">Mercado alcanzable 2028</w:t>
      </w:r>
      <w:r>
        <w:t xml:space="preserve">: ~40.000 M USD (identidad de empleados y de clientes, gobierno, accesos privilegiados e identidades de máquinas y agentes). Es una estimación propia, de memoria [14]; Okta habla de un mercado de ~80.000 M, que está inflado.</w:t>
      </w:r>
      <w:r>
        <w:t xml:space="preserve"> </w:t>
      </w:r>
      <w:r>
        <w:rPr>
          <w:bCs/>
          <w:b/>
        </w:rPr>
        <w:t xml:space="preserve">Penetración: 7,7 %.</w:t>
      </w:r>
    </w:p>
    <w:p>
      <w:pPr>
        <w:numPr>
          <w:ilvl w:val="0"/>
          <w:numId w:val="1004"/>
        </w:numPr>
        <w:pStyle w:val="Compact"/>
      </w:pPr>
      <w:r>
        <w:rPr>
          <w:bCs/>
          <w:b/>
        </w:rPr>
        <w:t xml:space="preserve">Identidad de agentes</w:t>
      </w:r>
      <w:r>
        <w:t xml:space="preserve">: Okta dice que acabará siendo mayor que el mercado de identidad de hoy y que las cuotas se decidirán en unos tres años [9]. No hay cifras independientes.</w:t>
      </w:r>
    </w:p>
    <w:p>
      <w:pPr>
        <w:numPr>
          <w:ilvl w:val="0"/>
          <w:numId w:val="1004"/>
        </w:numPr>
        <w:pStyle w:val="Compact"/>
      </w:pPr>
      <w:r>
        <w:rPr>
          <w:bCs/>
          <w:b/>
        </w:rPr>
        <w:t xml:space="preserve">Rivales</w:t>
      </w:r>
      <w:r>
        <w:t xml:space="preserve">:</w:t>
      </w:r>
    </w:p>
    <w:p>
      <w:pPr>
        <w:numPr>
          <w:ilvl w:val="1"/>
          <w:numId w:val="1005"/>
        </w:numPr>
        <w:pStyle w:val="Compact"/>
      </w:pPr>
      <w:r>
        <w:t xml:space="preserve">Microsoft (Entra y Entra Agent ID): el gran riesgo, porque va incluida en lo que el cliente ya paga.</w:t>
      </w:r>
    </w:p>
    <w:p>
      <w:pPr>
        <w:numPr>
          <w:ilvl w:val="1"/>
          <w:numId w:val="1005"/>
        </w:numPr>
        <w:pStyle w:val="Compact"/>
      </w:pPr>
      <w:r>
        <w:t xml:space="preserve">Palo Alto Networks, tras comprar CyberArk: accesos privilegiados e identidades de máquinas.</w:t>
      </w:r>
    </w:p>
    <w:p>
      <w:pPr>
        <w:numPr>
          <w:ilvl w:val="1"/>
          <w:numId w:val="1005"/>
        </w:numPr>
        <w:pStyle w:val="Compact"/>
      </w:pPr>
      <w:r>
        <w:t xml:space="preserve">SailPoint: gobierno de identidades.</w:t>
      </w:r>
    </w:p>
    <w:p>
      <w:pPr>
        <w:numPr>
          <w:ilvl w:val="1"/>
          <w:numId w:val="1005"/>
        </w:numPr>
        <w:pStyle w:val="Compact"/>
      </w:pPr>
      <w:r>
        <w:t xml:space="preserve">Ping Identity y ForgeRock (de Thoma Bravo), Google, CrowdStrike (Falcon Identity).</w:t>
      </w:r>
    </w:p>
    <w:p>
      <w:pPr>
        <w:numPr>
          <w:ilvl w:val="1"/>
          <w:numId w:val="1005"/>
        </w:numPr>
        <w:pStyle w:val="Compact"/>
      </w:pPr>
      <w:r>
        <w:t xml:space="preserve">En agentes, también IBM (watsonx) y ServiceNow (AI Control Tower).</w:t>
      </w:r>
    </w:p>
    <w:p>
      <w:pPr>
        <w:numPr>
          <w:ilvl w:val="0"/>
          <w:numId w:val="1004"/>
        </w:numPr>
        <w:pStyle w:val="Compact"/>
      </w:pPr>
      <w:r>
        <w:rPr>
          <w:bCs/>
          <w:b/>
        </w:rPr>
        <w:t xml:space="preserve">Por qué gana</w:t>
      </w:r>
      <w:r>
        <w:t xml:space="preserve">: su</w:t>
      </w:r>
      <w:r>
        <w:t xml:space="preserve"> </w:t>
      </w:r>
      <w:r>
        <w:rPr>
          <w:bCs/>
          <w:b/>
        </w:rPr>
        <w:t xml:space="preserve">neutralidad</w:t>
      </w:r>
      <w:r>
        <w:t xml:space="preserve">. Las empresas con varias nubes y varias aplicaciones no quieren que el mismo vendedor controle la identidad y todo lo demás. Además tiene la red de integraciones más amplia y fue de los primeros en sacar un producto de agentes ya disponible («somos los únicos con un producto disponible», McKinnon, 23-sep).</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Señal</w:t>
            </w:r>
          </w:p>
        </w:tc>
        <w:tc>
          <w:tcPr/>
          <w:p>
            <w:pPr>
              <w:pStyle w:val="Compact"/>
              <w:jc w:val="left"/>
            </w:pPr>
            <w:r>
              <w:t xml:space="preserve">¿Sí?</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 Revisiones al alza</w:t>
            </w:r>
          </w:p>
        </w:tc>
        <w:tc>
          <w:tcPr/>
          <w:p>
            <w:pPr>
              <w:pStyle w:val="Compact"/>
              <w:jc w:val="left"/>
            </w:pPr>
            <w:r>
              <w:t xml:space="preserve">Sí</w:t>
            </w:r>
          </w:p>
        </w:tc>
        <w:tc>
          <w:tcPr/>
          <w:p>
            <w:pPr>
              <w:pStyle w:val="Compact"/>
              <w:jc w:val="left"/>
            </w:pPr>
            <w:r>
              <w:t xml:space="preserve">Guía anual subida dos veces; FCF guiado de 855-885 M a 910-930 M; objetivo medio de los analistas de 120 a 201 USD en 3 meses</w:t>
            </w:r>
          </w:p>
        </w:tc>
        <w:tc>
          <w:tcPr/>
          <w:p>
            <w:pPr>
              <w:pStyle w:val="Compact"/>
              <w:jc w:val="left"/>
            </w:pPr>
            <w:r>
              <w:t xml:space="preserve">[1][2][8]</w:t>
            </w:r>
          </w:p>
        </w:tc>
      </w:tr>
      <w:tr>
        <w:tc>
          <w:tcPr/>
          <w:p>
            <w:pPr>
              <w:pStyle w:val="Compact"/>
              <w:jc w:val="left"/>
            </w:pPr>
            <w:r>
              <w:t xml:space="preserve">2. Precio sobre la media de 200</w:t>
            </w:r>
          </w:p>
        </w:tc>
        <w:tc>
          <w:tcPr/>
          <w:p>
            <w:pPr>
              <w:pStyle w:val="Compact"/>
              <w:jc w:val="left"/>
            </w:pPr>
            <w:r>
              <w:t xml:space="preserve">Sí</w:t>
            </w:r>
          </w:p>
        </w:tc>
        <w:tc>
          <w:tcPr/>
          <w:p>
            <w:pPr>
              <w:pStyle w:val="Compact"/>
              <w:jc w:val="left"/>
            </w:pPr>
            <w:r>
              <w:t xml:space="preserve">211,92 USD frente a ~118 (+80 %); la media gira al alza (92 → 106 → 118)</w:t>
            </w:r>
          </w:p>
        </w:tc>
        <w:tc>
          <w:tcPr/>
          <w:p>
            <w:pPr>
              <w:pStyle w:val="Compact"/>
              <w:jc w:val="left"/>
            </w:pPr>
            <w:r>
              <w:t xml:space="preserve">[6]</w:t>
            </w:r>
          </w:p>
        </w:tc>
      </w:tr>
      <w:tr>
        <w:tc>
          <w:tcPr/>
          <w:p>
            <w:pPr>
              <w:pStyle w:val="Compact"/>
              <w:jc w:val="left"/>
            </w:pPr>
            <w:r>
              <w:t xml:space="preserve">3. Fuerza relativa a 6 meses</w:t>
            </w:r>
          </w:p>
        </w:tc>
        <w:tc>
          <w:tcPr/>
          <w:p>
            <w:pPr>
              <w:pStyle w:val="Compact"/>
              <w:jc w:val="left"/>
            </w:pPr>
            <w:r>
              <w:t xml:space="preserve">Sí</w:t>
            </w:r>
          </w:p>
        </w:tc>
        <w:tc>
          <w:tcPr/>
          <w:p>
            <w:pPr>
              <w:pStyle w:val="Compact"/>
              <w:jc w:val="left"/>
            </w:pPr>
            <w:r>
              <w:t xml:space="preserve">+191 % frente a +13 % del QQQ y +29 % del IGV</w:t>
            </w:r>
          </w:p>
        </w:tc>
        <w:tc>
          <w:tcPr/>
          <w:p>
            <w:pPr>
              <w:pStyle w:val="Compact"/>
              <w:jc w:val="left"/>
            </w:pPr>
            <w:r>
              <w:t xml:space="preserve">[6]</w:t>
            </w:r>
          </w:p>
        </w:tc>
      </w:tr>
      <w:tr>
        <w:tc>
          <w:tcPr/>
          <w:p>
            <w:pPr>
              <w:pStyle w:val="Compact"/>
              <w:jc w:val="left"/>
            </w:pPr>
            <w:r>
              <w:t xml:space="preserve">4. Mejora de múltiplo ≥ 20 %</w:t>
            </w:r>
          </w:p>
        </w:tc>
        <w:tc>
          <w:tcPr/>
          <w:p>
            <w:pPr>
              <w:pStyle w:val="Compact"/>
              <w:jc w:val="left"/>
            </w:pPr>
            <w:r>
              <w:t xml:space="preserve">Sí</w:t>
            </w:r>
          </w:p>
        </w:tc>
        <w:tc>
          <w:tcPr/>
          <w:p>
            <w:pPr>
              <w:pStyle w:val="Compact"/>
              <w:jc w:val="left"/>
            </w:pPr>
            <w:r>
              <w:t xml:space="preserve">EV/ventas siguientes de 2,9 veces (10-abr) a 10,9 (+275 %)</w:t>
            </w:r>
          </w:p>
        </w:tc>
        <w:tc>
          <w:tcPr/>
          <w:p>
            <w:pPr>
              <w:pStyle w:val="Compact"/>
              <w:jc w:val="left"/>
            </w:pPr>
            <w:r>
              <w:t xml:space="preserve">[6][12]</w:t>
            </w:r>
          </w:p>
        </w:tc>
      </w:tr>
      <w:tr>
        <w:tc>
          <w:tcPr/>
          <w:p>
            <w:pPr>
              <w:pStyle w:val="Compact"/>
              <w:jc w:val="left"/>
            </w:pPr>
            <w:r>
              <w:t xml:space="preserve">5. Inflexión operativa</w:t>
            </w:r>
          </w:p>
        </w:tc>
        <w:tc>
          <w:tcPr/>
          <w:p>
            <w:pPr>
              <w:pStyle w:val="Compact"/>
              <w:jc w:val="left"/>
            </w:pPr>
            <w:r>
              <w:t xml:space="preserve">Sí</w:t>
            </w:r>
          </w:p>
        </w:tc>
        <w:tc>
          <w:tcPr/>
          <w:p>
            <w:pPr>
              <w:pStyle w:val="Compact"/>
              <w:jc w:val="left"/>
            </w:pPr>
            <w:r>
              <w:t xml:space="preserve">Margen operativo GAAP del 6 % al 13 % en el 2T27</w:t>
            </w:r>
          </w:p>
        </w:tc>
        <w:tc>
          <w:tcPr/>
          <w:p>
            <w:pPr>
              <w:pStyle w:val="Compact"/>
              <w:jc w:val="left"/>
            </w:pPr>
            <w:r>
              <w:t xml:space="preserve">[1]</w:t>
            </w:r>
          </w:p>
        </w:tc>
      </w:tr>
      <w:tr>
        <w:tc>
          <w:tcPr/>
          <w:p>
            <w:pPr>
              <w:pStyle w:val="Compact"/>
              <w:jc w:val="left"/>
            </w:pPr>
            <w:r>
              <w:t xml:space="preserve">6. Sentimiento mejorando</w:t>
            </w:r>
          </w:p>
        </w:tc>
        <w:tc>
          <w:tcPr/>
          <w:p>
            <w:pPr>
              <w:pStyle w:val="Compact"/>
              <w:jc w:val="left"/>
            </w:pPr>
            <w:r>
              <w:t xml:space="preserve">No</w:t>
            </w:r>
          </w:p>
        </w:tc>
        <w:tc>
          <w:tcPr/>
          <w:p>
            <w:pPr>
              <w:pStyle w:val="Compact"/>
              <w:jc w:val="left"/>
            </w:pPr>
            <w:r>
              <w:t xml:space="preserve">Mejoró muchísimo, pero ya es eufórico: el precio está por encima del objetivo medio y hay días de +30 %. Si ya es eufórico, no cuenta</w:t>
            </w:r>
          </w:p>
        </w:tc>
        <w:tc>
          <w:tcPr/>
          <w:p>
            <w:pPr>
              <w:pStyle w:val="Compact"/>
              <w:jc w:val="left"/>
            </w:pPr>
            <w:r>
              <w:t xml:space="preserve">[8][10][11]</w:t>
            </w:r>
          </w:p>
        </w:tc>
      </w:tr>
      <w:tr>
        <w:tc>
          <w:tcPr/>
          <w:p>
            <w:pPr>
              <w:pStyle w:val="Compact"/>
              <w:jc w:val="left"/>
            </w:pPr>
            <w:r>
              <w:t xml:space="preserve">7. Compras de directivos o inversores de referencia</w:t>
            </w:r>
          </w:p>
        </w:tc>
        <w:tc>
          <w:tcPr/>
          <w:p>
            <w:pPr>
              <w:pStyle w:val="Compact"/>
              <w:jc w:val="left"/>
            </w:pPr>
            <w:r>
              <w:t xml:space="preserve">No</w:t>
            </w:r>
          </w:p>
        </w:tc>
        <w:tc>
          <w:tcPr/>
          <w:p>
            <w:pPr>
              <w:pStyle w:val="Compact"/>
              <w:jc w:val="left"/>
            </w:pPr>
            <w:r>
              <w:t xml:space="preserve">~55 M USD de ventas de directivos, todas con planes 10b5-1, frente a una compra de 0,27 M. La empresa sí recompra (372 M en el semestre)</w:t>
            </w:r>
          </w:p>
        </w:tc>
        <w:tc>
          <w:tcPr/>
          <w:p>
            <w:pPr>
              <w:pStyle w:val="Compact"/>
              <w:jc w:val="left"/>
            </w:pPr>
            <w:r>
              <w:t xml:space="preserve">[5][7]</w:t>
            </w:r>
          </w:p>
        </w:tc>
      </w:tr>
      <w:tr>
        <w:tc>
          <w:tcPr/>
          <w:p>
            <w:pPr>
              <w:pStyle w:val="Compact"/>
              <w:jc w:val="left"/>
            </w:pPr>
            <w:r>
              <w:t xml:space="preserve">8. Catalizador nuevo en 6 meses</w:t>
            </w:r>
          </w:p>
        </w:tc>
        <w:tc>
          <w:tcPr/>
          <w:p>
            <w:pPr>
              <w:pStyle w:val="Compact"/>
              <w:jc w:val="left"/>
            </w:pPr>
            <w:r>
              <w:t xml:space="preserve">Sí</w:t>
            </w:r>
          </w:p>
        </w:tc>
        <w:tc>
          <w:tcPr/>
          <w:p>
            <w:pPr>
              <w:pStyle w:val="Compact"/>
              <w:jc w:val="left"/>
            </w:pPr>
            <w:r>
              <w:t xml:space="preserve">Okta for AI Agents disponible; Permiso; resultados del 3T27 hacia el 2-dic</w:t>
            </w:r>
          </w:p>
        </w:tc>
        <w:tc>
          <w:tcPr/>
          <w:p>
            <w:pPr>
              <w:pStyle w:val="Compact"/>
              <w:jc w:val="left"/>
            </w:pPr>
            <w:r>
              <w:t xml:space="preserve">[1][13]</w:t>
            </w:r>
          </w:p>
        </w:tc>
      </w:tr>
    </w:tbl>
    <w:p>
      <w:pPr>
        <w:pStyle w:val="BodyText"/>
      </w:pPr>
      <w:r>
        <w:rPr>
          <w:bCs/>
          <w:b/>
        </w:rPr>
        <w:t xml:space="preserve">Euforia (regla): no.</w:t>
      </w:r>
      <w:r>
        <w:t xml:space="preserve"> </w:t>
      </w:r>
      <w:r>
        <w:t xml:space="preserve">Sube un 138 % en 12 meses, por debajo del 150 % de la regla, y el EV/beneficio bruto es de 13,9 veces, por debajo de 20. Está cerca del límite: al máximo del 9-oct (232 USD) la subida a 12 meses rozaba el 150 %.</w:t>
      </w:r>
      <w:r>
        <w:t xml:space="preserve"> </w:t>
      </w:r>
      <w:r>
        <w:rPr>
          <w:bCs/>
          <w:b/>
        </w:rPr>
        <w:t xml:space="preserve">Alerta propuesta y no adoptada</w:t>
      </w:r>
      <w:r>
        <w:t xml:space="preserve"> </w:t>
      </w:r>
      <w:r>
        <w:t xml:space="preserve">(euforia a 6 meses: subida de más del 100 % con el múltiplo a más de 1,4 veces su mediana):</w:t>
      </w:r>
      <w:r>
        <w:t xml:space="preserve"> </w:t>
      </w:r>
      <w:r>
        <w:rPr>
          <w:bCs/>
          <w:b/>
        </w:rPr>
        <w:t xml:space="preserve">saltaría</w:t>
      </w:r>
      <w:r>
        <w:t xml:space="preserve"> </w:t>
      </w:r>
      <w:r>
        <w:t xml:space="preserve">(+191 % y 2,0 veces).</w:t>
      </w:r>
    </w:p>
    <w:bookmarkEnd w:id="24"/>
    <w:bookmarkStart w:id="25" w:name="X6a3ced9ea5ed5bb9ac58f5e7c1bb09ad4718b77"/>
    <w:p>
      <w:pPr>
        <w:pStyle w:val="Heading2"/>
      </w:pPr>
      <w:r>
        <w:t xml:space="preserve">6. Economía unitaria y camino a la rentabilidad</w:t>
      </w:r>
    </w:p>
    <w:p>
      <w:pPr>
        <w:numPr>
          <w:ilvl w:val="0"/>
          <w:numId w:val="1006"/>
        </w:numPr>
        <w:pStyle w:val="Compact"/>
      </w:pPr>
      <w:r>
        <w:rPr>
          <w:bCs/>
          <w:b/>
        </w:rPr>
        <w:t xml:space="preserve">Margen bruto</w:t>
      </w:r>
      <w:r>
        <w:t xml:space="preserve">: 78,1 % GAAP en 12 meses (82 % no GAAP).</w:t>
      </w:r>
    </w:p>
    <w:p>
      <w:pPr>
        <w:numPr>
          <w:ilvl w:val="0"/>
          <w:numId w:val="1006"/>
        </w:numPr>
        <w:pStyle w:val="Compact"/>
      </w:pPr>
      <w:r>
        <w:rPr>
          <w:bCs/>
          <w:b/>
        </w:rPr>
        <w:t xml:space="preserve">FCF de 12 meses</w:t>
      </w:r>
      <w:r>
        <w:t xml:space="preserve">: ~963 M (31,3 %), creciente: ~500 M en el ejercicio 2024, ~730 M en el 2025, ~865 M en el 2026. Guía del ejercicio 2027: 910-930 M (28-29 %).</w:t>
      </w:r>
    </w:p>
    <w:p>
      <w:pPr>
        <w:numPr>
          <w:ilvl w:val="0"/>
          <w:numId w:val="1006"/>
        </w:numPr>
        <w:pStyle w:val="Compact"/>
      </w:pPr>
      <w:r>
        <w:rPr>
          <w:bCs/>
          <w:b/>
        </w:rPr>
        <w:t xml:space="preserve">Regla del 40</w:t>
      </w:r>
      <w:r>
        <w:t xml:space="preserve">: 11,2 + 31,3 =</w:t>
      </w:r>
      <w:r>
        <w:t xml:space="preserve"> </w:t>
      </w:r>
      <w:r>
        <w:rPr>
          <w:bCs/>
          <w:b/>
        </w:rPr>
        <w:t xml:space="preserve">42,5</w:t>
      </w:r>
      <w:r>
        <w:t xml:space="preserve">.</w:t>
      </w:r>
    </w:p>
    <w:p>
      <w:pPr>
        <w:numPr>
          <w:ilvl w:val="0"/>
          <w:numId w:val="1006"/>
        </w:numPr>
        <w:pStyle w:val="Compact"/>
      </w:pPr>
      <w:r>
        <w:rPr>
          <w:bCs/>
          <w:b/>
        </w:rPr>
        <w:t xml:space="preserve">Beneficio GAAP</w:t>
      </w:r>
      <w:r>
        <w:t xml:space="preserve">:</w:t>
      </w:r>
    </w:p>
    <w:p>
      <w:pPr>
        <w:numPr>
          <w:ilvl w:val="1"/>
          <w:numId w:val="1007"/>
        </w:numPr>
        <w:pStyle w:val="Compact"/>
      </w:pPr>
      <w:r>
        <w:t xml:space="preserve">Beneficio operativo de 232 M en 12 meses (7,5 %); 107 M en el 2T27 (13 %).</w:t>
      </w:r>
    </w:p>
    <w:p>
      <w:pPr>
        <w:numPr>
          <w:ilvl w:val="1"/>
          <w:numId w:val="1007"/>
        </w:numPr>
        <w:pStyle w:val="Compact"/>
      </w:pPr>
      <w:r>
        <w:t xml:space="preserve">Beneficio neto GAAP de 116 M en el trimestre.</w:t>
      </w:r>
    </w:p>
    <w:p>
      <w:pPr>
        <w:numPr>
          <w:ilvl w:val="1"/>
          <w:numId w:val="1007"/>
        </w:numPr>
        <w:pStyle w:val="Compact"/>
      </w:pPr>
      <w:r>
        <w:t xml:space="preserve">Beneficio operativo no GAAP del 26-28 %.</w:t>
      </w:r>
    </w:p>
    <w:p>
      <w:pPr>
        <w:numPr>
          <w:ilvl w:val="0"/>
          <w:numId w:val="1006"/>
        </w:numPr>
        <w:pStyle w:val="Compact"/>
      </w:pPr>
      <w:r>
        <w:rPr>
          <w:bCs/>
          <w:b/>
        </w:rPr>
        <w:t xml:space="preserve">Apalancamiento operativo</w:t>
      </w:r>
      <w:r>
        <w:t xml:space="preserve">: los pagos en acciones bajan, de 144 a 114 M por trimestre, y los gastos generales caen en términos absolutos. El margen mejora más por disciplina de costes que por crecimiento.</w:t>
      </w:r>
    </w:p>
    <w:p>
      <w:pPr>
        <w:numPr>
          <w:ilvl w:val="0"/>
          <w:numId w:val="1006"/>
        </w:numPr>
        <w:pStyle w:val="Compact"/>
      </w:pPr>
      <w:r>
        <w:rPr>
          <w:bCs/>
          <w:b/>
        </w:rPr>
        <w:t xml:space="preserve">Calidad (contraste value)</w:t>
      </w:r>
      <w:r>
        <w:t xml:space="preserve">: el ROIC GAAP ronda el 4 %, porque el fondo de comercio de Auth0 (5.487 M) pesa mucho en el capital invertido, frente a un WACC de ~9,5 %:</w:t>
      </w:r>
      <w:r>
        <w:t xml:space="preserve"> </w:t>
      </w:r>
      <w:r>
        <w:rPr>
          <w:bCs/>
          <w:b/>
        </w:rPr>
        <w:t xml:space="preserve">ROIC − WACC ≈ −5,5 pp</w:t>
      </w:r>
      <w:r>
        <w:t xml:space="preserve">. Con el beneficio no GAAP, el ROIC sube a ~13,5 % (≈ +4 pp). El crecimiento del 10-11 % es</w:t>
      </w:r>
      <w:r>
        <w:t xml:space="preserve"> </w:t>
      </w:r>
      <w:r>
        <w:rPr>
          <w:bCs/>
          <w:b/>
        </w:rPr>
        <w:t xml:space="preserve">sostenible</w:t>
      </w:r>
      <w:r>
        <w:t xml:space="preserve"> </w:t>
      </w:r>
      <w:r>
        <w:t xml:space="preserve">sin capital: se financia con su propia caja, sobra para recomprar, y el cRPO (+14 %) va por delante de las ventas.</w:t>
      </w:r>
    </w:p>
    <w:bookmarkEnd w:id="25"/>
    <w:bookmarkStart w:id="26" w:name="caja-deuda-y-dilución"/>
    <w:p>
      <w:pPr>
        <w:pStyle w:val="Heading2"/>
      </w:pPr>
      <w:r>
        <w:t xml:space="preserve">7. Caja, deuda y dilución</w:t>
      </w:r>
    </w:p>
    <w:p>
      <w:pPr>
        <w:numPr>
          <w:ilvl w:val="0"/>
          <w:numId w:val="1008"/>
        </w:numPr>
        <w:pStyle w:val="Compact"/>
      </w:pPr>
      <w:r>
        <w:rPr>
          <w:bCs/>
          <w:b/>
        </w:rPr>
        <w:t xml:space="preserve">Caja e inversiones</w:t>
      </w:r>
      <w:r>
        <w:t xml:space="preserve">: 2.299 M USD.</w:t>
      </w:r>
      <w:r>
        <w:t xml:space="preserve"> </w:t>
      </w:r>
      <w:r>
        <w:rPr>
          <w:bCs/>
          <w:b/>
        </w:rPr>
        <w:t xml:space="preserve">Deuda financiera</w:t>
      </w:r>
      <w:r>
        <w:t xml:space="preserve">: cero, porque liquidó en efectivo los últimos 350 M de convertibles en junio. Solo quedan arrendamientos (~53 M).</w:t>
      </w:r>
    </w:p>
    <w:p>
      <w:pPr>
        <w:numPr>
          <w:ilvl w:val="0"/>
          <w:numId w:val="1008"/>
        </w:numPr>
        <w:pStyle w:val="Compact"/>
      </w:pPr>
      <w:r>
        <w:rPr>
          <w:bCs/>
          <w:b/>
        </w:rPr>
        <w:t xml:space="preserve">Pista</w:t>
      </w:r>
      <w:r>
        <w:t xml:space="preserve">: ilimitada (FCF positivo).</w:t>
      </w:r>
    </w:p>
    <w:p>
      <w:pPr>
        <w:numPr>
          <w:ilvl w:val="0"/>
          <w:numId w:val="1008"/>
        </w:numPr>
        <w:pStyle w:val="Compact"/>
      </w:pPr>
      <w:r>
        <w:rPr>
          <w:bCs/>
          <w:b/>
        </w:rPr>
        <w:t xml:space="preserve">Dilución</w:t>
      </w:r>
      <w:r>
        <w:t xml:space="preserve">: las acciones diluidas medias bajan un 1,2 % en 12 meses (178,8 M frente a 181,0 M). Las recompras (372 M en el semestre y 555 M aún autorizados) compensan los pagos en acciones.</w:t>
      </w:r>
    </w:p>
    <w:p>
      <w:pPr>
        <w:numPr>
          <w:ilvl w:val="0"/>
          <w:numId w:val="1008"/>
        </w:numPr>
        <w:pStyle w:val="Compact"/>
      </w:pPr>
      <w:r>
        <w:rPr>
          <w:bCs/>
          <w:b/>
        </w:rPr>
        <w:t xml:space="preserve">Pagos en acciones</w:t>
      </w:r>
      <w:r>
        <w:t xml:space="preserve">: 16,4 % de las ventas (503 M en 12 meses).</w:t>
      </w:r>
      <w:r>
        <w:t xml:space="preserve"> </w:t>
      </w:r>
      <w:r>
        <w:rPr>
          <w:bCs/>
          <w:b/>
        </w:rPr>
        <w:t xml:space="preserve">En rojo</w:t>
      </w:r>
      <w:r>
        <w:t xml:space="preserve">, por encima del 15 %, aunque bajando: eran el 23 % en el ejercicio 2024. La regla del 40 y el FCF no los restan; si se restan, el FCF «del accionista» es de ~460 M (15 %).</w:t>
      </w:r>
    </w:p>
    <w:bookmarkEnd w:id="26"/>
    <w:bookmarkStart w:id="27" w:name="dirección-y-ejecución"/>
    <w:p>
      <w:pPr>
        <w:pStyle w:val="Heading2"/>
      </w:pPr>
      <w:r>
        <w:t xml:space="preserve">8. Dirección y ejecución</w:t>
      </w:r>
    </w:p>
    <w:p>
      <w:pPr>
        <w:numPr>
          <w:ilvl w:val="0"/>
          <w:numId w:val="1009"/>
        </w:numPr>
        <w:pStyle w:val="Compact"/>
      </w:pPr>
      <w:r>
        <w:rPr>
          <w:bCs/>
          <w:b/>
        </w:rPr>
        <w:t xml:space="preserve">Historial 5/5</w:t>
      </w:r>
      <w:r>
        <w:t xml:space="preserve">: ha batido su guía trimestral de ventas en todos los trimestres revisados (al menos los cuatro últimos, por ~2 puntos de crecimiento) y ha subido la anual dos veces este año.</w:t>
      </w:r>
    </w:p>
    <w:p>
      <w:pPr>
        <w:numPr>
          <w:ilvl w:val="0"/>
          <w:numId w:val="1009"/>
        </w:numPr>
        <w:pStyle w:val="Compact"/>
      </w:pPr>
      <w:r>
        <w:rPr>
          <w:bCs/>
          <w:b/>
        </w:rPr>
        <w:t xml:space="preserve">Dirección 3/5</w:t>
      </w:r>
      <w:r>
        <w:t xml:space="preserve">. A favor: el fundador Todd McKinnon sigue de consejero delegado y tiene acciones de clase B con voto reforzado; la asignación de capital es sensata (recompras, convertibles liquidados, compras pequeñas). En contra:</w:t>
      </w:r>
    </w:p>
    <w:p>
      <w:pPr>
        <w:numPr>
          <w:ilvl w:val="1"/>
          <w:numId w:val="1010"/>
        </w:numPr>
        <w:pStyle w:val="Compact"/>
      </w:pPr>
      <w:r>
        <w:t xml:space="preserve">ventas constantes de directivos: unos 55 M en 12 meses, con planes 10b5-1;</w:t>
      </w:r>
    </w:p>
    <w:p>
      <w:pPr>
        <w:numPr>
          <w:ilvl w:val="1"/>
          <w:numId w:val="1010"/>
        </w:numPr>
        <w:pStyle w:val="Compact"/>
      </w:pPr>
      <w:r>
        <w:t xml:space="preserve">el historial de brechas de seguridad (Lapsus$ en 2022, el soporte en 2023), grave para una empresa de identidad;</w:t>
      </w:r>
    </w:p>
    <w:p>
      <w:pPr>
        <w:numPr>
          <w:ilvl w:val="1"/>
          <w:numId w:val="1010"/>
        </w:numPr>
        <w:pStyle w:val="Compact"/>
      </w:pPr>
      <w:r>
        <w:t xml:space="preserve">la dimisión de una consejera (E. Choi) en septiembre, «sin desacuerdo».</w:t>
      </w:r>
    </w:p>
    <w:bookmarkEnd w:id="27"/>
    <w:bookmarkStart w:id="28" w:name="valoración"/>
    <w:p>
      <w:pPr>
        <w:pStyle w:val="Heading2"/>
      </w:pPr>
      <w:r>
        <w:t xml:space="preserve">9. Valoración</w:t>
      </w:r>
    </w:p>
    <w:p>
      <w:pPr>
        <w:pStyle w:val="FirstParagraph"/>
      </w:pPr>
      <w:r>
        <w:rPr>
          <w:bCs/>
          <w:b/>
        </w:rPr>
        <w:t xml:space="preserve">Múltiplo</w:t>
      </w:r>
      <w:r>
        <w:t xml:space="preserve">:</w:t>
      </w:r>
      <w:r>
        <w:t xml:space="preserve"> </w:t>
      </w:r>
      <w:r>
        <w:t xml:space="preserve">- EV de 36.694 M USD (211,92 × 184 M de acciones diluidas − 2.299 M de caja) sobre unas ventas de los próximos 12 meses de ~3.379 M (guía del 3T, 4T implícito y +10 % para el 1S del ejercicio 2028) =</w:t>
      </w:r>
      <w:r>
        <w:t xml:space="preserve"> </w:t>
      </w:r>
      <w:r>
        <w:rPr>
          <w:bCs/>
          <w:b/>
        </w:rPr>
        <w:t xml:space="preserve">10,9 veces</w:t>
      </w:r>
      <w:r>
        <w:t xml:space="preserve">.</w:t>
      </w:r>
      <w:r>
        <w:t xml:space="preserve"> </w:t>
      </w:r>
      <w:r>
        <w:t xml:space="preserve">- Mediana de 3 años: ~5,4 veces. Mínimo: ~2,9 veces (10-abr-2026).</w:t>
      </w:r>
      <w:r>
        <w:t xml:space="preserve"> </w:t>
      </w:r>
      <w:r>
        <w:t xml:space="preserve">- Comparables: ~11,8 veces de mediana (SailPoint 8,2; Zscaler 9,2; Rubrik 14,4; CrowdStrike 40,3), pero todos crecen el doble o más que Okta [12][13].</w:t>
      </w:r>
    </w:p>
    <w:p>
      <w:pPr>
        <w:pStyle w:val="BodyText"/>
      </w:pPr>
      <w:r>
        <w:rPr>
          <w:bCs/>
          <w:b/>
        </w:rPr>
        <w:t xml:space="preserve">Ventas del año objetivo</w:t>
      </w:r>
      <w:r>
        <w:t xml:space="preserve"> </w:t>
      </w:r>
      <w:r>
        <w:t xml:space="preserve">(ago-2027 a jul-2028): la regla mecánica parte del 11,5 % y llega a 3.758 M en el base. El consenso de esa ventana ronda los 3.720 M (interpolado del consenso del ejercicio 2028, 3.550 M, y un +10 % en el 2029) [8][14]. La v11 toma la menor en cada escenario: el consenso en el base y la mecánica en el bajista y el alcista.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Escenario</w:t>
            </w:r>
          </w:p>
        </w:tc>
        <w:tc>
          <w:tcPr/>
          <w:p>
            <w:pPr>
              <w:pStyle w:val="Compact"/>
              <w:jc w:val="left"/>
            </w:pPr>
            <w:r>
              <w:t xml:space="preserve">Ventas (M USD)</w:t>
            </w:r>
          </w:p>
        </w:tc>
        <w:tc>
          <w:tcPr/>
          <w:p>
            <w:pPr>
              <w:pStyle w:val="Compact"/>
              <w:jc w:val="left"/>
            </w:pPr>
            <w:r>
              <w:t xml:space="preserve">Múltiplo</w:t>
            </w:r>
          </w:p>
        </w:tc>
        <w:tc>
          <w:tcPr/>
          <w:p>
            <w:pPr>
              <w:pStyle w:val="Compact"/>
              <w:jc w:val="left"/>
            </w:pPr>
            <w:r>
              <w:t xml:space="preserve">Precio (USD)</w:t>
            </w:r>
          </w:p>
        </w:tc>
        <w:tc>
          <w:tcPr/>
          <w:p>
            <w:pPr>
              <w:pStyle w:val="Compact"/>
              <w:jc w:val="left"/>
            </w:pPr>
            <w:r>
              <w:t xml:space="preserve">Rentabilidad</w:t>
            </w:r>
          </w:p>
        </w:tc>
        <w:tc>
          <w:tcPr/>
          <w:p>
            <w:pPr>
              <w:pStyle w:val="Compact"/>
              <w:jc w:val="left"/>
            </w:pPr>
            <w:r>
              <w:t xml:space="preserve">Probabilidad</w:t>
            </w:r>
          </w:p>
        </w:tc>
      </w:tr>
      <w:tr>
        <w:tc>
          <w:tcPr/>
          <w:p>
            <w:pPr>
              <w:pStyle w:val="Compact"/>
              <w:jc w:val="left"/>
            </w:pPr>
            <w:r>
              <w:t xml:space="preserve">Bajista</w:t>
            </w:r>
          </w:p>
        </w:tc>
        <w:tc>
          <w:tcPr/>
          <w:p>
            <w:pPr>
              <w:pStyle w:val="Compact"/>
              <w:jc w:val="left"/>
            </w:pPr>
            <w:r>
              <w:t xml:space="preserve">3.407</w:t>
            </w:r>
          </w:p>
        </w:tc>
        <w:tc>
          <w:tcPr/>
          <w:p>
            <w:pPr>
              <w:pStyle w:val="Compact"/>
              <w:jc w:val="left"/>
            </w:pPr>
            <w:r>
              <w:t xml:space="preserve">6,5</w:t>
            </w:r>
          </w:p>
        </w:tc>
        <w:tc>
          <w:tcPr/>
          <w:p>
            <w:pPr>
              <w:pStyle w:val="Compact"/>
              <w:jc w:val="left"/>
            </w:pPr>
            <w:r>
              <w:t xml:space="preserve">134,0</w:t>
            </w:r>
          </w:p>
        </w:tc>
        <w:tc>
          <w:tcPr/>
          <w:p>
            <w:pPr>
              <w:pStyle w:val="Compact"/>
              <w:jc w:val="left"/>
            </w:pPr>
            <w:r>
              <w:t xml:space="preserve">−36,8 %</w:t>
            </w:r>
          </w:p>
        </w:tc>
        <w:tc>
          <w:tcPr/>
          <w:p>
            <w:pPr>
              <w:pStyle w:val="Compact"/>
              <w:jc w:val="left"/>
            </w:pPr>
            <w:r>
              <w:t xml:space="preserve">25 %</w:t>
            </w:r>
          </w:p>
        </w:tc>
      </w:tr>
      <w:tr>
        <w:tc>
          <w:tcPr/>
          <w:p>
            <w:pPr>
              <w:pStyle w:val="Compact"/>
              <w:jc w:val="left"/>
            </w:pPr>
            <w:r>
              <w:t xml:space="preserve">Base</w:t>
            </w:r>
          </w:p>
        </w:tc>
        <w:tc>
          <w:tcPr/>
          <w:p>
            <w:pPr>
              <w:pStyle w:val="Compact"/>
              <w:jc w:val="left"/>
            </w:pPr>
            <w:r>
              <w:t xml:space="preserve">3.720</w:t>
            </w:r>
          </w:p>
        </w:tc>
        <w:tc>
          <w:tcPr/>
          <w:p>
            <w:pPr>
              <w:pStyle w:val="Compact"/>
              <w:jc w:val="left"/>
            </w:pPr>
            <w:r>
              <w:t xml:space="preserve">10,8</w:t>
            </w:r>
          </w:p>
        </w:tc>
        <w:tc>
          <w:tcPr/>
          <w:p>
            <w:pPr>
              <w:pStyle w:val="Compact"/>
              <w:jc w:val="left"/>
            </w:pPr>
            <w:r>
              <w:t xml:space="preserve">233,5</w:t>
            </w:r>
          </w:p>
        </w:tc>
        <w:tc>
          <w:tcPr/>
          <w:p>
            <w:pPr>
              <w:pStyle w:val="Compact"/>
              <w:jc w:val="left"/>
            </w:pPr>
            <w:r>
              <w:t xml:space="preserve">+10,2 %</w:t>
            </w:r>
          </w:p>
        </w:tc>
        <w:tc>
          <w:tcPr/>
          <w:p>
            <w:pPr>
              <w:pStyle w:val="Compact"/>
              <w:jc w:val="left"/>
            </w:pPr>
            <w:r>
              <w:t xml:space="preserve">50 %</w:t>
            </w:r>
          </w:p>
        </w:tc>
      </w:tr>
      <w:tr>
        <w:tc>
          <w:tcPr/>
          <w:p>
            <w:pPr>
              <w:pStyle w:val="Compact"/>
              <w:jc w:val="left"/>
            </w:pPr>
            <w:r>
              <w:t xml:space="preserve">Alcista</w:t>
            </w:r>
          </w:p>
        </w:tc>
        <w:tc>
          <w:tcPr/>
          <w:p>
            <w:pPr>
              <w:pStyle w:val="Compact"/>
              <w:jc w:val="left"/>
            </w:pPr>
            <w:r>
              <w:t xml:space="preserve">3.903</w:t>
            </w:r>
          </w:p>
        </w:tc>
        <w:tc>
          <w:tcPr/>
          <w:p>
            <w:pPr>
              <w:pStyle w:val="Compact"/>
              <w:jc w:val="left"/>
            </w:pPr>
            <w:r>
              <w:t xml:space="preserve">14,0</w:t>
            </w:r>
          </w:p>
        </w:tc>
        <w:tc>
          <w:tcPr/>
          <w:p>
            <w:pPr>
              <w:pStyle w:val="Compact"/>
              <w:jc w:val="left"/>
            </w:pPr>
            <w:r>
              <w:t xml:space="preserve">313,8</w:t>
            </w:r>
          </w:p>
        </w:tc>
        <w:tc>
          <w:tcPr/>
          <w:p>
            <w:pPr>
              <w:pStyle w:val="Compact"/>
              <w:jc w:val="left"/>
            </w:pPr>
            <w:r>
              <w:t xml:space="preserve">+48,1 %</w:t>
            </w:r>
          </w:p>
        </w:tc>
        <w:tc>
          <w:tcPr/>
          <w:p>
            <w:pPr>
              <w:pStyle w:val="Compact"/>
              <w:jc w:val="left"/>
            </w:pPr>
            <w:r>
              <w:t xml:space="preserve">25 %</w:t>
            </w:r>
          </w:p>
        </w:tc>
      </w:tr>
      <w:tr>
        <w:tc>
          <w:tcPr/>
          <w:p>
            <w:pPr>
              <w:pStyle w:val="Compact"/>
              <w:jc w:val="left"/>
            </w:pPr>
            <w:r>
              <w:rPr>
                <w:bCs/>
                <w:b/>
              </w:rPr>
              <w:t xml:space="preserve">Ponderado</w:t>
            </w:r>
          </w:p>
        </w:tc>
        <w:tc>
          <w:tcPr/>
          <w:p>
            <w:pPr>
              <w:pStyle w:val="Compact"/>
            </w:pPr>
          </w:p>
        </w:tc>
        <w:tc>
          <w:tcPr/>
          <w:p>
            <w:pPr>
              <w:pStyle w:val="Compact"/>
            </w:pPr>
          </w:p>
        </w:tc>
        <w:tc>
          <w:tcPr/>
          <w:p>
            <w:pPr>
              <w:pStyle w:val="Compact"/>
              <w:jc w:val="left"/>
            </w:pPr>
            <w:r>
              <w:rPr>
                <w:bCs/>
                <w:b/>
              </w:rPr>
              <w:t xml:space="preserve">228,7</w:t>
            </w:r>
          </w:p>
        </w:tc>
        <w:tc>
          <w:tcPr/>
          <w:p>
            <w:pPr>
              <w:pStyle w:val="Compact"/>
              <w:jc w:val="left"/>
            </w:pPr>
            <w:r>
              <w:rPr>
                <w:bCs/>
                <w:b/>
              </w:rPr>
              <w:t xml:space="preserve">+7,9 %</w:t>
            </w:r>
          </w:p>
        </w:tc>
        <w:tc>
          <w:tcPr/>
          <w:p>
            <w:pPr>
              <w:pStyle w:val="Compact"/>
            </w:pPr>
          </w:p>
        </w:tc>
      </w:tr>
    </w:tbl>
    <w:p>
      <w:pPr>
        <w:numPr>
          <w:ilvl w:val="0"/>
          <w:numId w:val="1011"/>
        </w:numPr>
        <w:pStyle w:val="Compact"/>
      </w:pPr>
      <w:r>
        <w:rPr>
          <w:bCs/>
          <w:b/>
        </w:rPr>
        <w:t xml:space="preserve">Asimetría</w:t>
      </w:r>
      <w:r>
        <w:t xml:space="preserve">: 1,3.</w:t>
      </w:r>
      <w:r>
        <w:t xml:space="preserve"> </w:t>
      </w:r>
      <w:r>
        <w:rPr>
          <w:bCs/>
          <w:b/>
        </w:rPr>
        <w:t xml:space="preserve">Compra hasta</w:t>
      </w:r>
      <w:r>
        <w:t xml:space="preserve">: 217,8 USD (un 2,8 % por encima del cierre).</w:t>
      </w:r>
    </w:p>
    <w:p>
      <w:pPr>
        <w:numPr>
          <w:ilvl w:val="0"/>
          <w:numId w:val="1011"/>
        </w:numPr>
        <w:pStyle w:val="Compact"/>
      </w:pPr>
      <w:r>
        <w:rPr>
          <w:bCs/>
          <w:b/>
        </w:rPr>
        <w:t xml:space="preserve">Con la v7</w:t>
      </w:r>
      <w:r>
        <w:t xml:space="preserve"> </w:t>
      </w:r>
      <w:r>
        <w:t xml:space="preserve">(referencia): ponderada +8,4 %, base +11,2 %, Comprar.</w:t>
      </w:r>
      <w:r>
        <w:t xml:space="preserve"> </w:t>
      </w:r>
      <w:r>
        <w:rPr>
          <w:bCs/>
          <w:b/>
        </w:rPr>
        <w:t xml:space="preserve">Con las ventas del analista</w:t>
      </w:r>
      <w:r>
        <w:t xml:space="preserve">: +9,4 % / +10,2 %, Comprar.</w:t>
      </w:r>
    </w:p>
    <w:p>
      <w:pPr>
        <w:numPr>
          <w:ilvl w:val="0"/>
          <w:numId w:val="1011"/>
        </w:numPr>
        <w:pStyle w:val="Compact"/>
      </w:pPr>
      <w:r>
        <w:rPr>
          <w:bCs/>
          <w:b/>
        </w:rPr>
        <w:t xml:space="preserve">Consenso</w:t>
      </w:r>
      <w:r>
        <w:t xml:space="preserve">: objetivo medio de 201,1 USD (MarketBeat, 43 analistas) o 212,6 (StockAnalysis). El precio ya está ahí. Los objetivos más altos son de 240-245 USD (BMO, Morgan Stanley, Jefferies, Stephens, KeyBanc).</w:t>
      </w:r>
    </w:p>
    <w:p>
      <w:pPr>
        <w:numPr>
          <w:ilvl w:val="0"/>
          <w:numId w:val="1011"/>
        </w:numPr>
        <w:pStyle w:val="Compact"/>
      </w:pPr>
      <w:r>
        <w:rPr>
          <w:bCs/>
          <w:b/>
        </w:rPr>
        <w:t xml:space="preserve">DCF inverso</w:t>
      </w:r>
      <w:r>
        <w:t xml:space="preserve">: con el FCF de 12 meses (963 M), un descuento del 9 % y un 3 % perpetuo, el precio descuenta que el FCF crezca un</w:t>
      </w:r>
      <w:r>
        <w:t xml:space="preserve"> </w:t>
      </w:r>
      <w:r>
        <w:rPr>
          <w:bCs/>
          <w:b/>
        </w:rPr>
        <w:t xml:space="preserve">13,4 % anual durante 10 años</w:t>
      </w:r>
      <w:r>
        <w:t xml:space="preserve">. Si se restan los pagos en acciones, un 23 %. Las ventas crecen un 10 %.</w:t>
      </w:r>
    </w:p>
    <w:p>
      <w:pPr>
        <w:numPr>
          <w:ilvl w:val="0"/>
          <w:numId w:val="1011"/>
        </w:numPr>
        <w:pStyle w:val="Compact"/>
      </w:pPr>
      <w:r>
        <w:rPr>
          <w:bCs/>
          <w:b/>
        </w:rPr>
        <w:t xml:space="preserve">Lo que hay que creerse</w:t>
      </w:r>
      <w:r>
        <w:t xml:space="preserve">: que el múltiplo se queda en ~11 veces, el doble de su historia, para una empresa que crece un 10 %. En el backtest neutral, con el múltiplo a más de 2 veces su mediana,</w:t>
      </w:r>
      <w:r>
        <w:t xml:space="preserve"> </w:t>
      </w:r>
      <w:r>
        <w:rPr>
          <w:bCs/>
          <w:b/>
        </w:rPr>
        <w:t xml:space="preserve">0 de 7 casos batieron al Nasdaq-100</w:t>
      </w:r>
      <w:r>
        <w:t xml:space="preserve">. Si vuelve a su mediana (5,4 veces) sobre las ventas del base, el precio sería de ~120 USD (−43 %).</w:t>
      </w:r>
    </w:p>
    <w:p>
      <w:pPr>
        <w:numPr>
          <w:ilvl w:val="0"/>
          <w:numId w:val="1011"/>
        </w:numPr>
        <w:pStyle w:val="Compact"/>
      </w:pPr>
      <w:r>
        <w:rPr>
          <w:bCs/>
          <w:b/>
        </w:rPr>
        <w:t xml:space="preserve">Filtro previo growth (</w:t>
      </w:r>
      <w:r>
        <w:rPr>
          <w:rStyle w:val="VerbatimChar"/>
          <w:bCs/>
          <w:b/>
        </w:rPr>
        <w:t xml:space="preserve">filtro-previo.md</w:t>
      </w:r>
      <w:r>
        <w:rPr>
          <w:bCs/>
          <w:b/>
        </w:rPr>
        <w:t xml:space="preserve">)</w:t>
      </w:r>
      <w:r>
        <w:t xml:space="preserve">:</w:t>
      </w:r>
    </w:p>
    <w:p>
      <w:pPr>
        <w:numPr>
          <w:ilvl w:val="1"/>
          <w:numId w:val="1012"/>
        </w:numPr>
        <w:pStyle w:val="Compact"/>
      </w:pPr>
    </w:p>
    <w:p>
      <w:pPr>
        <w:numPr>
          <w:ilvl w:val="2"/>
          <w:numId w:val="1013"/>
        </w:numPr>
        <w:pStyle w:val="Compact"/>
      </w:pPr>
      <w:r>
        <w:t xml:space="preserve">crecimiento del 11,2 %:</w:t>
      </w:r>
      <w:r>
        <w:t xml:space="preserve"> </w:t>
      </w:r>
      <w:r>
        <w:rPr>
          <w:bCs/>
          <w:b/>
        </w:rPr>
        <w:t xml:space="preserve">falla</w:t>
      </w:r>
      <w:r>
        <w:t xml:space="preserve"> </w:t>
      </w:r>
      <w:r>
        <w:t xml:space="preserve">(mínimo 15 %);</w:t>
      </w:r>
    </w:p>
    <w:p>
      <w:pPr>
        <w:numPr>
          <w:ilvl w:val="1"/>
          <w:numId w:val="1012"/>
        </w:numPr>
        <w:pStyle w:val="Compact"/>
      </w:pPr>
    </w:p>
    <w:p>
      <w:pPr>
        <w:numPr>
          <w:ilvl w:val="2"/>
          <w:numId w:val="1014"/>
        </w:numPr>
        <w:pStyle w:val="Compact"/>
      </w:pPr>
      <w:r>
        <w:t xml:space="preserve">no aplicada: se valora por ventas, no por EBITDA;</w:t>
      </w:r>
    </w:p>
    <w:p>
      <w:pPr>
        <w:numPr>
          <w:ilvl w:val="1"/>
          <w:numId w:val="1012"/>
        </w:numPr>
        <w:pStyle w:val="Compact"/>
      </w:pPr>
    </w:p>
    <w:p>
      <w:pPr>
        <w:numPr>
          <w:ilvl w:val="2"/>
          <w:numId w:val="1015"/>
        </w:numPr>
        <w:pStyle w:val="Compact"/>
      </w:pPr>
      <w:r>
        <w:t xml:space="preserve">sin clientes relevantes: pasa;</w:t>
      </w:r>
    </w:p>
    <w:p>
      <w:pPr>
        <w:numPr>
          <w:ilvl w:val="1"/>
          <w:numId w:val="1012"/>
        </w:numPr>
        <w:pStyle w:val="Compact"/>
      </w:pPr>
    </w:p>
    <w:p>
      <w:pPr>
        <w:numPr>
          <w:ilvl w:val="2"/>
          <w:numId w:val="1016"/>
        </w:numPr>
        <w:pStyle w:val="Compact"/>
      </w:pPr>
      <w:r>
        <w:t xml:space="preserve">crecimiento descontado de 13,4 ÷ 11,2 = 1,2 veces el actual:</w:t>
      </w:r>
      <w:r>
        <w:t xml:space="preserve"> </w:t>
      </w:r>
      <w:r>
        <w:rPr>
          <w:bCs/>
          <w:b/>
        </w:rPr>
        <w:t xml:space="preserve">falla</w:t>
      </w:r>
      <w:r>
        <w:t xml:space="preserve"> </w:t>
      </w:r>
      <w:r>
        <w:t xml:space="preserve">(máximo 0,8).</w:t>
      </w:r>
    </w:p>
    <w:p>
      <w:pPr>
        <w:numPr>
          <w:ilvl w:val="0"/>
          <w:numId w:val="1000"/>
        </w:numPr>
        <w:pStyle w:val="Compact"/>
      </w:pPr>
      <w:r>
        <w:t xml:space="preserve">Con el filtro, esta empresa no se habría analizado. Se analiza porque la pidió quien encarga, por la megatendencia de identidad de agentes.</w:t>
      </w:r>
    </w:p>
    <w:bookmarkEnd w:id="28"/>
    <w:bookmarkStart w:id="29" w:name="foros-y-sentimiento"/>
    <w:p>
      <w:pPr>
        <w:pStyle w:val="Heading2"/>
      </w:pPr>
      <w:r>
        <w:t xml:space="preserve">10. Foros y sentimiento</w:t>
      </w:r>
    </w:p>
    <w:p>
      <w:pPr>
        <w:numPr>
          <w:ilvl w:val="0"/>
          <w:numId w:val="1017"/>
        </w:numPr>
        <w:pStyle w:val="Compact"/>
      </w:pPr>
      <w:r>
        <w:rPr>
          <w:bCs/>
          <w:b/>
        </w:rPr>
        <w:t xml:space="preserve">StockTwits</w:t>
      </w:r>
      <w:r>
        <w:t xml:space="preserve"> </w:t>
      </w:r>
      <w:r>
        <w:t xml:space="preserve">(15-oct): 5 mensajes alcistas y 1 bajista de 30, con 25.168 seguidores. Se habla de «squeeze», de recoger beneficios y de la «corrección pendiente de la ciberseguridad», y alguien pregunta por qué ha subido tanto si la IA reduce plantillas [11].</w:t>
      </w:r>
    </w:p>
    <w:p>
      <w:pPr>
        <w:numPr>
          <w:ilvl w:val="0"/>
          <w:numId w:val="1017"/>
        </w:numPr>
        <w:pStyle w:val="Compact"/>
      </w:pPr>
      <w:r>
        <w:rPr>
          <w:bCs/>
          <w:b/>
        </w:rPr>
        <w:t xml:space="preserve">Prensa</w:t>
      </w:r>
      <w:r>
        <w:t xml:space="preserve"> </w:t>
      </w:r>
      <w:r>
        <w:t xml:space="preserve">(may-oct):</w:t>
      </w:r>
    </w:p>
    <w:p>
      <w:pPr>
        <w:numPr>
          <w:ilvl w:val="1"/>
          <w:numId w:val="1018"/>
        </w:numPr>
        <w:pStyle w:val="Compact"/>
      </w:pPr>
      <w:r>
        <w:t xml:space="preserve">Motley Fool, Barchart y TIKR: «más que duplicada en 2026», «los agentes de IA podrían dar el siguiente tramo».</w:t>
      </w:r>
    </w:p>
    <w:p>
      <w:pPr>
        <w:numPr>
          <w:ilvl w:val="1"/>
          <w:numId w:val="1018"/>
        </w:numPr>
        <w:pStyle w:val="Compact"/>
      </w:pPr>
      <w:r>
        <w:t xml:space="preserve">Kavout e InvestingPro: «sobrevalorada», con un PER de 105-124 veces.</w:t>
      </w:r>
    </w:p>
    <w:p>
      <w:pPr>
        <w:numPr>
          <w:ilvl w:val="1"/>
          <w:numId w:val="1018"/>
        </w:numPr>
        <w:pStyle w:val="Compact"/>
      </w:pPr>
      <w:r>
        <w:t xml:space="preserve">TIKR (27-ago): «batió todas las estimaciones; la IA todavía no mueve las cifras».</w:t>
      </w:r>
    </w:p>
    <w:p>
      <w:pPr>
        <w:numPr>
          <w:ilvl w:val="1"/>
          <w:numId w:val="1018"/>
        </w:numPr>
        <w:pStyle w:val="Compact"/>
      </w:pPr>
      <w:r>
        <w:t xml:space="preserve">En castellano (TIKR ES, Método Viral): el mismo relato de «cada agente, una identidad» [10][11].</w:t>
      </w:r>
    </w:p>
    <w:p>
      <w:pPr>
        <w:numPr>
          <w:ilvl w:val="0"/>
          <w:numId w:val="1017"/>
        </w:numPr>
        <w:pStyle w:val="Compact"/>
      </w:pPr>
      <w:r>
        <w:rPr>
          <w:bCs/>
          <w:b/>
        </w:rPr>
        <w:t xml:space="preserve">Reddit y Rankia</w:t>
      </w:r>
      <w:r>
        <w:t xml:space="preserve">: sin hilos útiles accesibles desde aquí (laguna).</w:t>
      </w:r>
    </w:p>
    <w:p>
      <w:pPr>
        <w:numPr>
          <w:ilvl w:val="0"/>
          <w:numId w:val="1017"/>
        </w:numPr>
        <w:pStyle w:val="Compact"/>
      </w:pPr>
      <w:r>
        <w:rPr>
          <w:bCs/>
          <w:b/>
        </w:rPr>
        <w:t xml:space="preserve">Lectura</w:t>
      </w:r>
      <w:r>
        <w:t xml:space="preserve">: el sentimiento pasó de «la IA se come el software» (mínimo de 62,9 USD el 10-abr) a «la identidad es el control de los agentes». Hoy es eufórico. Los datos acompañan algo (guía subida, cRPO acelerando, FCF), pero nada que justifique triplicar el precio: las ventas de 12 meses solo han subido un 4 % desde abril.</w:t>
      </w:r>
    </w:p>
    <w:bookmarkEnd w:id="29"/>
    <w:bookmarkStart w:id="30" w:name="bis.-precio-y-noticias-antes-de-decidir"/>
    <w:p>
      <w:pPr>
        <w:pStyle w:val="Heading2"/>
      </w:pPr>
      <w:r>
        <w:t xml:space="preserve">10 bis. Precio y noticias antes de decidir</w:t>
      </w:r>
    </w:p>
    <w:p>
      <w:pPr>
        <w:pStyle w:val="FirstParagraph"/>
      </w:pPr>
      <w:r>
        <w:rPr>
          <w:bCs/>
          <w:b/>
        </w:rPr>
        <w:t xml:space="preserve">Movimiento</w:t>
      </w:r>
      <w:r>
        <w:t xml:space="preserve"> </w:t>
      </w:r>
      <w:r>
        <w:t xml:space="preserve">(</w:t>
      </w:r>
      <w:r>
        <w:rPr>
          <w:rStyle w:val="VerbatimChar"/>
        </w:rPr>
        <w:t xml:space="preserve">movimiento.mjs</w:t>
      </w:r>
      <w:r>
        <w:t xml:space="preserve">, 15-oct):</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1 mes</w:t>
            </w:r>
          </w:p>
        </w:tc>
        <w:tc>
          <w:tcPr/>
          <w:p>
            <w:pPr>
              <w:pStyle w:val="Compact"/>
              <w:jc w:val="left"/>
            </w:pPr>
            <w:r>
              <w:t xml:space="preserve">3 meses</w:t>
            </w:r>
          </w:p>
        </w:tc>
        <w:tc>
          <w:tcPr/>
          <w:p>
            <w:pPr>
              <w:pStyle w:val="Compact"/>
              <w:jc w:val="left"/>
            </w:pPr>
            <w:r>
              <w:t xml:space="preserve">6 meses</w:t>
            </w:r>
          </w:p>
        </w:tc>
        <w:tc>
          <w:tcPr/>
          <w:p>
            <w:pPr>
              <w:pStyle w:val="Compact"/>
              <w:jc w:val="left"/>
            </w:pPr>
            <w:r>
              <w:t xml:space="preserve">12 meses</w:t>
            </w:r>
          </w:p>
        </w:tc>
        <w:tc>
          <w:tcPr/>
          <w:p>
            <w:pPr>
              <w:pStyle w:val="Compact"/>
              <w:jc w:val="left"/>
            </w:pPr>
            <w:r>
              <w:t xml:space="preserve">Desde el máx. de 52 sem.</w:t>
            </w:r>
          </w:p>
        </w:tc>
        <w:tc>
          <w:tcPr/>
          <w:p>
            <w:pPr>
              <w:pStyle w:val="Compact"/>
              <w:jc w:val="left"/>
            </w:pPr>
            <w:r>
              <w:t xml:space="preserve">Desde el mín. de 52 sem.</w:t>
            </w:r>
          </w:p>
        </w:tc>
        <w:tc>
          <w:tcPr/>
          <w:p>
            <w:pPr>
              <w:pStyle w:val="Compact"/>
              <w:jc w:val="left"/>
            </w:pPr>
            <w:r>
              <w:t xml:space="preserve">Desde el máx. histórico</w:t>
            </w:r>
          </w:p>
        </w:tc>
        <w:tc>
          <w:tcPr/>
          <w:p>
            <w:pPr>
              <w:pStyle w:val="Compact"/>
              <w:jc w:val="left"/>
            </w:pPr>
            <w:r>
              <w:t xml:space="preserve">Media de 200</w:t>
            </w:r>
          </w:p>
        </w:tc>
        <w:tc>
          <w:tcPr/>
          <w:p>
            <w:pPr>
              <w:pStyle w:val="Compact"/>
              <w:jc w:val="left"/>
            </w:pPr>
            <w:r>
              <w:t xml:space="preserve">Volatilidad 60 d</w:t>
            </w:r>
          </w:p>
        </w:tc>
      </w:tr>
      <w:tr>
        <w:tc>
          <w:tcPr/>
          <w:p>
            <w:pPr>
              <w:pStyle w:val="Compact"/>
              <w:jc w:val="left"/>
            </w:pPr>
            <w:r>
              <w:t xml:space="preserve">+11,4 %</w:t>
            </w:r>
          </w:p>
        </w:tc>
        <w:tc>
          <w:tcPr/>
          <w:p>
            <w:pPr>
              <w:pStyle w:val="Compact"/>
              <w:jc w:val="left"/>
            </w:pPr>
            <w:r>
              <w:t xml:space="preserve">+40,3 %</w:t>
            </w:r>
          </w:p>
        </w:tc>
        <w:tc>
          <w:tcPr/>
          <w:p>
            <w:pPr>
              <w:pStyle w:val="Compact"/>
              <w:jc w:val="left"/>
            </w:pPr>
            <w:r>
              <w:t xml:space="preserve">+191 %</w:t>
            </w:r>
          </w:p>
        </w:tc>
        <w:tc>
          <w:tcPr/>
          <w:p>
            <w:pPr>
              <w:pStyle w:val="Compact"/>
              <w:jc w:val="left"/>
            </w:pPr>
            <w:r>
              <w:t xml:space="preserve">+135 %</w:t>
            </w:r>
          </w:p>
        </w:tc>
        <w:tc>
          <w:tcPr/>
          <w:p>
            <w:pPr>
              <w:pStyle w:val="Compact"/>
              <w:jc w:val="left"/>
            </w:pPr>
            <w:r>
              <w:t xml:space="preserve">−9,7 %</w:t>
            </w:r>
          </w:p>
        </w:tc>
        <w:tc>
          <w:tcPr/>
          <w:p>
            <w:pPr>
              <w:pStyle w:val="Compact"/>
              <w:jc w:val="left"/>
            </w:pPr>
            <w:r>
              <w:t xml:space="preserve">+233 %</w:t>
            </w:r>
          </w:p>
        </w:tc>
        <w:tc>
          <w:tcPr/>
          <w:p>
            <w:pPr>
              <w:pStyle w:val="Compact"/>
              <w:jc w:val="left"/>
            </w:pPr>
            <w:r>
              <w:t xml:space="preserve">−21,9 % (268 USD, 2021)</w:t>
            </w:r>
          </w:p>
        </w:tc>
        <w:tc>
          <w:tcPr/>
          <w:p>
            <w:pPr>
              <w:pStyle w:val="Compact"/>
              <w:jc w:val="left"/>
            </w:pPr>
            <w:r>
              <w:t xml:space="preserve">+77,5 % (alcista)</w:t>
            </w:r>
          </w:p>
        </w:tc>
        <w:tc>
          <w:tcPr/>
          <w:p>
            <w:pPr>
              <w:pStyle w:val="Compact"/>
              <w:jc w:val="left"/>
            </w:pPr>
            <w:r>
              <w:t xml:space="preserve">71 %</w:t>
            </w:r>
          </w:p>
        </w:tc>
      </w:tr>
    </w:tbl>
    <w:p>
      <w:pPr>
        <w:pStyle w:val="BodyText"/>
      </w:pPr>
      <w:r>
        <w:t xml:space="preserve">Aviso</w:t>
      </w:r>
      <w:r>
        <w:t xml:space="preserve"> </w:t>
      </w:r>
      <w:r>
        <w:rPr>
          <w:bCs/>
          <w:b/>
        </w:rPr>
        <w:t xml:space="preserve">P1</w:t>
      </w:r>
      <w:r>
        <w:t xml:space="preserve">: subida fuerte, +40 % en tres meses. No cambia la señal; la causa se explica abajo.</w:t>
      </w:r>
    </w:p>
    <w:p>
      <w:pPr>
        <w:pStyle w:val="BodyText"/>
      </w:pPr>
      <w:r>
        <w:rPr>
          <w:bCs/>
          <w:b/>
        </w:rPr>
        <w:t xml:space="preserve">Movimientos fuertes (12 meses)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Mes</w:t>
            </w:r>
          </w:p>
        </w:tc>
        <w:tc>
          <w:tcPr/>
          <w:p>
            <w:pPr>
              <w:pStyle w:val="Compact"/>
              <w:jc w:val="left"/>
            </w:pPr>
            <w:r>
              <w:t xml:space="preserve">Variación</w:t>
            </w:r>
          </w:p>
        </w:tc>
        <w:tc>
          <w:tcPr/>
          <w:p>
            <w:pPr>
              <w:pStyle w:val="Compact"/>
              <w:jc w:val="left"/>
            </w:pPr>
            <w:r>
              <w:t xml:space="preserve">Causa</w:t>
            </w:r>
          </w:p>
        </w:tc>
        <w:tc>
          <w:tcPr/>
          <w:p>
            <w:pPr>
              <w:pStyle w:val="Compact"/>
              <w:jc w:val="left"/>
            </w:pPr>
            <w:r>
              <w:t xml:space="preserve">Veredicto</w:t>
            </w:r>
          </w:p>
        </w:tc>
      </w:tr>
      <w:tr>
        <w:tc>
          <w:tcPr/>
          <w:p>
            <w:pPr>
              <w:pStyle w:val="Compact"/>
              <w:jc w:val="left"/>
            </w:pPr>
            <w:r>
              <w:t xml:space="preserve">nov-2025</w:t>
            </w:r>
          </w:p>
        </w:tc>
        <w:tc>
          <w:tcPr/>
          <w:p>
            <w:pPr>
              <w:pStyle w:val="Compact"/>
              <w:jc w:val="left"/>
            </w:pPr>
            <w:r>
              <w:t xml:space="preserve">−12 %</w:t>
            </w:r>
          </w:p>
        </w:tc>
        <w:tc>
          <w:tcPr/>
          <w:p>
            <w:pPr>
              <w:pStyle w:val="Compact"/>
              <w:jc w:val="left"/>
            </w:pPr>
            <w:r>
              <w:t xml:space="preserve">Resultados del 3T26 sin aceleración y venta del software por el miedo a la IA</w:t>
            </w:r>
          </w:p>
        </w:tc>
        <w:tc>
          <w:tcPr/>
          <w:p>
            <w:pPr>
              <w:pStyle w:val="Compact"/>
              <w:jc w:val="left"/>
            </w:pPr>
            <w:r>
              <w:t xml:space="preserve">no cambia</w:t>
            </w:r>
          </w:p>
        </w:tc>
      </w:tr>
      <w:tr>
        <w:tc>
          <w:tcPr/>
          <w:p>
            <w:pPr>
              <w:pStyle w:val="Compact"/>
              <w:jc w:val="left"/>
            </w:pPr>
            <w:r>
              <w:t xml:space="preserve">feb-2026</w:t>
            </w:r>
          </w:p>
        </w:tc>
        <w:tc>
          <w:tcPr/>
          <w:p>
            <w:pPr>
              <w:pStyle w:val="Compact"/>
              <w:jc w:val="left"/>
            </w:pPr>
            <w:r>
              <w:t xml:space="preserve">−14 %</w:t>
            </w:r>
          </w:p>
        </w:tc>
        <w:tc>
          <w:tcPr/>
          <w:p>
            <w:pPr>
              <w:pStyle w:val="Compact"/>
              <w:jc w:val="left"/>
            </w:pPr>
            <w:r>
              <w:t xml:space="preserve">Venta de todo el software y la ciberseguridad («la IA se come el software»; Claude Code Security); −9,2 % el 20-feb</w:t>
            </w:r>
          </w:p>
        </w:tc>
        <w:tc>
          <w:tcPr/>
          <w:p>
            <w:pPr>
              <w:pStyle w:val="Compact"/>
              <w:jc w:val="left"/>
            </w:pPr>
            <w:r>
              <w:t xml:space="preserve">no cambia</w:t>
            </w:r>
          </w:p>
        </w:tc>
      </w:tr>
      <w:tr>
        <w:tc>
          <w:tcPr/>
          <w:p>
            <w:pPr>
              <w:pStyle w:val="Compact"/>
              <w:jc w:val="left"/>
            </w:pPr>
            <w:r>
              <w:t xml:space="preserve">abr-2026</w:t>
            </w:r>
          </w:p>
        </w:tc>
        <w:tc>
          <w:tcPr/>
          <w:p>
            <w:pPr>
              <w:pStyle w:val="Compact"/>
              <w:jc w:val="left"/>
            </w:pPr>
            <w:r>
              <w:t xml:space="preserve">−15 %</w:t>
            </w:r>
          </w:p>
        </w:tc>
        <w:tc>
          <w:tcPr/>
          <w:p>
            <w:pPr>
              <w:pStyle w:val="Compact"/>
              <w:jc w:val="left"/>
            </w:pPr>
            <w:r>
              <w:t xml:space="preserve">Mínimo de 62,93 USD el 10-abr (−11 % y −7 % en dos sesiones), con el software en mínimos; sin noticia propia encontrada</w:t>
            </w:r>
          </w:p>
        </w:tc>
        <w:tc>
          <w:tcPr/>
          <w:p>
            <w:pPr>
              <w:pStyle w:val="Compact"/>
              <w:jc w:val="left"/>
            </w:pPr>
            <w:r>
              <w:t xml:space="preserve">no cambia</w:t>
            </w:r>
          </w:p>
        </w:tc>
      </w:tr>
      <w:tr>
        <w:tc>
          <w:tcPr/>
          <w:p>
            <w:pPr>
              <w:pStyle w:val="Compact"/>
              <w:jc w:val="left"/>
            </w:pPr>
            <w:r>
              <w:t xml:space="preserve">may-2026</w:t>
            </w:r>
          </w:p>
        </w:tc>
        <w:tc>
          <w:tcPr/>
          <w:p>
            <w:pPr>
              <w:pStyle w:val="Compact"/>
              <w:jc w:val="left"/>
            </w:pPr>
            <w:r>
              <w:t xml:space="preserve">+67 %</w:t>
            </w:r>
          </w:p>
        </w:tc>
        <w:tc>
          <w:tcPr/>
          <w:p>
            <w:pPr>
              <w:pStyle w:val="Compact"/>
              <w:jc w:val="left"/>
            </w:pPr>
            <w:r>
              <w:t xml:space="preserve">1T27 batiendo y con la guía al alza, más el relato de agentes: +30 % el 29-may y +13 % el 1-jun</w:t>
            </w:r>
          </w:p>
        </w:tc>
        <w:tc>
          <w:tcPr/>
          <w:p>
            <w:pPr>
              <w:pStyle w:val="Compact"/>
              <w:jc w:val="left"/>
            </w:pPr>
            <w:r>
              <w:t xml:space="preserve">no cambia</w:t>
            </w:r>
          </w:p>
        </w:tc>
      </w:tr>
      <w:tr>
        <w:tc>
          <w:tcPr/>
          <w:p>
            <w:pPr>
              <w:pStyle w:val="Compact"/>
              <w:jc w:val="left"/>
            </w:pPr>
            <w:r>
              <w:t xml:space="preserve">ago-2026</w:t>
            </w:r>
          </w:p>
        </w:tc>
        <w:tc>
          <w:tcPr/>
          <w:p>
            <w:pPr>
              <w:pStyle w:val="Compact"/>
              <w:jc w:val="left"/>
            </w:pPr>
            <w:r>
              <w:t xml:space="preserve">+22 %</w:t>
            </w:r>
          </w:p>
        </w:tc>
        <w:tc>
          <w:tcPr/>
          <w:p>
            <w:pPr>
              <w:pStyle w:val="Compact"/>
              <w:jc w:val="left"/>
            </w:pPr>
            <w:r>
              <w:t xml:space="preserve">2T27 batiendo, guía al alza y cRPO acelerando: +29 % el 27-ago</w:t>
            </w:r>
          </w:p>
        </w:tc>
        <w:tc>
          <w:tcPr/>
          <w:p>
            <w:pPr>
              <w:pStyle w:val="Compact"/>
              <w:jc w:val="left"/>
            </w:pPr>
            <w:r>
              <w:t xml:space="preserve">no cambia</w:t>
            </w:r>
          </w:p>
        </w:tc>
      </w:tr>
      <w:tr>
        <w:tc>
          <w:tcPr/>
          <w:p>
            <w:pPr>
              <w:pStyle w:val="Compact"/>
              <w:jc w:val="left"/>
            </w:pPr>
            <w:r>
              <w:t xml:space="preserve">sep-2026</w:t>
            </w:r>
          </w:p>
        </w:tc>
        <w:tc>
          <w:tcPr/>
          <w:p>
            <w:pPr>
              <w:pStyle w:val="Compact"/>
              <w:jc w:val="left"/>
            </w:pPr>
            <w:r>
              <w:t xml:space="preserve">+21 %</w:t>
            </w:r>
          </w:p>
        </w:tc>
        <w:tc>
          <w:tcPr/>
          <w:p>
            <w:pPr>
              <w:pStyle w:val="Compact"/>
              <w:jc w:val="left"/>
            </w:pPr>
            <w:r>
              <w:t xml:space="preserve">Miedo a los ataques con IA (+12 % el 14-sep), Oktane e Investor Summit (23-sep) y 11 subidas de objetivo</w:t>
            </w:r>
          </w:p>
        </w:tc>
        <w:tc>
          <w:tcPr/>
          <w:p>
            <w:pPr>
              <w:pStyle w:val="Compact"/>
              <w:jc w:val="left"/>
            </w:pPr>
            <w:r>
              <w:t xml:space="preserve">no cambia</w:t>
            </w:r>
          </w:p>
        </w:tc>
      </w:tr>
    </w:tbl>
    <w:p>
      <w:pPr>
        <w:pStyle w:val="BodyText"/>
      </w:pPr>
      <w:r>
        <w:rPr>
          <w:bCs/>
          <w:b/>
        </w:rPr>
        <w:t xml:space="preserve">Noticias (6-12 meses)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Fecha</w:t>
            </w:r>
          </w:p>
        </w:tc>
        <w:tc>
          <w:tcPr/>
          <w:p>
            <w:pPr>
              <w:pStyle w:val="Compact"/>
              <w:jc w:val="left"/>
            </w:pPr>
            <w:r>
              <w:t xml:space="preserve">Tipo</w:t>
            </w:r>
          </w:p>
        </w:tc>
        <w:tc>
          <w:tcPr/>
          <w:p>
            <w:pPr>
              <w:pStyle w:val="Compact"/>
              <w:jc w:val="left"/>
            </w:pPr>
            <w:r>
              <w:t xml:space="preserve">Hecho</w:t>
            </w:r>
          </w:p>
        </w:tc>
        <w:tc>
          <w:tcPr/>
          <w:p>
            <w:pPr>
              <w:pStyle w:val="Compact"/>
              <w:jc w:val="left"/>
            </w:pPr>
            <w:r>
              <w:t xml:space="preserve">Veredicto</w:t>
            </w:r>
          </w:p>
        </w:tc>
      </w:tr>
      <w:tr>
        <w:tc>
          <w:tcPr/>
          <w:p>
            <w:pPr>
              <w:pStyle w:val="Compact"/>
              <w:jc w:val="left"/>
            </w:pPr>
            <w:r>
              <w:t xml:space="preserve">14-oct</w:t>
            </w:r>
          </w:p>
        </w:tc>
        <w:tc>
          <w:tcPr/>
          <w:p>
            <w:pPr>
              <w:pStyle w:val="Compact"/>
              <w:jc w:val="left"/>
            </w:pPr>
            <w:r>
              <w:t xml:space="preserve">Rumor</w:t>
            </w:r>
          </w:p>
        </w:tc>
        <w:tc>
          <w:tcPr/>
          <w:p>
            <w:pPr>
              <w:pStyle w:val="Compact"/>
              <w:jc w:val="left"/>
            </w:pPr>
            <w:r>
              <w:t xml:space="preserve">−6,5 % en la venta de la ciberseguridad: OpenAI negocia comprar Trail of Bits y se teme que los laboratorios de IA entren en seguridad</w:t>
            </w:r>
          </w:p>
        </w:tc>
        <w:tc>
          <w:tcPr/>
          <w:p>
            <w:pPr>
              <w:pStyle w:val="Compact"/>
              <w:jc w:val="left"/>
            </w:pPr>
            <w:r>
              <w:t xml:space="preserve">no cambia</w:t>
            </w:r>
          </w:p>
        </w:tc>
      </w:tr>
      <w:tr>
        <w:tc>
          <w:tcPr/>
          <w:p>
            <w:pPr>
              <w:pStyle w:val="Compact"/>
              <w:jc w:val="left"/>
            </w:pPr>
            <w:r>
              <w:t xml:space="preserve">9-oct</w:t>
            </w:r>
          </w:p>
        </w:tc>
        <w:tc>
          <w:tcPr/>
          <w:p>
            <w:pPr>
              <w:pStyle w:val="Compact"/>
              <w:jc w:val="left"/>
            </w:pPr>
            <w:r>
              <w:t xml:space="preserve">Recomendación</w:t>
            </w:r>
          </w:p>
        </w:tc>
        <w:tc>
          <w:tcPr/>
          <w:p>
            <w:pPr>
              <w:pStyle w:val="Compact"/>
              <w:jc w:val="left"/>
            </w:pPr>
            <w:r>
              <w:t xml:space="preserve">BMO sube el objetivo a 245; Argus a 241 (7-oct); Morgan Stanley a 245 (29-sep)</w:t>
            </w:r>
          </w:p>
        </w:tc>
        <w:tc>
          <w:tcPr/>
          <w:p>
            <w:pPr>
              <w:pStyle w:val="Compact"/>
              <w:jc w:val="left"/>
            </w:pPr>
            <w:r>
              <w:t xml:space="preserve">no cambia</w:t>
            </w:r>
          </w:p>
        </w:tc>
      </w:tr>
      <w:tr>
        <w:tc>
          <w:tcPr/>
          <w:p>
            <w:pPr>
              <w:pStyle w:val="Compact"/>
              <w:jc w:val="left"/>
            </w:pPr>
            <w:r>
              <w:t xml:space="preserve">17-sep</w:t>
            </w:r>
          </w:p>
        </w:tc>
        <w:tc>
          <w:tcPr/>
          <w:p>
            <w:pPr>
              <w:pStyle w:val="Compact"/>
              <w:jc w:val="left"/>
            </w:pPr>
            <w:r>
              <w:t xml:space="preserve">Recomendación</w:t>
            </w:r>
          </w:p>
        </w:tc>
        <w:tc>
          <w:tcPr/>
          <w:p>
            <w:pPr>
              <w:pStyle w:val="Compact"/>
              <w:jc w:val="left"/>
            </w:pPr>
            <w:r>
              <w:t xml:space="preserve">Bernstein baja a neutral por valoración (objetivo 174); BofA, Mizuho y TD Cowen, neutrales con 200</w:t>
            </w:r>
          </w:p>
        </w:tc>
        <w:tc>
          <w:tcPr/>
          <w:p>
            <w:pPr>
              <w:pStyle w:val="Compact"/>
              <w:jc w:val="left"/>
            </w:pPr>
            <w:r>
              <w:t xml:space="preserve">no cambia</w:t>
            </w:r>
          </w:p>
        </w:tc>
      </w:tr>
      <w:tr>
        <w:tc>
          <w:tcPr/>
          <w:p>
            <w:pPr>
              <w:pStyle w:val="Compact"/>
              <w:jc w:val="left"/>
            </w:pPr>
            <w:r>
              <w:t xml:space="preserve">jul-oct</w:t>
            </w:r>
          </w:p>
        </w:tc>
        <w:tc>
          <w:tcPr/>
          <w:p>
            <w:pPr>
              <w:pStyle w:val="Compact"/>
              <w:jc w:val="left"/>
            </w:pPr>
            <w:r>
              <w:t xml:space="preserve">Directivos</w:t>
            </w:r>
          </w:p>
        </w:tc>
        <w:tc>
          <w:tcPr/>
          <w:p>
            <w:pPr>
              <w:pStyle w:val="Compact"/>
              <w:jc w:val="left"/>
            </w:pPr>
            <w:r>
              <w:t xml:space="preserve">El consejero delegado vende 19,5 M USD, el director financiero 14,5 M y el jefe de contabilidad también, todos con planes 10b5-1</w:t>
            </w:r>
          </w:p>
        </w:tc>
        <w:tc>
          <w:tcPr/>
          <w:p>
            <w:pPr>
              <w:pStyle w:val="Compact"/>
              <w:jc w:val="left"/>
            </w:pPr>
            <w:r>
              <w:t xml:space="preserve">no cambia</w:t>
            </w:r>
          </w:p>
        </w:tc>
      </w:tr>
      <w:tr>
        <w:tc>
          <w:tcPr/>
          <w:p>
            <w:pPr>
              <w:pStyle w:val="Compact"/>
              <w:jc w:val="left"/>
            </w:pPr>
            <w:r>
              <w:t xml:space="preserve">14-sep</w:t>
            </w:r>
          </w:p>
        </w:tc>
        <w:tc>
          <w:tcPr/>
          <w:p>
            <w:pPr>
              <w:pStyle w:val="Compact"/>
              <w:jc w:val="left"/>
            </w:pPr>
            <w:r>
              <w:t xml:space="preserve">Directivos</w:t>
            </w:r>
          </w:p>
        </w:tc>
        <w:tc>
          <w:tcPr/>
          <w:p>
            <w:pPr>
              <w:pStyle w:val="Compact"/>
              <w:jc w:val="left"/>
            </w:pPr>
            <w:r>
              <w:t xml:space="preserve">Dimite la consejera E. Choi «sin desacuerdo»; entra H. Riley</w:t>
            </w:r>
          </w:p>
        </w:tc>
        <w:tc>
          <w:tcPr/>
          <w:p>
            <w:pPr>
              <w:pStyle w:val="Compact"/>
              <w:jc w:val="left"/>
            </w:pPr>
            <w:r>
              <w:t xml:space="preserve">no cambia</w:t>
            </w:r>
          </w:p>
        </w:tc>
      </w:tr>
      <w:tr>
        <w:tc>
          <w:tcPr/>
          <w:p>
            <w:pPr>
              <w:pStyle w:val="Compact"/>
              <w:jc w:val="left"/>
            </w:pPr>
            <w:r>
              <w:t xml:space="preserve">30-jul</w:t>
            </w:r>
          </w:p>
        </w:tc>
        <w:tc>
          <w:tcPr/>
          <w:p>
            <w:pPr>
              <w:pStyle w:val="Compact"/>
              <w:jc w:val="left"/>
            </w:pPr>
            <w:r>
              <w:t xml:space="preserve">Compra</w:t>
            </w:r>
          </w:p>
        </w:tc>
        <w:tc>
          <w:tcPr/>
          <w:p>
            <w:pPr>
              <w:pStyle w:val="Compact"/>
              <w:jc w:val="left"/>
            </w:pPr>
            <w:r>
              <w:t xml:space="preserve">Permiso Security, ~200 M USD en efectivo</w:t>
            </w:r>
          </w:p>
        </w:tc>
        <w:tc>
          <w:tcPr/>
          <w:p>
            <w:pPr>
              <w:pStyle w:val="Compact"/>
              <w:jc w:val="left"/>
            </w:pPr>
            <w:r>
              <w:t xml:space="preserve">no cambia</w:t>
            </w:r>
          </w:p>
        </w:tc>
      </w:tr>
      <w:tr>
        <w:tc>
          <w:tcPr/>
          <w:p>
            <w:pPr>
              <w:pStyle w:val="Compact"/>
              <w:jc w:val="left"/>
            </w:pPr>
            <w:r>
              <w:t xml:space="preserve">26-ago</w:t>
            </w:r>
          </w:p>
        </w:tc>
        <w:tc>
          <w:tcPr/>
          <w:p>
            <w:pPr>
              <w:pStyle w:val="Compact"/>
              <w:jc w:val="left"/>
            </w:pPr>
            <w:r>
              <w:t xml:space="preserve">Resultados</w:t>
            </w:r>
          </w:p>
        </w:tc>
        <w:tc>
          <w:tcPr/>
          <w:p>
            <w:pPr>
              <w:pStyle w:val="Compact"/>
              <w:jc w:val="left"/>
            </w:pPr>
            <w:r>
              <w:t xml:space="preserve">2T27: ventas +11 %, cRPO +14 %, FCF 28 %, guía al alza; IA aún no material</w:t>
            </w:r>
          </w:p>
        </w:tc>
        <w:tc>
          <w:tcPr/>
          <w:p>
            <w:pPr>
              <w:pStyle w:val="Compact"/>
              <w:jc w:val="left"/>
            </w:pPr>
            <w:r>
              <w:t xml:space="preserve">no cambia</w:t>
            </w:r>
          </w:p>
        </w:tc>
      </w:tr>
      <w:tr>
        <w:tc>
          <w:tcPr/>
          <w:p>
            <w:pPr>
              <w:pStyle w:val="Compact"/>
              <w:jc w:val="left"/>
            </w:pPr>
            <w:r>
              <w:t xml:space="preserve">~2-dic</w:t>
            </w:r>
          </w:p>
        </w:tc>
        <w:tc>
          <w:tcPr/>
          <w:p>
            <w:pPr>
              <w:pStyle w:val="Compact"/>
              <w:jc w:val="left"/>
            </w:pPr>
            <w:r>
              <w:t xml:space="preserve">Resultados</w:t>
            </w:r>
          </w:p>
        </w:tc>
        <w:tc>
          <w:tcPr/>
          <w:p>
            <w:pPr>
              <w:pStyle w:val="Compact"/>
              <w:jc w:val="left"/>
            </w:pPr>
            <w:r>
              <w:t xml:space="preserve">3T27 (fecha estimada); no aplaza la compra (regla 11)</w:t>
            </w:r>
          </w:p>
        </w:tc>
        <w:tc>
          <w:tcPr/>
          <w:p>
            <w:pPr>
              <w:pStyle w:val="Compact"/>
              <w:jc w:val="left"/>
            </w:pPr>
            <w:r>
              <w:t xml:space="preserve">no cambia</w:t>
            </w:r>
          </w:p>
        </w:tc>
      </w:tr>
    </w:tbl>
    <w:p>
      <w:pPr>
        <w:pStyle w:val="BodyText"/>
      </w:pPr>
      <w:r>
        <w:rPr>
          <w:bCs/>
          <w:b/>
        </w:rPr>
        <w:t xml:space="preserve">Veredicto global: no cambia.</w:t>
      </w:r>
      <w:r>
        <w:t xml:space="preserve"> </w:t>
      </w:r>
      <w:r>
        <w:t xml:space="preserve">No hay colocación, ampliación, convertible ni decisión regulatoria con fecha (la deuda convertible ya está liquidada). Las ventas de directivos son programadas y pequeñas frente a su participación, así que no son la venta «sin motivo» que descarta. El riesgo es la</w:t>
      </w:r>
      <w:r>
        <w:t xml:space="preserve"> </w:t>
      </w:r>
      <w:r>
        <w:rPr>
          <w:bCs/>
          <w:b/>
        </w:rPr>
        <w:t xml:space="preserve">reversión del sentimiento</w:t>
      </w:r>
      <w:r>
        <w:t xml:space="preserve">, que empezó el 14-oct; se trata en Riesgos y no aplaza.</w:t>
      </w:r>
    </w:p>
    <w:bookmarkEnd w:id="30"/>
    <w:bookmarkStart w:id="31" w:name="riesgos-y-qué-rompería-la-tesis"/>
    <w:p>
      <w:pPr>
        <w:pStyle w:val="Heading2"/>
      </w:pPr>
      <w:r>
        <w:t xml:space="preserve">11. Riesgos y qué rompería la tesis</w:t>
      </w:r>
    </w:p>
    <w:p>
      <w:pPr>
        <w:numPr>
          <w:ilvl w:val="0"/>
          <w:numId w:val="1019"/>
        </w:numPr>
        <w:pStyle w:val="Compact"/>
      </w:pPr>
      <w:r>
        <w:rPr>
          <w:bCs/>
          <w:b/>
        </w:rPr>
        <w:t xml:space="preserve">Alerta: múltiplo de hoy (10,9) por encima de 2 veces su mediana de 3 años (5,4).</w:t>
      </w:r>
      <w:r>
        <w:t xml:space="preserve"> </w:t>
      </w:r>
      <w:r>
        <w:t xml:space="preserve">El objetivo supone que no vuelve a la media, y en el backtest neutral 0 de 7 casos así batieron al Nasdaq-100. Es la</w:t>
      </w:r>
      <w:r>
        <w:t xml:space="preserve"> </w:t>
      </w:r>
      <w:r>
        <w:rPr>
          <w:bCs/>
          <w:b/>
        </w:rPr>
        <w:t xml:space="preserve">objeción más fuerte</w:t>
      </w:r>
      <w:r>
        <w:t xml:space="preserve">. Respuesta: la subida de múltiplo viene de un cambio real, aunque temprano (producto de agentes disponible, cRPO acelerando, guía al alza), y el FCF del 31 % deja un suelo que no tenían los casos del backtest. Pero el margen de la tesis es pequeño (+7,9 %). Por eso la convicción es baja y no entra frente a alternativas mejores.</w:t>
      </w:r>
    </w:p>
    <w:p>
      <w:pPr>
        <w:numPr>
          <w:ilvl w:val="0"/>
          <w:numId w:val="1019"/>
        </w:numPr>
        <w:pStyle w:val="Compact"/>
      </w:pPr>
      <w:r>
        <w:rPr>
          <w:bCs/>
          <w:b/>
        </w:rPr>
        <w:t xml:space="preserve">Alerta: pagos en acciones del 16,4 % de las ventas.</w:t>
      </w:r>
      <w:r>
        <w:t xml:space="preserve"> </w:t>
      </w:r>
      <w:r>
        <w:t xml:space="preserve">Van bajando (23 % hace dos años) y las recompras los neutralizan. Se vigila que sigan bajando del 15 %.</w:t>
      </w:r>
    </w:p>
    <w:p>
      <w:pPr>
        <w:numPr>
          <w:ilvl w:val="0"/>
          <w:numId w:val="1019"/>
        </w:numPr>
        <w:pStyle w:val="Compact"/>
      </w:pPr>
      <w:r>
        <w:rPr>
          <w:bCs/>
          <w:b/>
        </w:rPr>
        <w:t xml:space="preserve">Riesgo de IA para el negocio: MEDIO.</w:t>
      </w:r>
    </w:p>
    <w:p>
      <w:pPr>
        <w:numPr>
          <w:ilvl w:val="1"/>
          <w:numId w:val="1020"/>
        </w:numPr>
        <w:pStyle w:val="Compact"/>
      </w:pPr>
      <w:r>
        <w:t xml:space="preserve">A favor: cada agente necesita identidad, y el producto ya cobra un sobreprecio del 25-37 %.</w:t>
      </w:r>
    </w:p>
    <w:p>
      <w:pPr>
        <w:numPr>
          <w:ilvl w:val="1"/>
          <w:numId w:val="1020"/>
        </w:numPr>
        <w:pStyle w:val="Compact"/>
      </w:pPr>
      <w:r>
        <w:t xml:space="preserve">En contra, primero: Okta cobra</w:t>
      </w:r>
      <w:r>
        <w:t xml:space="preserve"> </w:t>
      </w:r>
      <w:r>
        <w:rPr>
          <w:bCs/>
          <w:b/>
        </w:rPr>
        <w:t xml:space="preserve">por empleado</w:t>
      </w:r>
      <w:r>
        <w:t xml:space="preserve">, y si la IA reduce plantillas, el núcleo de ingresos (identidad de empleados) puede frenar antes de que el cobro por agente compense.</w:t>
      </w:r>
    </w:p>
    <w:p>
      <w:pPr>
        <w:numPr>
          <w:ilvl w:val="1"/>
          <w:numId w:val="1020"/>
        </w:numPr>
        <w:pStyle w:val="Compact"/>
      </w:pPr>
      <w:r>
        <w:t xml:space="preserve">En contra, segundo: Microsoft regala la identidad de agentes dentro de Entra, y los laboratorios de IA (OpenAI con Trail of Bits, Anthropic) entran en seguridad.</w:t>
      </w:r>
    </w:p>
    <w:p>
      <w:pPr>
        <w:numPr>
          <w:ilvl w:val="1"/>
          <w:numId w:val="1020"/>
        </w:numPr>
        <w:pStyle w:val="Compact"/>
      </w:pPr>
      <w:r>
        <w:t xml:space="preserve">En contra, tercero: los ataques con IA apuntan justo a los proveedores de identidad, y Okta tiene historial de brechas.</w:t>
      </w:r>
    </w:p>
    <w:p>
      <w:pPr>
        <w:numPr>
          <w:ilvl w:val="1"/>
          <w:numId w:val="1020"/>
        </w:numPr>
        <w:pStyle w:val="Compact"/>
      </w:pPr>
      <w:r>
        <w:t xml:space="preserve">El balance es positivo solo si el cobro por agente se materializa en el ejercicio 2028, como dice la empresa.</w:t>
      </w:r>
    </w:p>
    <w:p>
      <w:pPr>
        <w:numPr>
          <w:ilvl w:val="0"/>
          <w:numId w:val="1019"/>
        </w:numPr>
        <w:pStyle w:val="Compact"/>
      </w:pPr>
      <w:r>
        <w:rPr>
          <w:bCs/>
          <w:b/>
        </w:rPr>
        <w:t xml:space="preserve">Reversión del sentimiento</w:t>
      </w:r>
      <w:r>
        <w:t xml:space="preserve">: con +191 % en 6 meses y una volatilidad del 71 %, una caída del 30-40 % sin que cambie nada en el negocio es plausible. El bajista (−36,8 %) es justamente eso.</w:t>
      </w:r>
    </w:p>
    <w:p>
      <w:pPr>
        <w:numPr>
          <w:ilvl w:val="0"/>
          <w:numId w:val="1019"/>
        </w:numPr>
        <w:pStyle w:val="Compact"/>
      </w:pPr>
      <w:r>
        <w:rPr>
          <w:bCs/>
          <w:b/>
        </w:rPr>
        <w:t xml:space="preserve">Microsoft</w:t>
      </w:r>
      <w:r>
        <w:t xml:space="preserve">: si Entra Agent ID se impone por estar incluida, Okta se queda en un 10 % de crecimiento y el múltiplo vuelve a 5-6 veces.</w:t>
      </w:r>
    </w:p>
    <w:p>
      <w:pPr>
        <w:numPr>
          <w:ilvl w:val="0"/>
          <w:numId w:val="1019"/>
        </w:numPr>
        <w:pStyle w:val="Compact"/>
      </w:pPr>
      <w:r>
        <w:rPr>
          <w:bCs/>
          <w:b/>
        </w:rPr>
        <w:t xml:space="preserve">Venta (tesis rota)</w:t>
      </w:r>
      <w:r>
        <w:t xml:space="preserve">:</w:t>
      </w:r>
    </w:p>
    <w:p>
      <w:pPr>
        <w:numPr>
          <w:ilvl w:val="1"/>
          <w:numId w:val="1021"/>
        </w:numPr>
        <w:pStyle w:val="Compact"/>
      </w:pPr>
      <w:r>
        <w:t xml:space="preserve">el crecimiento baja del 8 % dos trimestres seguidos;</w:t>
      </w:r>
    </w:p>
    <w:p>
      <w:pPr>
        <w:numPr>
          <w:ilvl w:val="1"/>
          <w:numId w:val="1021"/>
        </w:numPr>
        <w:pStyle w:val="Compact"/>
      </w:pPr>
      <w:r>
        <w:t xml:space="preserve">el cRPO crece menos que las ventas dos trimestres seguidos;</w:t>
      </w:r>
    </w:p>
    <w:p>
      <w:pPr>
        <w:numPr>
          <w:ilvl w:val="1"/>
          <w:numId w:val="1021"/>
        </w:numPr>
        <w:pStyle w:val="Compact"/>
      </w:pPr>
      <w:r>
        <w:t xml:space="preserve">la empresa recorta la guía anual;</w:t>
      </w:r>
    </w:p>
    <w:p>
      <w:pPr>
        <w:numPr>
          <w:ilvl w:val="1"/>
          <w:numId w:val="1021"/>
        </w:numPr>
        <w:pStyle w:val="Compact"/>
      </w:pPr>
      <w:r>
        <w:t xml:space="preserve">una brecha de seguridad grave en la propia Okta;</w:t>
      </w:r>
    </w:p>
    <w:p>
      <w:pPr>
        <w:numPr>
          <w:ilvl w:val="1"/>
          <w:numId w:val="1021"/>
        </w:numPr>
        <w:pStyle w:val="Compact"/>
      </w:pPr>
      <w:r>
        <w:t xml:space="preserve">en diciembre, la empresa dice que la identidad de agentes no será material en el ejercicio 2028.</w:t>
      </w:r>
    </w:p>
    <w:bookmarkEnd w:id="31"/>
    <w:bookmarkStart w:id="32" w:name="catalizadores-con-fecha"/>
    <w:p>
      <w:pPr>
        <w:pStyle w:val="Heading2"/>
      </w:pPr>
      <w:r>
        <w:t xml:space="preserve">12. Catalizadores con fecha</w:t>
      </w:r>
    </w:p>
    <w:p>
      <w:pPr>
        <w:numPr>
          <w:ilvl w:val="0"/>
          <w:numId w:val="1022"/>
        </w:numPr>
        <w:pStyle w:val="Compact"/>
      </w:pPr>
      <w:r>
        <w:rPr>
          <w:bCs/>
          <w:b/>
        </w:rPr>
        <w:t xml:space="preserve">~2-dic-2026</w:t>
      </w:r>
      <w:r>
        <w:t xml:space="preserve">: resultados del 3T27 (guía de ventas de 813-817 M y cRPO de 2.590-2.600 M). Se mira si el cRPO sigue en el 13-14 % y qué se dice de los contratos de agentes.</w:t>
      </w:r>
    </w:p>
    <w:p>
      <w:pPr>
        <w:numPr>
          <w:ilvl w:val="0"/>
          <w:numId w:val="1022"/>
        </w:numPr>
        <w:pStyle w:val="Compact"/>
      </w:pPr>
      <w:r>
        <w:rPr>
          <w:bCs/>
          <w:b/>
        </w:rPr>
        <w:t xml:space="preserve">Principios de marzo de 2027</w:t>
      </w:r>
      <w:r>
        <w:t xml:space="preserve">: 4T27 y la primera guía del ejercicio 2028. Es la prueba clave: si guían por encima del 10 % con la IA dentro.</w:t>
      </w:r>
    </w:p>
    <w:p>
      <w:pPr>
        <w:numPr>
          <w:ilvl w:val="0"/>
          <w:numId w:val="1022"/>
        </w:numPr>
        <w:pStyle w:val="Compact"/>
      </w:pPr>
      <w:r>
        <w:rPr>
          <w:bCs/>
          <w:b/>
        </w:rPr>
        <w:t xml:space="preserve">Continuo</w:t>
      </w:r>
      <w:r>
        <w:t xml:space="preserve">: recompras (555 M pendientes) y la adopción de Cross App Access por otros vendedores.</w:t>
      </w:r>
    </w:p>
    <w:bookmarkEnd w:id="32"/>
    <w:bookmarkStart w:id="33" w:name="encaje-en-cartera"/>
    <w:p>
      <w:pPr>
        <w:pStyle w:val="Heading2"/>
      </w:pPr>
      <w:r>
        <w:t xml:space="preserve">13. Encaje en cartera</w:t>
      </w:r>
    </w:p>
    <w:p>
      <w:pPr>
        <w:numPr>
          <w:ilvl w:val="0"/>
          <w:numId w:val="1023"/>
        </w:numPr>
        <w:pStyle w:val="Compact"/>
      </w:pPr>
      <w:r>
        <w:rPr>
          <w:bCs/>
          <w:b/>
        </w:rPr>
        <w:t xml:space="preserve">Bolsillo growth lleno</w:t>
      </w:r>
      <w:r>
        <w:t xml:space="preserve"> </w:t>
      </w:r>
      <w:r>
        <w:t xml:space="preserve">(~20 %,</w:t>
      </w:r>
      <w:r>
        <w:t xml:space="preserve"> </w:t>
      </w:r>
      <w:r>
        <w:rPr>
          <w:rStyle w:val="VerbatimChar"/>
        </w:rPr>
        <w:t xml:space="preserve">cartera-growth.md</w:t>
      </w:r>
      <w:r>
        <w:t xml:space="preserve">): la propuesta vigente compra solo Nu. Las suplentes con más rentabilidad (MongoDB +23 %, Zscaler +16 %, Rubrik +16 %…) sacan el doble que Okta. El listón real para entrar es batir a Snowflake (+16 %, convicción media).</w:t>
      </w:r>
    </w:p>
    <w:p>
      <w:pPr>
        <w:numPr>
          <w:ilvl w:val="0"/>
          <w:numId w:val="1023"/>
        </w:numPr>
        <w:pStyle w:val="Compact"/>
      </w:pPr>
      <w:r>
        <w:rPr>
          <w:bCs/>
          <w:b/>
        </w:rPr>
        <w:t xml:space="preserve">¿Sustituye a alguna?</w:t>
      </w:r>
      <w:r>
        <w:t xml:space="preserve"> </w:t>
      </w:r>
      <w:r>
        <w:t xml:space="preserve">No. Okta da +7,9 % al cierre (+9,2 % a media sesión) con convicción baja, y no pasa el filtro previo (A y D).</w:t>
      </w:r>
    </w:p>
    <w:p>
      <w:pPr>
        <w:numPr>
          <w:ilvl w:val="0"/>
          <w:numId w:val="1023"/>
        </w:numPr>
        <w:pStyle w:val="Compact"/>
      </w:pPr>
      <w:r>
        <w:rPr>
          <w:bCs/>
          <w:b/>
        </w:rPr>
        <w:t xml:space="preserve">Puesto de suplente</w:t>
      </w:r>
      <w:r>
        <w:t xml:space="preserve">: si se incluyera, iría al final de las Comprar, cerca de Braze (+8 %) y Saab (+6 %), y detrás de</w:t>
      </w:r>
      <w:r>
        <w:t xml:space="preserve"> </w:t>
      </w:r>
      <w:r>
        <w:rPr>
          <w:bCs/>
          <w:b/>
        </w:rPr>
        <w:t xml:space="preserve">SailPoint</w:t>
      </w:r>
      <w:r>
        <w:t xml:space="preserve"> </w:t>
      </w:r>
      <w:r>
        <w:t xml:space="preserve">(+11 %), que cubre el mismo sector de identidad, crece el doble y cotiza a 8,2 veces.</w:t>
      </w:r>
    </w:p>
    <w:p>
      <w:pPr>
        <w:numPr>
          <w:ilvl w:val="0"/>
          <w:numId w:val="1023"/>
        </w:numPr>
        <w:pStyle w:val="Compact"/>
      </w:pPr>
      <w:r>
        <w:rPr>
          <w:bCs/>
          <w:b/>
        </w:rPr>
        <w:t xml:space="preserve">Si entrara</w:t>
      </w:r>
      <w:r>
        <w:t xml:space="preserve"> </w:t>
      </w:r>
      <w:r>
        <w:t xml:space="preserve">(no se propone): 3,5 %, entera, por debajo de 217,8 USD. Solo tendría sentido tras una corrección que devolviera el precio cerca de ~175-180 USD. Ahí la ponderada pasaría del 25 % sin cambiar el objetivo, pero el informe no lo convierte en límite: el límite de la regla es 217,8 USD.</w:t>
      </w:r>
    </w:p>
    <w:bookmarkEnd w:id="33"/>
    <w:bookmarkStart w:id="34" w:name="puntuación"/>
    <w:p>
      <w:pPr>
        <w:pStyle w:val="Heading2"/>
      </w:pPr>
      <w:r>
        <w:t xml:space="preserve">14. Puntuación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r>
      <w:tr>
        <w:tc>
          <w:tcPr/>
          <w:p>
            <w:pPr>
              <w:pStyle w:val="Compact"/>
              <w:jc w:val="left"/>
            </w:pPr>
            <w:r>
              <w:t xml:space="preserve">A. Crecimiento</w:t>
            </w:r>
          </w:p>
        </w:tc>
        <w:tc>
          <w:tcPr/>
          <w:p>
            <w:pPr>
              <w:pStyle w:val="Compact"/>
              <w:jc w:val="left"/>
            </w:pPr>
            <w:r>
              <w:t xml:space="preserve">8,3</w:t>
            </w:r>
          </w:p>
        </w:tc>
        <w:tc>
          <w:tcPr/>
          <w:p>
            <w:pPr>
              <w:pStyle w:val="Compact"/>
              <w:jc w:val="left"/>
            </w:pPr>
            <w:r>
              <w:t xml:space="preserve">25</w:t>
            </w:r>
          </w:p>
        </w:tc>
      </w:tr>
      <w:tr>
        <w:tc>
          <w:tcPr/>
          <w:p>
            <w:pPr>
              <w:pStyle w:val="Compact"/>
              <w:jc w:val="left"/>
            </w:pPr>
            <w:r>
              <w:t xml:space="preserve">B. Mercado y tecnología</w:t>
            </w:r>
          </w:p>
        </w:tc>
        <w:tc>
          <w:tcPr/>
          <w:p>
            <w:pPr>
              <w:pStyle w:val="Compact"/>
              <w:jc w:val="left"/>
            </w:pPr>
            <w:r>
              <w:t xml:space="preserve">13,3</w:t>
            </w:r>
          </w:p>
        </w:tc>
        <w:tc>
          <w:tcPr/>
          <w:p>
            <w:pPr>
              <w:pStyle w:val="Compact"/>
              <w:jc w:val="left"/>
            </w:pPr>
            <w:r>
              <w:t xml:space="preserve">20</w:t>
            </w:r>
          </w:p>
        </w:tc>
      </w:tr>
      <w:tr>
        <w:tc>
          <w:tcPr/>
          <w:p>
            <w:pPr>
              <w:pStyle w:val="Compact"/>
              <w:jc w:val="left"/>
            </w:pPr>
            <w:r>
              <w:t xml:space="preserve">C. Cambio de tendencia</w:t>
            </w:r>
          </w:p>
        </w:tc>
        <w:tc>
          <w:tcPr/>
          <w:p>
            <w:pPr>
              <w:pStyle w:val="Compact"/>
              <w:jc w:val="left"/>
            </w:pPr>
            <w:r>
              <w:t xml:space="preserve">15</w:t>
            </w:r>
          </w:p>
        </w:tc>
        <w:tc>
          <w:tcPr/>
          <w:p>
            <w:pPr>
              <w:pStyle w:val="Compact"/>
              <w:jc w:val="left"/>
            </w:pPr>
            <w:r>
              <w:t xml:space="preserve">20</w:t>
            </w:r>
          </w:p>
        </w:tc>
      </w:tr>
      <w:tr>
        <w:tc>
          <w:tcPr/>
          <w:p>
            <w:pPr>
              <w:pStyle w:val="Compact"/>
              <w:jc w:val="left"/>
            </w:pPr>
            <w:r>
              <w:t xml:space="preserve">D. Economía unitaria</w:t>
            </w:r>
          </w:p>
        </w:tc>
        <w:tc>
          <w:tcPr/>
          <w:p>
            <w:pPr>
              <w:pStyle w:val="Compact"/>
              <w:jc w:val="left"/>
            </w:pPr>
            <w:r>
              <w:t xml:space="preserve">13</w:t>
            </w:r>
          </w:p>
        </w:tc>
        <w:tc>
          <w:tcPr/>
          <w:p>
            <w:pPr>
              <w:pStyle w:val="Compact"/>
              <w:jc w:val="left"/>
            </w:pPr>
            <w:r>
              <w:t xml:space="preserve">15</w:t>
            </w:r>
          </w:p>
        </w:tc>
      </w:tr>
      <w:tr>
        <w:tc>
          <w:tcPr/>
          <w:p>
            <w:pPr>
              <w:pStyle w:val="Compact"/>
              <w:jc w:val="left"/>
            </w:pPr>
            <w:r>
              <w:t xml:space="preserve">E. Caja y dilución</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F. Ejecución y dirección</w:t>
            </w:r>
          </w:p>
        </w:tc>
        <w:tc>
          <w:tcPr/>
          <w:p>
            <w:pPr>
              <w:pStyle w:val="Compact"/>
              <w:jc w:val="left"/>
            </w:pPr>
            <w:r>
              <w:t xml:space="preserve">8</w:t>
            </w:r>
          </w:p>
        </w:tc>
        <w:tc>
          <w:tcPr/>
          <w:p>
            <w:pPr>
              <w:pStyle w:val="Compact"/>
              <w:jc w:val="left"/>
            </w:pPr>
            <w:r>
              <w:t xml:space="preserve">10</w:t>
            </w:r>
          </w:p>
        </w:tc>
      </w:tr>
      <w:tr>
        <w:tc>
          <w:tcPr/>
          <w:p>
            <w:pPr>
              <w:pStyle w:val="Compact"/>
              <w:jc w:val="left"/>
            </w:pPr>
            <w:r>
              <w:rPr>
                <w:bCs/>
                <w:b/>
              </w:rPr>
              <w:t xml:space="preserve">Total</w:t>
            </w:r>
          </w:p>
        </w:tc>
        <w:tc>
          <w:tcPr/>
          <w:p>
            <w:pPr>
              <w:pStyle w:val="Compact"/>
              <w:jc w:val="left"/>
            </w:pPr>
            <w:r>
              <w:rPr>
                <w:bCs/>
                <w:b/>
              </w:rPr>
              <w:t xml:space="preserve">67,7</w:t>
            </w:r>
          </w:p>
        </w:tc>
        <w:tc>
          <w:tcPr/>
          <w:p>
            <w:pPr>
              <w:pStyle w:val="Compact"/>
              <w:jc w:val="left"/>
            </w:pPr>
            <w:r>
              <w:rPr>
                <w:bCs/>
                <w:b/>
              </w:rPr>
              <w:t xml:space="preserve">100</w:t>
            </w:r>
          </w:p>
        </w:tc>
      </w:tr>
    </w:tbl>
    <w:p>
      <w:pPr>
        <w:pStyle w:val="BodyText"/>
      </w:pPr>
      <w:r>
        <w:rPr>
          <w:bCs/>
          <w:b/>
        </w:rPr>
        <w:t xml:space="preserve">Prueba de robustez</w:t>
      </w:r>
      <w:r>
        <w:t xml:space="preserve"> </w:t>
      </w:r>
      <w:r>
        <w:t xml:space="preserve">(</w:t>
      </w:r>
      <w:r>
        <w:rPr>
          <w:rStyle w:val="VerbatimChar"/>
        </w:rPr>
        <w:t xml:space="preserve">herramientas/robustez-growth.mjs --precios</w:t>
      </w:r>
      <w:r>
        <w:t xml:space="preserve">):</w:t>
      </w:r>
      <w:r>
        <w:t xml:space="preserve"> </w:t>
      </w:r>
      <w:r>
        <w:rPr>
          <w:bCs/>
          <w:b/>
        </w:rPr>
        <w:t xml:space="preserve">SÓLIDA</w:t>
      </w:r>
      <w:r>
        <w:t xml:space="preserve">, Comprar con cautela (peso pequeño).</w:t>
      </w:r>
      <w:r>
        <w:t xml:space="preserve"> </w:t>
      </w:r>
      <w:r>
        <w:t xml:space="preserve">-</w:t>
      </w:r>
      <w:r>
        <w:t xml:space="preserve"> </w:t>
      </w:r>
      <w:r>
        <w:rPr>
          <w:bCs/>
          <w:b/>
        </w:rPr>
        <w:t xml:space="preserve">Variantes</w:t>
      </w:r>
      <w:r>
        <w:t xml:space="preserve">: v7 +8,4 / +11,2 % (Comprar); ventas del analista +9,4 / +10,2 % (Comprar); precio de hoy con el objetivo fijo +9,2 / +11,5 % (Comprar);</w:t>
      </w:r>
      <w:r>
        <w:t xml:space="preserve"> </w:t>
      </w:r>
      <w:r>
        <w:rPr>
          <w:bCs/>
          <w:b/>
        </w:rPr>
        <w:t xml:space="preserve">pesos 35/50/15: −0,6 / +10,2 % (Mantener)</w:t>
      </w:r>
      <w:r>
        <w:t xml:space="preserve">.</w:t>
      </w:r>
      <w:r>
        <w:t xml:space="preserve"> </w:t>
      </w:r>
      <w:r>
        <w:t xml:space="preserve">-</w:t>
      </w:r>
      <w:r>
        <w:t xml:space="preserve"> </w:t>
      </w:r>
      <w:r>
        <w:rPr>
          <w:bCs/>
          <w:b/>
        </w:rPr>
        <w:t xml:space="preserve">Avisos</w:t>
      </w:r>
      <w:r>
        <w:t xml:space="preserve">:</w:t>
      </w:r>
      <w:r>
        <w:t xml:space="preserve"> </w:t>
      </w:r>
      <w:r>
        <w:t xml:space="preserve">- G2: el objetivo se mueve con el precio, así que se deja fijo en 228,7 USD y el límite es 217,8 USD.</w:t>
      </w:r>
      <w:r>
        <w:t xml:space="preserve"> </w:t>
      </w:r>
      <w:r>
        <w:t xml:space="preserve">- G5: sube un 138 % en 12 meses.</w:t>
      </w:r>
      <w:r>
        <w:t xml:space="preserve"> </w:t>
      </w:r>
      <w:r>
        <w:t xml:space="preserve">- G8: el precio descuenta un 13 % anual a 10 años, más que el crecimiento al final del periodo (10 %).</w:t>
      </w:r>
      <w:r>
        <w:t xml:space="preserve"> </w:t>
      </w:r>
      <w:r>
        <w:t xml:space="preserve">- G9: convicción baja, peso 3,5 % entero.</w:t>
      </w:r>
      <w:r>
        <w:t xml:space="preserve"> </w:t>
      </w:r>
      <w:r>
        <w:t xml:space="preserve">- P1.</w:t>
      </w:r>
      <w:r>
        <w:t xml:space="preserve"> </w:t>
      </w:r>
      <w:r>
        <w:t xml:space="preserve">-</w:t>
      </w:r>
      <w:r>
        <w:t xml:space="preserve"> </w:t>
      </w:r>
      <w:r>
        <w:rPr>
          <w:bCs/>
          <w:b/>
        </w:rPr>
        <w:t xml:space="preserve">Aguante</w:t>
      </w:r>
      <w:r>
        <w:t xml:space="preserve">: con unas ventas un 10 % más bajas en los tres escenarios (el equivalente growth del BPA −10 %), ponderada −2,3 %, base −0,3 %:</w:t>
      </w:r>
      <w:r>
        <w:t xml:space="preserve"> </w:t>
      </w:r>
      <w:r>
        <w:rPr>
          <w:bCs/>
          <w:b/>
        </w:rPr>
        <w:t xml:space="preserve">Mantener</w:t>
      </w:r>
      <w:r>
        <w:t xml:space="preserve">, con compra hasta 197,2 USD. No aguanta.</w:t>
      </w:r>
    </w:p>
    <w:bookmarkEnd w:id="34"/>
    <w:bookmarkStart w:id="35" w:name="fuentes"/>
    <w:p>
      <w:pPr>
        <w:pStyle w:val="Heading2"/>
      </w:pPr>
      <w:r>
        <w:t xml:space="preserve">Fuentes</w:t>
      </w:r>
    </w:p>
    <w:p>
      <w:pPr>
        <w:pStyle w:val="FirstParagraph"/>
      </w:pPr>
      <w:r>
        <w:t xml:space="preserve">[1] Okta, nota de resultados del 2T del ejercicio 2027 (26-ago-2026), 8-K ex. 99.1 (SEC, leída directamente): ventas 805 M USD (+11 %), RPO 4.858 M (+17 %), cRPO 2.585 M (+14 %), beneficio bruto 641 M, beneficio operativo GAAP 107 M y no GAAP 226 M, FCF 227 M; pagos en acciones 114 M (231 M en el semestre); caja e inversiones 2.299 M; convertibles 2026 liquidados (350 M); recompras de 372 M en el semestre; guía 3T 813-817 M y año 3.216-3.226 M, FCF 910-930 M.</w:t>
      </w:r>
      <w:r>
        <w:t xml:space="preserve"> </w:t>
      </w:r>
      <w:r>
        <w:t xml:space="preserve">[2] Okta, notas de resultados del 1T27 (28-may-2026), 4T26 (4-mar-2026), 3T26 (2-dic-2025) y 1T26 (27-may-2025), 8-K ex. 99.1 (SEC): guías trimestrales y anuales, y caja por trimestre.</w:t>
      </w:r>
      <w:r>
        <w:t xml:space="preserve"> </w:t>
      </w:r>
      <w:r>
        <w:t xml:space="preserve">[3] SEC XBRL companyfacts (CIK 1660134): ventas, beneficio bruto, resultado operativo, flujo de caja operativo, pagos en acciones, acciones diluidas, caja y convertibles por trimestre de 2022 a 2026.</w:t>
      </w:r>
      <w:r>
        <w:t xml:space="preserve"> </w:t>
      </w:r>
      <w:r>
        <w:t xml:space="preserve">[4] SEC, 8-K del 14-sep-2026 (punto 5.02): dimisión de Emilie Choi y nombramiento de Helen Riley.</w:t>
      </w:r>
      <w:r>
        <w:t xml:space="preserve"> </w:t>
      </w:r>
      <w:r>
        <w:t xml:space="preserve">[5] SEC, formularios 4 y 144 de directivos (junio-octubre de 2026; McKinnon, Tighe y Ninan con planes 10b5-1) y Schedule 13G/A de FMR (agosto de 2026).</w:t>
      </w:r>
      <w:r>
        <w:t xml:space="preserve"> </w:t>
      </w:r>
      <w:r>
        <w:t xml:space="preserve">[6] Yahoo Finance chart API (OKTA, QQQ e IGV, diario a 5 años; leída el 15-oct a las 16:40 UTC): cierre del 14-oct 211,91 USD; mínimo de 12 meses 62,93 (10-abr); máximo 232,13 (9-oct). Segunda fuente: Motley Fool (15-oct, 12:23 ET, 208,08 USD, −3,84 sobre un cierre de 211,92).</w:t>
      </w:r>
      <w:r>
        <w:t xml:space="preserve"> </w:t>
      </w:r>
      <w:r>
        <w:t xml:space="preserve">[7] MarketBeat, operaciones de directivos de OKTA (15-oct-2026): una compra de ~0,27 M USD y ~54,9 M de ventas de seis directivos en 12 meses.</w:t>
      </w:r>
      <w:r>
        <w:t xml:space="preserve"> </w:t>
      </w:r>
      <w:r>
        <w:t xml:space="preserve">[8] MarketBeat (15-oct-2026): objetivo medio 201,10 USD (43 analistas; 120,42 el 17-jul) y cambios de recomendación. StockAnalysis (15-oct): objetivo medio 212,60, ventas del ejercicio 2027 3.220 M y del 2028 3.550 M.</w:t>
      </w:r>
      <w:r>
        <w:t xml:space="preserve"> </w:t>
      </w:r>
      <w:r>
        <w:t xml:space="preserve">[9] Investing.com, resumen de The Oktane Call 2026 Investor Summit (23-sep-2026): cuotas, sobreprecio de agentes y competidores.</w:t>
      </w:r>
      <w:r>
        <w:t xml:space="preserve"> </w:t>
      </w:r>
      <w:r>
        <w:t xml:space="preserve">[10] TIKR (27-ago-2026), Motley Fool (29-may y 18-sep-2026): contratación, clientes de más de 1 M, productos nuevos, contratos de agentes y recompras.</w:t>
      </w:r>
      <w:r>
        <w:t xml:space="preserve"> </w:t>
      </w:r>
      <w:r>
        <w:t xml:space="preserve">[11] StockTwits (API pública, 15-oct-2026); Barchart, Kavout, TIKR ES y Método Viral (ago-oct 2026). Reddit y Rankia: laguna.</w:t>
      </w:r>
      <w:r>
        <w:t xml:space="preserve"> </w:t>
      </w:r>
      <w:r>
        <w:t xml:space="preserve">[12] Cálculo propio: EV, ventas de los próximos 12 meses, EV/ventas histórico diario desde oct-2023 y DCF inverso.</w:t>
      </w:r>
      <w:r>
        <w:t xml:space="preserve"> </w:t>
      </w:r>
      <w:r>
        <w:t xml:space="preserve">[13] Comparables de los informes growth del repo (SailPoint, Zscaler, Rubrik, CrowdStrike; 14-15 oct). Compra de Permiso (TIKR/TechCrunch, 30-jul-2026).</w:t>
      </w:r>
      <w:r>
        <w:t xml:space="preserve"> </w:t>
      </w:r>
      <w:r>
        <w:t xml:space="preserve">[14] DE MEMORIA (no verificado en esta sesión): mercado alcanzable de ~40.000 M USD en 2028; retención neta ~106 %; consenso de la ventana ago-2027 a jul-2028 (~3.720 M), interpolado.</w:t>
      </w:r>
      <w:r>
        <w:t xml:space="preserve"> </w:t>
      </w:r>
      <w:r>
        <w:t xml:space="preserve">[15] Yahoo Finance, StockTwits News y TradingView (14-15-oct-2026): venta de la ciberseguridad por las conversaciones de OpenAI para comprar Trail of Bits.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821">
    <w:nsid w:val="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822">
    <w:nsid w:val="A99822"/>
    <w:multiLevelType w:val="multilevel"/>
    <w:lvl w:ilvl="0">
      <w:start w:val="2"/>
      <w:numFmt w:val="upperLetter"/>
      <w:lvlText w:val="%1)"/>
      <w:lvlJc w:val="left"/>
      <w:pPr>
        <w:ind w:left="720" w:hanging="480"/>
      </w:pPr>
    </w:lvl>
    <w:lvl w:ilvl="1">
      <w:start w:val="2"/>
      <w:numFmt w:val="upperLetter"/>
      <w:lvlText w:val="%2)"/>
      <w:lvlJc w:val="left"/>
      <w:pPr>
        <w:ind w:left="1440" w:hanging="480"/>
      </w:pPr>
    </w:lvl>
    <w:lvl w:ilvl="2">
      <w:start w:val="2"/>
      <w:numFmt w:val="upperLetter"/>
      <w:lvlText w:val="%3)"/>
      <w:lvlJc w:val="left"/>
      <w:pPr>
        <w:ind w:left="2160" w:hanging="480"/>
      </w:pPr>
    </w:lvl>
    <w:lvl w:ilvl="3">
      <w:start w:val="2"/>
      <w:numFmt w:val="upperLetter"/>
      <w:lvlText w:val="%4)"/>
      <w:lvlJc w:val="left"/>
      <w:pPr>
        <w:ind w:left="2880" w:hanging="480"/>
      </w:pPr>
    </w:lvl>
    <w:lvl w:ilvl="4">
      <w:start w:val="2"/>
      <w:numFmt w:val="upperLetter"/>
      <w:lvlText w:val="%5)"/>
      <w:lvlJc w:val="left"/>
      <w:pPr>
        <w:ind w:left="3600" w:hanging="480"/>
      </w:pPr>
    </w:lvl>
    <w:lvl w:ilvl="5">
      <w:start w:val="2"/>
      <w:numFmt w:val="upperLetter"/>
      <w:lvlText w:val="%6)"/>
      <w:lvlJc w:val="left"/>
      <w:pPr>
        <w:ind w:left="4320" w:hanging="480"/>
      </w:pPr>
    </w:lvl>
    <w:lvl w:ilvl="6">
      <w:start w:val="2"/>
      <w:numFmt w:val="upperLetter"/>
      <w:lvlText w:val="%7)"/>
      <w:lvlJc w:val="left"/>
      <w:pPr>
        <w:ind w:left="5040" w:hanging="480"/>
      </w:pPr>
    </w:lvl>
    <w:lvl w:ilvl="7">
      <w:start w:val="2"/>
      <w:numFmt w:val="upperLetter"/>
      <w:lvlText w:val="%8)"/>
      <w:lvlJc w:val="left"/>
      <w:pPr>
        <w:ind w:left="5760" w:hanging="480"/>
      </w:pPr>
    </w:lvl>
    <w:lvl w:ilvl="8">
      <w:start w:val="2"/>
      <w:numFmt w:val="upperLetter"/>
      <w:lvlText w:val="%9)"/>
      <w:lvlJc w:val="left"/>
      <w:pPr>
        <w:ind w:left="6480" w:hanging="480"/>
      </w:pPr>
    </w:lvl>
  </w:abstractNum>
  <w:abstractNum w:abstractNumId="99823">
    <w:nsid w:val="A99823"/>
    <w:multiLevelType w:val="multilevel"/>
    <w:lvl w:ilvl="0">
      <w:start w:val="3"/>
      <w:numFmt w:val="upperLetter"/>
      <w:lvlText w:val="%1)"/>
      <w:lvlJc w:val="left"/>
      <w:pPr>
        <w:ind w:left="720" w:hanging="480"/>
      </w:pPr>
    </w:lvl>
    <w:lvl w:ilvl="1">
      <w:start w:val="3"/>
      <w:numFmt w:val="upperLetter"/>
      <w:lvlText w:val="%2)"/>
      <w:lvlJc w:val="left"/>
      <w:pPr>
        <w:ind w:left="1440" w:hanging="480"/>
      </w:pPr>
    </w:lvl>
    <w:lvl w:ilvl="2">
      <w:start w:val="3"/>
      <w:numFmt w:val="upperLetter"/>
      <w:lvlText w:val="%3)"/>
      <w:lvlJc w:val="left"/>
      <w:pPr>
        <w:ind w:left="2160" w:hanging="480"/>
      </w:pPr>
    </w:lvl>
    <w:lvl w:ilvl="3">
      <w:start w:val="3"/>
      <w:numFmt w:val="upperLetter"/>
      <w:lvlText w:val="%4)"/>
      <w:lvlJc w:val="left"/>
      <w:pPr>
        <w:ind w:left="2880" w:hanging="480"/>
      </w:pPr>
    </w:lvl>
    <w:lvl w:ilvl="4">
      <w:start w:val="3"/>
      <w:numFmt w:val="upperLetter"/>
      <w:lvlText w:val="%5)"/>
      <w:lvlJc w:val="left"/>
      <w:pPr>
        <w:ind w:left="3600" w:hanging="480"/>
      </w:pPr>
    </w:lvl>
    <w:lvl w:ilvl="5">
      <w:start w:val="3"/>
      <w:numFmt w:val="upperLetter"/>
      <w:lvlText w:val="%6)"/>
      <w:lvlJc w:val="left"/>
      <w:pPr>
        <w:ind w:left="4320" w:hanging="480"/>
      </w:pPr>
    </w:lvl>
    <w:lvl w:ilvl="6">
      <w:start w:val="3"/>
      <w:numFmt w:val="upperLetter"/>
      <w:lvlText w:val="%7)"/>
      <w:lvlJc w:val="left"/>
      <w:pPr>
        <w:ind w:left="5040" w:hanging="480"/>
      </w:pPr>
    </w:lvl>
    <w:lvl w:ilvl="7">
      <w:start w:val="3"/>
      <w:numFmt w:val="upperLetter"/>
      <w:lvlText w:val="%8)"/>
      <w:lvlJc w:val="left"/>
      <w:pPr>
        <w:ind w:left="5760" w:hanging="480"/>
      </w:pPr>
    </w:lvl>
    <w:lvl w:ilvl="8">
      <w:start w:val="3"/>
      <w:numFmt w:val="upperLetter"/>
      <w:lvlText w:val="%9)"/>
      <w:lvlJc w:val="left"/>
      <w:pPr>
        <w:ind w:left="6480" w:hanging="480"/>
      </w:pPr>
    </w:lvl>
  </w:abstractNum>
  <w:abstractNum w:abstractNumId="99824">
    <w:nsid w:val="A99824"/>
    <w:multiLevelType w:val="multilevel"/>
    <w:lvl w:ilvl="0">
      <w:start w:val="4"/>
      <w:numFmt w:val="upperLetter"/>
      <w:lvlText w:val="%1)"/>
      <w:lvlJc w:val="left"/>
      <w:pPr>
        <w:ind w:left="720" w:hanging="480"/>
      </w:pPr>
    </w:lvl>
    <w:lvl w:ilvl="1">
      <w:start w:val="4"/>
      <w:numFmt w:val="upperLetter"/>
      <w:lvlText w:val="%2)"/>
      <w:lvlJc w:val="left"/>
      <w:pPr>
        <w:ind w:left="1440" w:hanging="480"/>
      </w:pPr>
    </w:lvl>
    <w:lvl w:ilvl="2">
      <w:start w:val="4"/>
      <w:numFmt w:val="upperLetter"/>
      <w:lvlText w:val="%3)"/>
      <w:lvlJc w:val="left"/>
      <w:pPr>
        <w:ind w:left="2160" w:hanging="480"/>
      </w:pPr>
    </w:lvl>
    <w:lvl w:ilvl="3">
      <w:start w:val="4"/>
      <w:numFmt w:val="upperLetter"/>
      <w:lvlText w:val="%4)"/>
      <w:lvlJc w:val="left"/>
      <w:pPr>
        <w:ind w:left="2880" w:hanging="480"/>
      </w:pPr>
    </w:lvl>
    <w:lvl w:ilvl="4">
      <w:start w:val="4"/>
      <w:numFmt w:val="upperLetter"/>
      <w:lvlText w:val="%5)"/>
      <w:lvlJc w:val="left"/>
      <w:pPr>
        <w:ind w:left="3600" w:hanging="480"/>
      </w:pPr>
    </w:lvl>
    <w:lvl w:ilvl="5">
      <w:start w:val="4"/>
      <w:numFmt w:val="upperLetter"/>
      <w:lvlText w:val="%6)"/>
      <w:lvlJc w:val="left"/>
      <w:pPr>
        <w:ind w:left="4320" w:hanging="480"/>
      </w:pPr>
    </w:lvl>
    <w:lvl w:ilvl="6">
      <w:start w:val="4"/>
      <w:numFmt w:val="upperLetter"/>
      <w:lvlText w:val="%7)"/>
      <w:lvlJc w:val="left"/>
      <w:pPr>
        <w:ind w:left="5040" w:hanging="480"/>
      </w:pPr>
    </w:lvl>
    <w:lvl w:ilvl="7">
      <w:start w:val="4"/>
      <w:numFmt w:val="upperLetter"/>
      <w:lvlText w:val="%8)"/>
      <w:lvlJc w:val="left"/>
      <w:pPr>
        <w:ind w:left="5760" w:hanging="480"/>
      </w:pPr>
    </w:lvl>
    <w:lvl w:ilvl="8">
      <w:start w:val="4"/>
      <w:numFmt w:val="upp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2026-10-15T16:48:22Z</dcterms:created>
  <dcterms:modified xsi:type="dcterms:W3CDTF">2026-10-15T16:48:22Z</dcterms:modified>
</cp:coreProperties>
</file>

<file path=docProps/custom.xml><?xml version="1.0" encoding="utf-8"?>
<Properties xmlns="http://schemas.openxmlformats.org/officeDocument/2006/custom-properties" xmlns:vt="http://schemas.openxmlformats.org/officeDocument/2006/docPropsVTypes"/>
</file>