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Advantest Corporation</w:t>
      </w:r>
    </w:p>
    <w:p>
      <w:pPr>
        <w:spacing w:after="60"/>
        <w:rPr>
          <w:color w:val="52514E"/>
          <w:sz w:val="22"/>
          <w:szCs w:val="22"/>
        </w:rPr>
      </w:pPr>
      <w:r>
        <w:rPr>
          <w:color w:val="52514E"/>
          <w:sz w:val="22"/>
          <w:szCs w:val="22"/>
        </w:rPr>
        <w:t xml:space="preserve">6857 · Bolsa de Tokio (Prime) · ISIN JP3122400009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34.340,00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28.640,86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-16,4 % (base -2,6 %)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14.586,19 JPY · mercado 16.466,57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24.786.612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23,4x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Advantest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6857 / JP3122400009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(Chiyoda) · 1954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https://www.advantest.com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34.340,00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16.325,00 – 41.990,00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24.786.612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24.212.602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354.700 M JPY/día (3 meses)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28.640,86 JPY</w:t>
      </w:r>
      <w:r>
        <w:t xml:space="preserve"> frente a 34.340,00 · Rentabilidad a 12 meses </w:t>
      </w:r>
      <w:r>
        <w:rPr>
          <w:b/>
          <w:bCs/>
        </w:rPr>
        <w:t xml:space="preserve">-16,4 % (base -2,6 %)</w:t>
      </w:r>
      <w:r>
        <w:t xml:space="preserve"> · Valor intrínseco 14.586,19 JPY · con la prima implícita del mercado: 16.466,57 (-52,0 %) · Alcista / bajista -61,9 % / -83,3 %</w:t>
      </w:r>
    </w:p>
    <w:p>
      <w:pPr>
        <w:spacing w:after="100"/>
      </w:pPr>
      <w:r>
        <w:rPr>
          <w:b/>
        </w:rPr>
        <w:t xml:space="preserve">La recomendación y por qué.</w:t>
      </w:r>
      <w:r>
        <w:t xml:space="preserve"> Vender (para quien no la tiene: no comprar), con convicción media. El objetivo a 12 meses es de 28.641 JPY (ponderado), un 16,4 % por debajo del precio de 34.340 JPY del 15-oct; el base, 33.385 JPY (−2,6 %). El valor intrínseco es de 14.586 JPY, y el objetivo medio de los analistas, 42.686 JPY [25], queda por encima de todo nuestro rango salvo el máximo. La asimetría es de 0,16: se pierde mucho más en el bajista (−72,6 %) que lo que se gana en el alcista (+12,1 %). La razón principal: el precio paga un crecimiento del 32,5 % anual durante diez años en un negocio que ha demostrado ser cíclico. La convicción no es alta, como sugiere el motor, porque el bajista usa un PER de 12,6 veces que sale de un año en que el beneficio se duplicó; subiría si el mercado de testers de 2027 que se publica en enero no crece, y bajaría si la guía del 28-oct apunta a otro año de +30 %.</w:t>
      </w:r>
    </w:p>
    <w:p>
      <w:pPr>
        <w:spacing w:after="100"/>
      </w:pPr>
      <w:r>
        <w:rPr>
          <w:b/>
        </w:rPr>
        <w:t xml:space="preserve">El negocio.</w:t>
      </w:r>
      <w:r>
        <w:t xml:space="preserve"> Es un duopolio con Teradyne en el que Advantest tiene el 65 % del mercado de testers y el 66 % en SoC [10], un ROIC del 88,7 % frente a un WACC del 11,22 % y un margen operativo del 44,2 % en FY2025, que llegó al 51,7 % en el 1T FY2026 [1, 8]. El foso es amplio: cambiar de tester obliga al cliente a rehacer su entorno de producción [16]. La calidad sostiene el crecimiento que proyectamos (sostenibilidad: Sí): el crecimiento medio del 10,3 % está por debajo del financiable (14,9 %) y del histórico.</w:t>
      </w:r>
    </w:p>
    <w:p>
      <w:pPr>
        <w:spacing w:after="100"/>
      </w:pPr>
      <w:r>
        <w:rPr>
          <w:b/>
        </w:rPr>
        <w:t xml:space="preserve">Sector y ciclo.</w:t>
      </w:r>
      <w:r>
        <w:t xml:space="preserve"> El mercado de testers pasó de 4.400 M USD en 2023 a 9.000 M en 2025 y la empresa espera 13.000-14.500 M en 2026 [6, 8, 10]: estamos en la parte alta de un ciclo que en 2023 bajó un 15 % y llevó el resultado operativo a la mitad.</w:t>
      </w:r>
    </w:p>
    <w:p>
      <w:pPr>
        <w:spacing w:after="100"/>
      </w:pPr>
      <w:r>
        <w:rPr>
          <w:b/>
        </w:rPr>
        <w:t xml:space="preserve">Valoración.</w:t>
      </w:r>
      <w:r>
        <w:t xml:space="preserve"> El DCF da 10.061 JPY; el inverso exige un crecimiento del 32,5 % anual frente a nuestro 10,3 %, y con nuestro crecimiento ningún margen hasta el 70 % justifica el precio. Por PER de los comparables saldrían 33.177 JPY: el sector entero cotiza a 27-35 veces beneficios de máximos. Nuestro BPA de FY2028e (1.094,6) está un 21 % por debajo del consenso porque suponemos que la capacidad de los clientes se pone al día.</w:t>
      </w:r>
    </w:p>
    <w:p>
      <w:pPr>
        <w:spacing w:after="100"/>
      </w:pPr>
      <w:r>
        <w:rPr>
          <w:b/>
        </w:rPr>
        <w:t xml:space="preserve">Riesgos y catalizadores.</w:t>
      </w:r>
      <w:r>
        <w:t xml:space="preserve"> El riesgo dominante es el fin del ciclo de inversión en IA: el 15-oct la acción cayó un 15 % por la deuda de CoreWeave, sin noticia propia [36, 37]. Los resultados del 28-oct no aplazan la decisión. En los foros, el tono ha pasado de la euforia a la duda sobre la burbuja; no aporta riesgos nuevos.</w:t>
      </w:r>
    </w:p>
    <w:p>
      <w:pPr>
        <w:spacing w:after="100"/>
      </w:pPr>
      <w:r>
        <w:rPr>
          <w:b/>
        </w:rPr>
        <w:t xml:space="preserve">Qué cambiaría la decisión.</w:t>
      </w:r>
      <w:r>
        <w:t xml:space="preserve"> Compraríamos por debajo de 14.586 JPY y venderíamos (o no compraríamos) por encima de 31.889 JPY. Cambiaría la tesis una guía de FY2027 que confirme ventas por encima de 2,2 billones con el margen operativo por encima del 45 %, o un PER que baje a 25 veces sin recorte del beneficio.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28.640,86 JPY</w:t>
      </w:r>
      <w:r>
        <w:t xml:space="preserve"> (rentabilidad -16,4 % (base -2,6 %)) · Valor intrínseco: 14.586,19 JPY (-57,5 % sobre 34.340,00) · con la prima implícita del mercado: 16.466,57 (-52,0 %)</w:t>
      </w:r>
    </w:p>
    <w:p>
      <w:pPr>
        <w:spacing w:after="100"/>
      </w:pPr>
      <w:r>
        <w:t xml:space="preserve">Advantest es el líder mundial de las máquinas que prueban los chips: el 65 % del mercado de testers, un duopolio con Teradyne, y el proveedor mayoritario del test de los aceleradores de IA [10]. La IA multiplicó sus ventas por 2,3 en dos años (de 486.507 M en FY2023 a 1.128.610 M en FY2025) y su margen operativo del 16,8 % al 44,2 % [1, 3], con un ROIC del 88,7 %.</w:t>
      </w:r>
    </w:p>
    <w:p>
      <w:pPr>
        <w:spacing w:after="100"/>
      </w:pPr>
      <w:r>
        <w:t xml:space="preserve">El precio de 34.340 JPY descuenta mucho más: un PER de 33,6 veces sobre nuestro BPA de FY2027e, frente a una mediana de 23,8 veces en cinco años, y un DCF inverso que exige un 32,5 % de crecimiento anual durante diez años. Es decir, que el negocio deja de ser cíclico.</w:t>
      </w:r>
    </w:p>
    <w:p>
      <w:pPr>
        <w:spacing w:after="100"/>
      </w:pPr>
      <w:r>
        <w:t xml:space="preserve">Para invertir hay que creer que la IA de inferencia y los ASIC propios mantendrán la inversión en testers creciendo a ese ritmo una década. Nosotros creemos que el contenido de test por chip sí crece de forma estructural, pero que las compras de capacidad de 2025-2026 tendrán su corrección, como en FY2023. El mercado acierta en la calidad y se equivoca en el horizonte.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28.640,86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741,60 = 9.344,16 · 30,5x × 1.094,60 = 33.385,30 · 30,7x × 1.252,40 = 38.448,68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42.685,71 (nuestro base -21,8 %)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14.586,19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 / -83,3 %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11,2 %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16.466,57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-57,4 % (-51,9 % con la prima del mercado) y el precio pide 22,2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14.586,19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14.586,19 y 31.888,73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31.888,73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14.586 JPY: Comprar (ponderada ≥ 15 %, base ≥ 12 % y precio ≤ valor intrínseco).</w:t>
      </w:r>
    </w:p>
    <w:p>
      <w:pPr>
        <w:pStyle w:val="ListParagraph"/>
        <w:numPr>
          <w:ilvl w:val="0"/>
          <w:numId w:val="2"/>
        </w:numPr>
        <w:spacing w:after="60"/>
      </w:pPr>
      <w:r>
        <w:t xml:space="preserve">Precio entre 14.586 y 31.889 JPY: Mantener.</w:t>
      </w:r>
    </w:p>
    <w:p>
      <w:pPr>
        <w:pStyle w:val="ListParagraph"/>
        <w:numPr>
          <w:ilvl w:val="0"/>
          <w:numId w:val="2"/>
        </w:numPr>
        <w:spacing w:after="60"/>
      </w:pPr>
      <w:r>
        <w:t xml:space="preserve">Previsión del mercado de testers de 2027 por encima de 16.000 M USD con el margen operativo por encima del 45 %: revisaríamos al alza el BPA de FY2028e.</w:t>
      </w:r>
    </w:p>
    <w:p>
      <w:pPr>
        <w:pStyle w:val="ListParagraph"/>
        <w:numPr>
          <w:ilvl w:val="0"/>
          <w:numId w:val="2"/>
        </w:numPr>
        <w:spacing w:after="60"/>
      </w:pPr>
      <w:r>
        <w:t xml:space="preserve">Ventas trimestrales por debajo de 300.000 M o margen bruto por debajo del 60 %: bajaríamos el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32,5 % anual durante diez años con márgenes de máximos, y un sector de equipos que sigue cotizando a 30 veces beneficios aunque el beneficio esté en el pico del ciclo.</w:t>
      </w:r>
    </w:p>
    <w:p>
      <w:pPr>
        <w:keepNext/>
        <w:spacing w:after="100"/>
      </w:pPr>
      <w:r>
        <w:rPr>
          <w:b/>
          <w:bCs/>
        </w:rPr>
        <w:t xml:space="preserve">Lo que creemos nosotros.</w:t>
      </w:r>
    </w:p>
    <w:p>
      <w:pPr>
        <w:spacing w:after="100"/>
      </w:pPr>
      <w:r>
        <w:t xml:space="preserve">Dos años más de crecimiento decreciente (22 % y 10 %), una corrección del 10 % en FY2029e y un margen EBITDA que converge al 40 %: un negocio excelente, pero cíclico.</w:t>
      </w:r>
    </w:p>
    <w:p>
      <w:pPr>
        <w:keepNext/>
        <w:spacing w:after="100"/>
      </w:pPr>
      <w:r>
        <w:rPr>
          <w:b/>
          <w:bCs/>
        </w:rPr>
        <w:t xml:space="preserve">Por qué podemos tener razón.</w:t>
      </w:r>
    </w:p>
    <w:p>
      <w:pPr>
        <w:spacing w:after="100"/>
      </w:pPr>
      <w:r>
        <w:t xml:space="preserve">Porque el mercado de testers ya ha pasado de 4.400 M USD en 2023 a una previsión de 13.000-14.500 M en 2026 [6, 8]; porque la propia empresa trabaja con colchones de capacidad y previsiones de 18 meses de sus clientes [9], que es como se forman los excesos; y porque la caída del 15 % del 15-oct muestra lo sensible que es el precio a la financiación de la 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34.3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cuota creciente</w:t>
      </w:r>
      <w:r>
        <w:t xml:space="preserve">: 66 % en testers de SoC en 2025, +10 puntos en un año [10].</w:t>
      </w:r>
    </w:p>
    <w:p>
      <w:pPr>
        <w:pStyle w:val="ListParagraph"/>
        <w:numPr>
          <w:ilvl w:val="0"/>
          <w:numId w:val="2"/>
        </w:numPr>
        <w:spacing w:after="60"/>
      </w:pPr>
      <w:r>
        <w:rPr>
          <w:b/>
        </w:rPr>
        <w:t xml:space="preserve">Rentabilidad excepcional</w:t>
      </w:r>
      <w:r>
        <w:t xml:space="preserve">: ROIC del 88,7 % y margen operativo del 51,7 % en el 1T FY2026 [8].</w:t>
      </w:r>
    </w:p>
    <w:p>
      <w:pPr>
        <w:pStyle w:val="ListParagraph"/>
        <w:numPr>
          <w:ilvl w:val="0"/>
          <w:numId w:val="2"/>
        </w:numPr>
        <w:spacing w:after="60"/>
      </w:pPr>
      <w:r>
        <w:rPr>
          <w:b/>
        </w:rPr>
        <w:t xml:space="preserve">Balance sin riesgo</w:t>
      </w:r>
      <w:r>
        <w:t xml:space="preserve">: caja y títulos de deuda de 500.941 M frente a 100.000 M de convertible [7].</w:t>
      </w:r>
    </w:p>
    <w:p>
      <w:pPr>
        <w:pStyle w:val="ListParagraph"/>
        <w:numPr>
          <w:ilvl w:val="0"/>
          <w:numId w:val="2"/>
        </w:numPr>
        <w:spacing w:after="60"/>
      </w:pPr>
      <w:r>
        <w:rPr>
          <w:b/>
        </w:rPr>
        <w:t xml:space="preserve">Demanda estructural</w:t>
      </w:r>
      <w:r>
        <w:t xml:space="preserve">: el contenido de test por chip crece con el empaquetado avanzado y la HBM [8, 9].</w:t>
      </w:r>
    </w:p>
    <w:p>
      <w:pPr>
        <w:pStyle w:val="ListParagraph"/>
        <w:numPr>
          <w:ilvl w:val="0"/>
          <w:numId w:val="2"/>
        </w:numPr>
        <w:spacing w:after="60"/>
      </w:pPr>
      <w:r>
        <w:rPr>
          <w:b/>
        </w:rPr>
        <w:t xml:space="preserve">Dirección que bate su guía</w:t>
      </w:r>
      <w:r>
        <w:t xml:space="preserve">: la de FY2026 ya se subió de 1.420.000 M a 1.714.000 M de ventas [7].</w:t>
      </w:r>
    </w:p>
    <w:p>
      <w:pPr>
        <w:pStyle w:val="Heading2"/>
      </w:pPr>
      <w:r>
        <w:t xml:space="preserve">En contra</w:t>
      </w:r>
    </w:p>
    <w:p>
      <w:pPr>
        <w:pStyle w:val="ListParagraph"/>
        <w:numPr>
          <w:ilvl w:val="0"/>
          <w:numId w:val="2"/>
        </w:numPr>
        <w:spacing w:after="60"/>
      </w:pPr>
      <w:r>
        <w:rPr>
          <w:b/>
        </w:rPr>
        <w:t xml:space="preserve">Precio que exige otra década de IA</w:t>
      </w:r>
      <w:r>
        <w:t xml:space="preserve">: DCF inverso con un crecimiento del 32,5 % anual frente al 10,3 % de nuestro base.</w:t>
      </w:r>
    </w:p>
    <w:p>
      <w:pPr>
        <w:pStyle w:val="ListParagraph"/>
        <w:numPr>
          <w:ilvl w:val="0"/>
          <w:numId w:val="2"/>
        </w:numPr>
        <w:spacing w:after="60"/>
      </w:pPr>
      <w:r>
        <w:rPr>
          <w:b/>
        </w:rPr>
        <w:t xml:space="preserve">Ciclo</w:t>
      </w:r>
      <w:r>
        <w:t xml:space="preserve">: en FY2023 las ventas cayeron un 13,2 % y el resultado operativo un 51,3 % [3].</w:t>
      </w:r>
    </w:p>
    <w:p>
      <w:pPr>
        <w:pStyle w:val="ListParagraph"/>
        <w:numPr>
          <w:ilvl w:val="0"/>
          <w:numId w:val="2"/>
        </w:numPr>
        <w:spacing w:after="60"/>
      </w:pPr>
      <w:r>
        <w:rPr>
          <w:b/>
        </w:rPr>
        <w:t xml:space="preserve">Múltiplo en máximos</w:t>
      </w:r>
      <w:r>
        <w:t xml:space="preserve">: PER de los últimos 12 meses de 54,5 veces, percentil 83 de su historia.</w:t>
      </w:r>
    </w:p>
    <w:p>
      <w:pPr>
        <w:pStyle w:val="ListParagraph"/>
        <w:numPr>
          <w:ilvl w:val="0"/>
          <w:numId w:val="2"/>
        </w:numPr>
        <w:spacing w:after="60"/>
      </w:pPr>
      <w:r>
        <w:rPr>
          <w:b/>
        </w:rPr>
        <w:t xml:space="preserve">Volatilidad</w:t>
      </w:r>
      <w:r>
        <w:t xml:space="preserve">: anual del 73,5 % y caída máxima del 51,4 % en 2025 [24].</w:t>
      </w:r>
    </w:p>
    <w:p>
      <w:pPr>
        <w:pStyle w:val="ListParagraph"/>
        <w:numPr>
          <w:ilvl w:val="0"/>
          <w:numId w:val="2"/>
        </w:numPr>
        <w:spacing w:after="60"/>
      </w:pPr>
      <w:r>
        <w:rPr>
          <w:b/>
        </w:rPr>
        <w:t xml:space="preserve">Dependencia de pocos clientes de IA</w:t>
      </w:r>
      <w:r>
        <w:t xml:space="preserve"> sin cifras publicadas de concentración.</w:t>
      </w:r>
    </w:p>
    <w:p>
      <w:pPr>
        <w:pStyle w:val="Heading2"/>
      </w:pPr>
      <w:r>
        <w:t xml:space="preserve">Qué tiene que pasar para que la tesis funcione</w:t>
      </w:r>
    </w:p>
    <w:p>
      <w:pPr>
        <w:spacing w:after="100"/>
      </w:pPr>
      <w:r>
        <w:t xml:space="preserve">La tesis depende de que las compras de capacidad de testers se corrijan en 2027-2029 como en otros ciclos. La señal de que no se cumple sería que la previsión del mercado de testers de 2027 (enero) supere a la de 2026 y que los cobros adelantados de clientes sigan subiendo; la de que se cumple, una guía con ventas trimestrales planas y existencias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367.473 M (1T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del fin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mezcla de gama alta y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testers del año siguiente (previsión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13.000-14.500 M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Previsión 2027 por debajo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adelantada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adelantados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 M en el 1T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de caída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compra de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en SoC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foso frente a Teradyne.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40,9x / 23,4x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54,5x / 31,8x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(FY2020-FY2025)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Advantest nació en 1954 (como Takeda Riken) fabricando instrumentos de medida electrónicos; en los años sesenta apostó por los sistemas de medida y comercializó el tester de semiconductores aprovechando el auge de los chips japoneses [6]. En 1979 salió al exterior con el tester más rápido del mundo y en 1985 ya era el primero del mercado mundial, dominante en memoria [6]. En los 2000, con el paso al modelo de diseñadores sin fábrica, fundiciones y ensambladores, compró Verigy (2011), tercera del mercado y fuerte en SoC, de donde viene la plataforma V93000 que hoy es su núcleo [6, 16]. Desde 2018 un plan a largo plazo (Grand Design) la llevó a los 400.000 M de ventas en 2021, adelantado a 2027, y la IA generativa la ha llevado a 1,13 billones en FY2025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fabricante de instrumentos de medida electrónicos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los mercados exteriores con el sistema de test de semiconductores más rápido del mundo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cuota del mercado mundial de testers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Verigy (V93000), entrada fuerte en SoC y en el modelo diseñador-fundición-ensamblador [6,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 Design y primer plan a medio plazo; objetivo de 400.000 M de ventas alcanzado en 2021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Essai (test a nivel de sistema) y R&amp;D Altanova (interfaces)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4×1 de las acciones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plan a medio plazo (FY2024-FY2026); Douglas Lefever, primer consejero delegado no japonés del grupo [6,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1.128.610 M y resultado operativo de 499.120 M, récords; cuota en SoC del 66 % [1, 10].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Advantest diseña y vende las máquinas que comprueban que cada chip funciona antes de llegar al cliente: testers automáticos (ATE) para chips lógicos o SoC (procesadores, GPU, ASIC de IA, procesadores de móvil) y para memoria (DRAM, HBM, NAND), más los manipuladores que colocan los chips, las interfaces de dispositivo y el test a nivel de sistema [16]. El test es el único paso de los más de 1.000 de la fabricación que comprueba el chip con señales eléctricas [16]. Vende a fabricantes integrados, diseñadores sin fábrica (que eligen el tester), fundiciones y ensambladores de test externos (OSAT) [16]. El 91,8 % de las ventas va a Asia (Taiwán, Corea, China, Malasia) [1]. Fabrica con un socio contratado en el Sudeste Asiático, que abre una segunda planta [9].</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Test System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1.019.390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Services and Others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109.230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283.980,0 %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Test System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1.019.390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Services and Others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109.230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de clientes la mayor del sector, con diseñadores, fundiciones y OSAT [16]. Cambiar de plataforma de tester equivale a rehacer el entorno de desarrollo, evaluación y producción del chip, con costes altos para el cliente [16]. La empresa no publica la concentración por cliente; en IA trabaja con los grandes diseñadores de aceleradores y CPU y con la fundición dominante en Taiwán, lo que sugiere concentración alta (estimación propia, sin cifra). Poder de precios: el margen bruto pasó del 50,6 % en FY2023 al 64,3 % en FY2025 y al 69,5 % en el 1T FY2026 con mezcla de gama alta [1,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testers de SoC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(CY2024)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(CY2025)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 la empresa; objetivo de más del 70 %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testers de memoria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(CY2024)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(CY2025)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bajar en 2026 en NAND y en transiciones de velocidad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testers (SoC + memoria)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 M USD (CY2024)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 M USD (CY2025)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CY2026: 13.000-14.500 M USD [6,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64,3 % (FY2025); 69,5 % (1T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66-67 % para FY2026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anual de sistemas SoC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5.000 (fin FY2026) → 10.000 adelantado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10.000 sistemas de hoy equivalen a ≈20.000 de 2020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a clientes fuera de Japón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testers automáticos de semiconductores (ATE) de SoC y de memoria, estimado por Advantest, en USD [6, 10]. Es el núcleo de las ventas (Test System, 90 % del grupo) [1]. No incluye manipuladores, interfaces ni servicios, así que la cuota sobre ventas del grupo no es directa. Segunda referencia: el mercado mundial de semiconductores (WSTS), que pasó de 440.000 M USD en 2020 a 631.000 M USD en 2024 y se espera que supere el billón en 2026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9.000 M USD en CY2025 (SoC 6.900 M y memoria 2.100 M) [10]; previsión CY2026 de 13.000-14.500 M USD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 (duopolio Advantest-Teradyne)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chips de IA (GPU, ASIC, CPU para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testers SoC +68 % en CY2025 a 6.900 M USD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más tiempo de test e inserciones por chip (empaquetado 2,5D/3D,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el contenido de test crece con cada generación [8,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los fabricantes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5.600 M USD en 2021 a 4.400 M en 2023 (−21 %)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empaquetado avanzado y de obleas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de Advantest va ligada a la de empaquetado de fundiciones y OSAT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es uno de los destinos principales de las ventas de SoC y memoria [1,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Teradyne; Advantest gana cuota (SoC del 56 % al 66 %) con márgenes al alza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clientes grandes en IA (diseñadores de aceleradores, fundición dominante) que concentran las compras.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de memoria escasos y más caros en 2026; fabricación en un socio contratado [8,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con décadas de I+D y costes de cambio altos para el cliente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 integrado en el chip y test a nivel de sistema complementan, no sustituyen, al ATE [16].</w:t>
            </w:r>
          </w:p>
        </w:tc>
      </w:tr>
    </w:tbl>
    <w:p>
      <w:pPr>
        <w:spacing w:after="160" w:before="0"/>
      </w:pPr>
    </w:p>
    <w:p>
      <w:pPr>
        <w:pStyle w:val="Heading2"/>
      </w:pPr>
      <w:r>
        <w:t xml:space="preserve">Ciclo</w:t>
      </w:r>
    </w:p>
    <w:p>
      <w:pPr>
        <w:spacing w:after="100"/>
      </w:pPr>
      <w:r>
        <w:t xml:space="preserve">Mercado de testers en máximos (9.000 M USD en 2025, previsión 13.000-14.500 M en 2026) tras dos años de subida [8, 10]. El sector es muy cíclico: en 2023 el mercado cayó un 15 % y las ventas de Advantest un 13 %, con el resultado operativo a la mitad [1, 6]; en 2019 la memoria cayó un 43 % [6]. 2020 no fue mala (digitalización). La señal de techo sería un recorte de la inversión en centros de datos o un exceso de capacidad de los clientes.</w:t>
      </w:r>
    </w:p>
    <w:p>
      <w:pPr>
        <w:pStyle w:val="Heading2"/>
      </w:pPr>
      <w:r>
        <w:t xml:space="preserve">Regulación</w:t>
      </w:r>
    </w:p>
    <w:p>
      <w:pPr>
        <w:spacing w:after="100"/>
      </w:pPr>
      <w:r>
        <w:t xml:space="preserve">Controles de exportación de EE. UU. y Japón sobre equipos y chips avanzados hacia China; China es uno de los destinos principales de las ventas [8]. Aranceles de EE. UU. sobre semiconductores en discusión. Sin regulación sectorial propia del test.</w:t>
      </w:r>
    </w:p>
    <w:p>
      <w:pPr>
        <w:pStyle w:val="Heading2"/>
      </w:pPr>
      <w:r>
        <w:t xml:space="preserve">Tendencias y disrupción</w:t>
      </w:r>
    </w:p>
    <w:p>
      <w:pPr>
        <w:spacing w:after="100"/>
      </w:pPr>
      <w:r>
        <w:t xml:space="preserve">IA de inferencia (ASIC propios de los hiperescaladores, CPU), HBM y empaquetado avanzado aumentan el contenido de test; la fotónica de silicio da su primer pedido grande de ATE [8, 10]. Advantest gana con ellas por su posición en V93000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mundial en testers de semiconductores: ≈65 % del mercado ATE en CY2025 (66 % en SoC, ≈60 % en memoria)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Teradyne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del duopolio; ventas de 4.460 M USD en 12 meses (incluye robótica), margen EBITDA del 33,7 % [18]. Cuota estimada por diferencia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FormFactor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Tarjetas de prueba y sondas: complementario, no tester. Ventas de 902 M USD y margen EBITDA del 20,7 %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diseñador elige el tester y la fundición y el OSAT lo replican; el mayor parque instalado atrae nuevos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plataforma equivale a rehacer el entorno de desarrollo y producción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Arquitectura modular V93000 y décadas de I+D (71.399 M en FY2024)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44,2 % en FY2025 frente al EBITDA del 33,7 % de Teradyne [6,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9.000 M USD con dos actores; el 95 % entre los dos [3].</w:t>
            </w:r>
          </w:p>
        </w:tc>
      </w:tr>
    </w:tbl>
    <w:p>
      <w:pPr>
        <w:spacing w:after="160" w:before="0"/>
      </w:pPr>
    </w:p>
    <w:p>
      <w:pPr>
        <w:pStyle w:val="Heading2"/>
      </w:pPr>
      <w:r>
        <w:t xml:space="preserve">Amenazas</w:t>
      </w:r>
    </w:p>
    <w:p>
      <w:pPr>
        <w:spacing w:after="100"/>
      </w:pPr>
      <w:r>
        <w:t xml:space="preserve">La erosión vendría de (1) un cliente grande que reparta compras con Teradyne para no depender de un proveedor, sobre todo en ASIC propios; (2) testers chinos subvencionados en el mercado local; (3) el test integrado en el propio chip o el test a nivel de sistema, que reducen inserciones; (4) pérdida de cuota en memoria, ya visible (−2 pp en 2025) [9, 10]. Analistas independientes describen el mercado como un duopolio en el que la cuota se ha movido a favor de Advantest con la IA [20]. Probabilidad moderada a 3-5 años para la primera; baja para las demás.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FY2020-FY2025: ingresos </w:t>
      </w:r>
      <w:r>
        <w:rPr>
          <w:b/>
          <w:bCs/>
        </w:rPr>
        <w:t xml:space="preserve">29,3 %</w:t>
      </w:r>
      <w:r>
        <w:t xml:space="preserve">, EBITDA </w:t>
      </w:r>
      <w:r>
        <w:rPr>
          <w:b/>
          <w:bCs/>
        </w:rPr>
        <w:t xml:space="preserve">44,6 %</w:t>
      </w:r>
      <w:r>
        <w:t xml:space="preserve">, BPA </w:t>
      </w:r>
      <w:r>
        <w:rPr>
          <w:b/>
          <w:bCs/>
        </w:rPr>
        <w:t xml:space="preserve">42,3 %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312.789 M JPY en FY2020 a 1.128.610 M en FY2025 (ejercicios de abril a marzo; FY2025 acaba el 31-mar-2026) [1, 5]. Todo orgánico: las compras de la etapa (Essai en 2020, R&amp;D Altanova en 2021) suman menos de 35.000 M [5, 6]. El ciclo se ve en FY2023: ventas −13,2 % y resultado operativo −51,3 % por la corrección de inventarios del sector [3]. Después, la IA lo cambió de escala: FY2024 +60,3 % y FY2025 +44,7 %, con el margen operativo del 16,8 % al 44,2 % por mezcla (testers de SoC de gama alta para GPU y ASIC, DRAM de alto rendimiento) y apalancamiento operativo: los gastos generales y de I+D crecieron un 17,5 % con las ventas un 44,7 % [1]. El 1T FY2026 (abril-junio de 2026) dio ventas de 367.473 M (+39,3 %), margen bruto del 69,5 % y margen operativo del 51,7 % [7, 8]. La guía revisada del 29-jul para FY2026 es de 1.714.000 M de ventas, 846.000 M de resultado operativo y 660.000 M de beneficio neto (BPA 911,64 JPY) [7].</w:t>
      </w:r>
    </w:p>
    <w:p>
      <w:pPr>
        <w:pStyle w:val="Heading2"/>
      </w:pPr>
      <w:r>
        <w:t xml:space="preserve">Ajustes y partidas no recurrentes</w:t>
      </w:r>
    </w:p>
    <w:p>
      <w:pPr>
        <w:spacing w:after="100"/>
      </w:pPr>
      <w:r>
        <w:t xml:space="preserve">Cifras publicadas NIIF. No recurrentes: FY2024 lleva un deterioro de 21.393 M del fondo de comercio y los intangibles de Essai (test a nivel de sistema) dentro del resultado operativo [1, 2], que se devuelve al EBITDA como no recurrente; FY2025 lleva una plusvalía de 2.504 M por la venta parcial de un negocio [1]. Por debajo del resultado operativo: FY2025 incluye 17.312 M de ingreso financiero por la valoración de opciones de compra de acciones de inversiones estratégicas [1] y el 1T FY2026 44.680 M de ingreso financiero, sobre todo por ganancias de valoración de un fondo de inversión estratégico [7, 8]; no se repiten por sí solas y se quitan del BPA normalizado del análisis. Los BPA anteriores a FY2023 están ajustados al desdoblamiento 4×1 de octubre de 2023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1T FY2026 (29-jul-2026) la dirección habló de un «cambio estructural de la demanda»: la IA de inferencia empuja ASIC, CPU y DRAM, y el contenido de test por chip crece con cada generación (empaquetado avanzado, E/S de alta velocidad), no solo el número de unidades [8]. Subió el mercado de testers de 2026 un 19 % frente a abril, a 13.000-14.500 M USD (SoC 10.500-11.500 M y memoria 2.500-3.000 M) [8]. Frente a la presentación de abril, el tono pasó de «resultados récord» a «adelantar la capacidad»: el objetivo de 10.000 sistemas SoC al año, previsto para finales de 2028 o principios de 2029, se adelanta y se habla de 15.000 o más [9, 10]. Los analistas preguntaron por el reparto entre GPU, ASIC y CPU (no lo dio: «muchos dispositivos van juntos»), por la cuota en memoria (reconoce que puede bajar este año en NAND y en transiciones de velocidad), por la visibilidad (ahora conversa con previsiones de 18 meses frente a 6 antes) y por un margen bruto del 66-67 % para el año, inferior al 69,5 % del 1T, que la dirección atribuye a componentes de memoria más caros en la segunda mitad [8, 9]. No dio el dividendo de FY2026 ni detalló la capacidad a partir de 10.000 sistemas [7, 9]. Las cifras trimestrales salen de restar los acumulados de cada informe trimestral [11, 12, 13, 14, 15] y de los anuales [1, 2, 3,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671.229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795.726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caja neta ajustada pequeña en FY2023 (deuda de 75.143 M para financiar existencias de 204.389 M en la caída) a una caja de 339.966 M sin deuda en FY2025 [1, 3]. El circulante comercial (existencias + clientes − proveedores) bajó del 44,5 % de las ventas en FY2023 al 28,2 % en FY2025; en el 1T FY2026 los clientes cayeron 50.234 M por cobros y las existencias subieron 41.936 M para la ampliación de capacidad [7]. Los 100.000 M del convertible y los 113.900 M invertidos en el fondo estratégico y en acciones en el 1T cambian la composición del activo: hay 357.737 M en títulos que no generan EBITDA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FY2020-FY2025: FCF </w:t>
      </w:r>
      <w:r>
        <w:rPr>
          <w:b/>
          <w:bCs/>
        </w:rPr>
        <w:t xml:space="preserve">716.261</w:t>
      </w:r>
      <w:r>
        <w:t xml:space="preserve">, conversión </w:t>
      </w:r>
      <w:r>
        <w:rPr>
          <w:b/>
          <w:bCs/>
        </w:rPr>
        <w:t xml:space="preserve">81 %</w:t>
      </w:r>
      <w:r>
        <w:t xml:space="preserve"> del beneficio neto; adquisiciones 44.712, dividendos 154.423, recompras 298.643.</w:t>
      </w:r>
    </w:p>
    <w:p>
      <w:pPr>
        <w:spacing w:after="100"/>
      </w:pPr>
      <w:r>
        <w:t xml:space="preserve">La conversión de beneficio en caja es irregular por las existencias: en FY2023 el flujo operativo fue de 32.668 M con un beneficio de 62.290 M (existencias +30.923 M) y en FY2024 de 285.971 M con 161.177 M de beneficio, ayudado por solo 13.143 M de impuestos pagados [2, 3]. En FY2025 el flujo operativo de 335.182 M quedó por debajo del beneficio (375.353 M) por 110.770 M de impuestos y 105.858 M más de clientes [1]. El capex es pequeño: 36.030 M en FY2025 (3,2 % de las ventas), con la producción de sistemas en un fabricante contratado del Sudeste Asiático [1, 9]. Estimación propia: el mantenimiento es del orden de la amortización (≈25.600 M) y el resto, ampliación de capacidad. Usos de la caja en FY2025: recompras 114.328 M, devolución de préstamos 75.352 M y dividendos 35.754 M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anuales auditadas; los informes trimestrales no están revisados)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NIIF desde FY2015 [1]. Señales revisadas: (1) ingresos financieros por valoración de inversiones estratégicas (17.312 M en FY2025 y 44.680 M en el 1T FY2026) que inflan el beneficio neto pero no el resultado operativo [1, 7]; (2) deterioro de 21.393 M de Essai en FY2024, que reconoce que la compra de 2020 no cumplió el plan [2]; (3) pagos en acciones pequeños (4.450 M en FY2025, 0,4 % de las ventas) [1]; (4) existencias altas en las caídas (272 días de ciclo de caja en FY2023) [6]. La guía de FY2026 incluye ya el ingreso financiero del 1T (beneficio neto 660.000 M) [7]. Lectura de los indicadores del motor en la sección de calidad.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financieros por valoración de inversiones estratégicas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17.312 M en FY2025 y 44.680 M en el 1T FY2026; no recurrentes y volátiles; se quitan del BPA normalizado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una compra (Essai)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21.393 M en FY2024; el negocio de test a nivel de sistema no cumplió el plan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en la parte baja del ciclo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de 204.389 M en FY2023 con ventas en caída; el riesgo de obsolescencia vuelve con la ampliación de capacidad (273.654 M a 30-jun-2026) [3, 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143.055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182.279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376.460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378.209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110,0 % · </w:t>
      </w:r>
      <w:r>
        <w:rPr>
          <w:b/>
          <w:bCs/>
        </w:rPr>
        <w:t xml:space="preserve">WACC</w:t>
      </w:r>
      <w:r>
        <w:t xml:space="preserve">: 11,2 %.</w:t>
      </w:r>
    </w:p>
    <w:p>
      <w:pPr>
        <w:spacing w:after="100"/>
      </w:pPr>
      <w:r>
        <w:t xml:space="preserve">Advantest crea valor con mucho margen: el ROIC del motor es del 88,7 % en FY2025 frente a un WACC del 11,22 %, y no ha bajado del 25 % en los seis años salvo en FY2023 [1, 3]. El motor lo mide con el capital operativo (sin la caja); la propia empresa, con su definición (NOPAT al 25 % sobre deuda más patrimonio), daba un 31,5 % en FY2024 y un 13,5 % en el año malo de FY2023 [6]. Lo mueve el margen, no la rotación: el margen operativo pasó del 16,8 % en FY2023 al 44,2 % en FY2025 con un capital que apenas creció, porque la fabricación está externalizada y el capex es del 3 % de las ventas [1]. El ROIC incremental histórico es del 110 %. Frente a sus pares es de lo más alto del sector (Teradyne 38 %, Tokyo Electron 32 %; Lam y KLA 67-70 %) [18, 30, 32, 33]. La pregunta no es si crea valor, sino cuánto de ese ROIC es pico del ciclo.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77.615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413.124 M a 30-jun-2026 más 87.817 M en títulos de deuda comprados en el trimestre; sin préstamos bancarios (los 75.000 M de corto plazo se devolvieron en FY2025)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localizado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Única deuda financiera: bonos convertibles cupón cero con vencimiento en 2031 por 100.000 M, emitidos en abril de 2026 (88.930 M en pasivo y el resto como componente de patrimonio, según NIIF) [7, 8]. Pensiones: 20.021 M de pasivo por prestaciones a 30-jun-2026 [7]. Provisiones (sobre todo garantías) 15.984 M [7]. Anticipos de clientes en «otros pasivos corrientes», que subieron de 42.756 M a 80.397 M en el 1T (cobros adelantados de 36.984 M) [7]: son circulante, se compensan con entregas. Inversiones estratégicas en «Investment securities» de 357.737 M (aportación a un fondo de inversión, acciones y deuda), registradas a valor razonable [7, 8]. Sin covenants, factoring ni pagos aplazados de compras publicados.</w:t>
      </w:r>
    </w:p>
    <w:p>
      <w:pPr>
        <w:pStyle w:val="Heading1"/>
      </w:pPr>
      <w:r>
        <w:t xml:space="preserve">12. Asignación de capital</w:t>
      </w:r>
    </w:p>
    <w:p>
      <w:pPr>
        <w:pStyle w:val="Confianza"/>
        <w:spacing w:after="100"/>
      </w:pPr>
      <w:r>
        <w:t xml:space="preserve">Confianza: Media</w:t>
      </w:r>
    </w:p>
    <w:p>
      <w:pPr>
        <w:spacing w:after="100"/>
      </w:pPr>
      <w:r>
        <w:t xml:space="preserve">Dividendo: payout en torno al 30 % del beneficio como referencia del plan a medio plazo y recompras flexibles [6]; en FY2025 el dividendo fue de 59 JPY (payout 11,5 %) [1]. Recompra aprobada el 28-oct-2025 de hasta 150.000 M o 18 millones de acciones, terminada el 19-ago-2026 con 5.759.000 acciones y 149.997 M [17]. Amortizó 34,1 millones de acciones propias en FY2025 (172.106 M) [1]. Prioridades declaradas: capacidad, I+D, inversiones estratégicas y retribución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Essai (test a nivel de sistema,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21.393 M del fondo de comercio y los intangibles en FY2024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R&amp;D Altanova (interfaces de dispositivo)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unidad de test de sistemas; sin deterioro publicado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a un fondo de inversión y compra de acciones (inversiones estratégicas)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convertible de 100.000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Ganancias de valoración de 44.680 M en el 1T FY2026 [8].</w:t>
            </w:r>
          </w:p>
        </w:tc>
      </w:tr>
    </w:tbl>
    <w:p>
      <w:pPr>
        <w:spacing w:after="160" w:before="0"/>
      </w:pPr>
    </w:p>
    <w:p>
      <w:pPr>
        <w:spacing w:after="100"/>
      </w:pPr>
      <w:r>
        <w:t xml:space="preserve">Buena asignadora de capital en lo grande y discutible en lo pequeño. De FY2020 a FY2025 generó 716.261 M de flujo libre y devolvió 453.066 M (154.423 M en dividendos y 298.643 M en recompras), con solo 44.712 M en compras [1]. Las recompras se hicieron en buena parte a precios muy inferiores a los de hoy (la de 2025-2026, de 150.000 M, a una media de 26.000 JPY por acción) [17]. Las dos compras de 2020-2021 no salieron bien (deterioro de Essai de 21.393 M) [2]. En 2026 cambió de estilo: emitió un convertible de 100.000 M a 36.000 JPY por acción, con una prima del 60 % [22], y metió 113.900 M en un fondo de inversión y en acciones de socios estratégicos, que ya rinden ganancias de valoración pero añaden riesgo de mercado al balance [8]. El payout del 11,5 % en FY2025 está muy por debajo del 30 % de referencia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Lefever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Estadounidense, en el grupo desde la compra de Verigy; dirigió el negocio de SoC antes de ser consejero (2020) y CEO del grupo (abril de 2024). Con él las ventas pasaron de 486.507 M (FY2023) a 1.128.610 M (FY2025) [1, 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Koichi Tsukui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Group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2020; presidente y COO desde abril de 2024, a cargo de la cadena de suministro y la ampliación de capacidad [6,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Hisako Takada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Executive Officer,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firma los resultados y los comunicados de recompra [1,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Yoshiaki Yoshida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del grupo hasta marzo de 2024; dejó la función ejecutiva para presidir el consejo y separar supervisión y gestión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Juergen Serrer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tecnología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de 2025: guía inicial muy inferior al resultado; se subió varias veces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1.128.610 M y resultado operativo 499.120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 Design: 400.000 M de ventas en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416.901 M en FY2021, seis años antes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MTP3 (FY2024-FY2026), metas elevadas en octubre de 2025 por los resultados récord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ventas +60,3 %; FY2025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1.420.000 M de ventas en abril; 1.714.000 M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367.473 M (21 % de la guía nueva)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la guía se ha batido o subido en cada uno de los últimos tres ejercicios y el objetivo de 400.000 M del primer plan se alcanzó seis años antes [1, 6]. El reparto de 2024 (Lefever, estadounidense que viene de Verigy, como CEO del grupo; Tsukui como presidente y COO; Yoshida, el anterior CEO, como presidente no ejecutivo) da continuidad y separa supervisión y gestión [6]. No ha habido cambios en la cúpula en los últimos 24 meses. No se publica un plan de sucesión; el CEO reside en EE. UU. [6]. El tercer plan a medio plazo termina en marzo de 2027 y el siguiente se presentará en 2027: es la próxima ocasión de medir a la dirección.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Douglas Lefever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Group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Koichi Tsukui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Group COO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Yoshiaki Yoshida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Yuichi Kurita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de la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 (interno, a tiempo completo)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Toshimitsu Urabe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Nicholas Benes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Naoto Nishida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Sayaka Sumida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Tomoko Nakada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anuales auditadas; los informes trimestrales no están revisados)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(fondos índice incluidos)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Fund Advisors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Japan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5,76 millones de acciones terminada el 19-ago-2026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Estructura del Group CEO, a objetivo: fijo 1, bonus anual 1 (indicador: beneficio neto; de 0 % a 200 % del objetivo), acciones restringidas 1 y acciones por objetivos (PSU) 3, ligadas a las metas del plan a medio plazo con indicadores secundarios de rentabilidad total relativa frente al índice Nikkei de semiconductores y cinco indicadores de sostenibilidad [6]. Cláusula de reducción y recuperación (clawback) por infracciones o reexpresiones materiales [6]. Exigencia de tener acciones por 4 años de fijo para el CEO y 2 para el resto [6]. Premia beneficio y rentabilidad para el accionista; el bonus sobre beneficio neto incluye los ingresos financieros por valoración de inversiones (riesgo de premiar lo no operativo).</w:t>
      </w:r>
    </w:p>
    <w:p>
      <w:pPr>
        <w:pStyle w:val="Heading2"/>
      </w:pPr>
      <w:r>
        <w:t xml:space="preserve">Operaciones vinculadas, estructura de control y defensas</w:t>
      </w:r>
    </w:p>
    <w:p>
      <w:pPr>
        <w:spacing w:after="100"/>
      </w:pPr>
      <w:r>
        <w:t xml:space="preserve">Sin accionista de control: el mayor es una gestora con el 12,18 % (fondos índice) [21]. Una acción, un voto; sin clases ni blindajes conocidos. Sociedad con comisión de auditoría y supervisión; mayoría de consejeros externos (6 de 9) y presidente no ejecutivo separado del CEO [6]. Comisión de nombramientos y retribuciones voluntaria presidida por un externo [6]. Las entregas de acciones restringidas a directivos se comunican con hechos relevantes [23].</w:t>
      </w:r>
    </w:p>
    <w:p>
      <w:pPr>
        <w:pStyle w:val="Heading2"/>
      </w:pPr>
      <w:r>
        <w:t xml:space="preserve">Señales de alerta</w:t>
      </w:r>
    </w:p>
    <w:p>
      <w:pPr>
        <w:pStyle w:val="ListParagraph"/>
        <w:numPr>
          <w:ilvl w:val="0"/>
          <w:numId w:val="2"/>
        </w:numPr>
        <w:spacing w:after="60"/>
      </w:pPr>
      <w:r>
        <w:t xml:space="preserve">Ninguna relevante detectada tras revisar el informe integrado 2025 y las noticias de 2026; Japón no tiene registro público de operaciones de directivos.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FY2026 (abril de 2026-marzo de 2027) revisada el 29-jul-2026: ventas 1.714.000 M (+51,9 %), resultado operativo 846.000 M (margen 49,4 %), beneficio antes de impuestos 891.000 M, beneficio neto 660.000 M y BPA 911,64 JPY, con 150 JPY/USD desde el 2T; margen bruto del 66-67 % [8]. La guía de abril era de 1.420.000 M de ventas y 627.500 M de resultado operativo [8]. Sensibilidad: +5.300 M de resultado operativo por cada yen que se deprecie frente al dólar [8]. Próxima revisión con los resultados del 2T el 28-oct-2026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886.377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2.627.776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1.715.487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906.842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2.092.894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2.247.226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1.056.912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2.302.184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2.627.776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1.139.581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1.306.600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42.685,71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23.000,00 – 55.000,00</w:t>
            </w:r>
          </w:p>
        </w:tc>
      </w:tr>
    </w:tbl>
    <w:p>
      <w:pPr>
        <w:spacing w:after="160" w:before="0"/>
      </w:pPr>
    </w:p>
    <w:p>
      <w:pPr>
        <w:pStyle w:val="Heading2"/>
      </w:pPr>
      <w:r>
        <w:t xml:space="preserve">Revisiones de estimaciones</w:t>
      </w:r>
    </w:p>
    <w:p>
      <w:pPr>
        <w:spacing w:after="100"/>
      </w:pPr>
      <w:r>
        <w:t xml:space="preserve">Los objetivos subieron en septiembre y octubre: JPMorgan de 41.000 a 51.000 JPY (10-sep), Jefferies de 38.500 a 41.000 (6-7-oct), Goldman Sachs de 35.000 a 40.000 con Mantener (30-jul) [27, 42]. MarketScreener da 21 analistas, consenso Comprar y objetivo medio de 42.685,71 JPY [25]; Investing.com, 18 a favor de comprar y ninguno de vender, con un rango de 23.000 a 55.000 [26]. Las estimaciones de BPA de FY2026 (933,2) ya superan la guía de la empresa (911,64) [8, 25]. MarketScreener da para FY2027-FY2028 un EBIT mayor que el EBITDA, incoherente: se usa solo el BPA y las ventas. Solo una fuente con estimaciones completas gratuitas.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rendido un 79,1 % anual en cinco años frente al 18,0 % del TOPIX, y un 132,9 % en el último año hasta el 14-oct [24]. Lo explica el beneficio: el BPA pasó de 87,96 JPY en FY2020 a 513,30 en FY2025 [1]. Es una acción muy volátil: volatilidad anual del 73,5 %, caída máxima del 51,4 % entre enero y abril de 2025 y beta semanal de 1,57 frente al TOPIX (mensual 2,71) [24]. Se mueve con el sentimiento sobre la inversión en IA más que con sus propias noticias: las cinco caídas de más de un 10 % en un día del último año coinciden con ventas de todo el sector [36, 37, 38, 39, 40, 41].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 / +15,9 % / +20,0 % / +97,8 %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 / +108,6 %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valores de IA en Tokio por dudas sobre la rentabilidad de la inversión en IA tras caídas en Wall Street; Advantest fue la que más cayó del Nikkei varios días de noviembre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Recrudecimiento del conflicto en Oriente Próximo (ataques de Israel y EE. UU. a Irán) y caída mundial de los semiconductores; −11 % el 9-mar [24,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récord de FY2025 y guía FY2026 (27-abr) tras la recuperación del sector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valores de IA (−9,95 % el 2-jul), rendimientos de los bonos japoneses en máximos de décadas (16-17-jul) y caída de las memorias tras el beneficio de SK hynix (28-29-jul) [38,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Nikkei del 4,9 % por noticias de deuda en dificultades de CoreWeave (un cliente final de la inversión en IA), inflación de EE. UU. mayor de lo esperado y miedo a subidas de tipos; Advantest −15 %, la mayor caída del índice [36, 37]. No hay noticia propia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sube el objetivo de 38.500 a 41.000 JPY y mantiene Comprar; JPMorgan lo subió a 51.000 el 10-sep [27,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la recompra de 150.000 M (5,76 millones de acciones); no hay otra aprobada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Convertible cupón cero 2031 de 100.000 M con conversión a 36.000 JPY (prima del 60 %): 2,78 millones de acciones si se convierte (0,4 %)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Dudas sobre la financiación de la inversión en IA (deuda de CoreWeave) que afectan a todo el sector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cayó un 15 % el 15-oct, hasta 34.340 JPY, en una sesión en la que el Nikkei perdió un 4,9 % por las noticias sobre la deuda de CoreWeave y una inflación de EE. UU. que reaviva las subidas de tipos [36, 37]; no hay ningún hecho propio de la empresa. Aun así sube un 97,8 % en 12 meses y queda un 21,8 % sobre la media de 200 sesiones. No hay hecho pendiente que pueda mover el precio más de un 5 % ajeno al análisis (ni colocaciones ni ampliaciones; el convertible está emitido y la recompra terminada). Los resultados del 28-oct no retrasan nada (regla 11). Veredicto global: no cambia; la acción robusta ya es no comprar por valoración.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 cada ejercicio, el PER de los últimos 12 meses ha ido de 17,5 a 80,7 veces (media 28,6) y hoy es de 54,5 veces, en el percentil 83 de su historia; el EV/EBITDA, 40,9 veces frente a una media de 19,2. Con el beneficio adelantado, que es lo que usa la regla, el PER es de 33,6 veces sobre nuestro BPA de FY2027e frente a una mediana de 23,8 veces en los últimos cinco cierres (13,9 a 36,1). Lo estructural: la IA ha subido el margen operativo de forma permanente a más del 40 % y el mercado paga múltiplos de crecimiento; lo coyuntural: el bono japonés al 3,0 % [28] frente a cerca de cero en 2020-2022 debería pesar en contra.</w:t>
      </w:r>
    </w:p>
    <w:p>
      <w:pPr>
        <w:pStyle w:val="Heading1"/>
      </w:pPr>
      <w:r>
        <w:t xml:space="preserve">18. Comparables cotizados</w:t>
      </w:r>
    </w:p>
    <w:p>
      <w:pPr>
        <w:pStyle w:val="Confianza"/>
        <w:spacing w:after="100"/>
      </w:pPr>
      <w:r>
        <w:t xml:space="preserve">Confianza: Media</w:t>
      </w:r>
    </w:p>
    <w:p>
      <w:pPr>
        <w:spacing w:after="100"/>
      </w:pPr>
      <w:r>
        <w:t xml:space="preserve">Siete fabricantes de equipos de semiconductores con ROIC alto y caja neta: Teradyne, su único competidor directo en testers [18]; FormFactor, tarjetas de prueba para el mismo paso [19]; Tokyo Electron y Disco, japoneses del mismo índice y del mismo ciclo [30, 31]; KLA, Lam Research y ASML, líderes de la fabricación de chips con exposición a la IA [32, 33, 34]. Fuera Cohu (pérdidas) y los fabricantes chinos (sin datos comparables). Múltiplos de Stock Analysis del 15-oct; el PER adelantado de las estadounidenses usa el BPA de consenso, que puede ser ajustado.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Advantest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24.786.612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Teradyne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Tokyo Electron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35.668.941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FormFactor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1.372.308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53.837.793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102.482.001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 / 37,6x / 41,7x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31.615,56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34.989,48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 / 30,7x / 32,3x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33.177,39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34.894,02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1.232.307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 / 13,1x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18.789,87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27.633,52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Advantest cotiza a un PER de los próximos 12 meses de 31,8 veces, en línea con la mediana de sus pares (30,7 veces), con más crecimiento y margen que todos salvo Disco. Por PER de los comparables saldría un valor de 33.177 JPY por acción, cerca del precio; por EV/EBITDA de los últimos 12 meses, 31.616 JPY. Es decir: frente al sector no está cara; lo que está caro es el sector frente a su propio ciclo, porque todos cotizan a 27-35 veces beneficios de un año de máximos. Con un peso del 20 % en la síntesis, los comparables reflejan esa lectura de mercado sin tomarla como valor intrínseco.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+52 %, la guía de julio de 1.714.000 M [7], porque el 1T creció un 39,3 % y la empresa subió la previsión del mercado de testers un 19 % [8]. FY2027e: +22 %, frente al +27 % del consenso [25]: la capacidad se duplica pero el mercado viene de dos años de +50 %. FY2028e: +10 % (consenso +17 %). FY2029e: −10 %, una corrección del ciclo como la de FY2023 (−13 %) [3]. Después, convergencia al 2,5 %. El crecimiento medio de la proyección es del 10,3 %, por debajo del 29,3 % anual de los últimos cinco años.</w:t>
      </w:r>
    </w:p>
    <w:p>
      <w:pPr>
        <w:keepNext/>
        <w:spacing w:after="100"/>
      </w:pPr>
      <w:r>
        <w:rPr>
          <w:b/>
          <w:bCs/>
        </w:rPr>
        <w:t xml:space="preserve">Márgenes.</w:t>
      </w:r>
    </w:p>
    <w:p>
      <w:pPr>
        <w:spacing w:after="100"/>
      </w:pPr>
      <w:r>
        <w:t xml:space="preserve">Margen EBITDA del 51,0 % en FY2026e, coherente con la guía (resultado operativo del 49,4 %) [7], y del 50,5 % y el 49,5 % en los dos años siguientes, por debajo del 53,6 % del 1T FY2026. Baja al 44 % en la corrección de FY2029e y converge al 40 % a largo plazo, entre el 33,8 % de FY2022 y el 46,5 % de FY2025 [1, 4]: suponemos que una parte de la mejora de mezcla (gama alta de IA) es permanente, pero no toda.</w:t>
      </w:r>
    </w:p>
    <w:p>
      <w:pPr>
        <w:keepNext/>
        <w:spacing w:after="100"/>
      </w:pPr>
      <w:r>
        <w:rPr>
          <w:b/>
          <w:bCs/>
        </w:rPr>
        <w:t xml:space="preserve">Inversión y circulante.</w:t>
      </w:r>
    </w:p>
    <w:p>
      <w:pPr>
        <w:spacing w:after="100"/>
      </w:pPr>
      <w:r>
        <w:t xml:space="preserve">Capex del 3,5 % de las ventas en FY2026-FY2027 por la ampliación de capacidad (3,2 % en FY2025) [1] y del 3,0 % después, por encima de la amortización (del 1,8 % al 2,9 %), porque la fabricación es externa. Circulante comercial del 28 % de las ventas, el de FY2024-FY2025 (27,7 % y 28,2 %), lejos del 44,5 % del año malo [1, 3].</w:t>
      </w:r>
    </w:p>
    <w:p>
      <w:pPr>
        <w:keepNext/>
        <w:spacing w:after="100"/>
      </w:pPr>
      <w:r>
        <w:rPr>
          <w:b/>
          <w:bCs/>
        </w:rPr>
        <w:t xml:space="preserve">Coste del capital.</w:t>
      </w:r>
    </w:p>
    <w:p>
      <w:pPr>
        <w:spacing w:after="100"/>
      </w:pPr>
      <w:r>
        <w:t xml:space="preserve">Tasa libre: bono japonés a 10 años del 3,015 % (14-oct-2026) [28]. Beta 1,5: entre la semanal ajustada de 5 años (1,38) y la semanal bruta (1,57) frente al TOPIX; la mensual de 5 años (2,71) está inflada por los saltos de 2023-2025 [24]. Prima de mercado 5,5 %, sin prima adicional (vende a clientes globales). Coste del capital 11,27 %; deuda: el convertible cupón cero (coste 1,0 %, peso 0,4 %). WACC 11,22 %. Con la prima implícita de Damodaran (4,20 %) [29], la regla relativa da la misma conclusión.</w:t>
      </w:r>
    </w:p>
    <w:p>
      <w:pPr>
        <w:keepNext/>
        <w:spacing w:after="100"/>
      </w:pPr>
      <w:r>
        <w:rPr>
          <w:b/>
          <w:bCs/>
        </w:rPr>
        <w:t xml:space="preserve">Valor terminal.</w:t>
      </w:r>
    </w:p>
    <w:p>
      <w:pPr>
        <w:spacing w:after="100"/>
      </w:pPr>
      <w:r>
        <w:t xml:space="preserve">Gordon con un 2,0 %: inflación esperada en yenes en torno al 2 % y crecimiento real bajo para un mercado maduro a largo plazo, por debajo de la tasa libre menos medio punto (2,5 %). El múltiplo de salida implícito es bajo frente a los comparables (EV/EBITDA de 28-45 veces hoy), porque el terminal supone un negocio maduro, no uno en máximos de ciclo.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2.734.613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278.999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275.368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7.897.948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19.689.213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7.262.040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11.880,27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10.864,98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11.194,07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10.311,07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9.374,94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9.582,93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10.067,80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10.598,74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11.738,74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590.093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(reinvierte el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(histórico: 110,0 %)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frente al 10,3 %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590.093 M, el 8 % del NOPAT, con un capex bruto medio del 3,1 % de las ventas). En un negocio de activos ligeros, el crecimiento medio del 10,3 %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más sistemas SoC por la IA de inferencia y capacidad ampliada; precio: configuraciones más ricas; otros: yen más débil en el 1T (159 frente a 146 JPY/USD)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capacidad duplicada (objetivo de 10.000 sistemas adelantado) [9]; precio por contenido de test por chip.</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menor al llegar la capacidad de los clientes a su nivel.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cíclica: menos compras de capacidad; precio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moderada con el mercado de semiconductores.</w:t>
            </w:r>
          </w:p>
        </w:tc>
      </w:tr>
    </w:tbl>
    <w:p>
      <w:pPr>
        <w:spacing w:after="160" w:before="0"/>
      </w:pPr>
    </w:p>
    <w:p>
      <w:pPr>
        <w:spacing w:after="100"/>
      </w:pPr>
      <w:r>
        <w:t xml:space="preserve">Sí. El crecimiento proyectado (10,3 % de media) está por debajo del financiable al ROIC actual (14,9 % bruto) y de la tasa histórica (29,3 %); la proyección apenas necesita capital (reinversión del 8 % del NOPAT), así que la prueba es de poder de precios y de cuota. Las dos pasan: margen bruto del 50,6 % al 69,5 % en tres años con precios al alza [1, 8]; cuota en SoC del 66 % y en el mercado total del 65 % [10]. Prueba de cuota a mano (el mercado es de testers y no de las ventas del grupo): con un mercado de 13.000-14.500 M USD en 2026 [8] que crezca un 3-5 % anual, la parte de Test System de nuestras ventas de FY2030e (≈90 % de 2.237.000 M) supone una cuota del 60-70 %, en línea con la actual y lejos de 1,5 veces. El riesgo no es que la calidad no sostenga el crecimiento, sino que el ciclo lo interrumpa, y eso está en FY2029e y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 (base: 10,3 %)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70 % justifica el precio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(WACC: 11,2 %)</w:t>
            </w:r>
          </w:p>
        </w:tc>
      </w:tr>
    </w:tbl>
    <w:p>
      <w:pPr>
        <w:spacing w:after="160" w:before="0"/>
      </w:pPr>
    </w:p>
    <w:p>
      <w:pPr>
        <w:spacing w:after="100"/>
      </w:pPr>
      <w:r>
        <w:t xml:space="preserve">El DCF da 10.061 JPY por acción, un 70,7 % por debajo del precio, con un 43 % del valor en el terminal. El DCF inverso es la clave: para justificar 34.340 JPY con nuestros márgenes, las ventas tendrían que crecer un 32,5 % anual durante diez años, frente al 10,3 % de nuestro base; con nuestro crecimiento, ningún margen hasta el 70 % justifica el precio, y la rentabilidad que implica el precio con nuestros flujos es del 4,5 %, por debajo de la tasa libre más una prima mínima. Es una exigencia sin precedente: Advantest creció un 29,3 % anual en cinco años excepcionales, y lo hizo con un año de caída en medio. El precio descuenta que la IA convierte un negocio cíclico en uno de crecimiento sostenido de más del 30 % durante una década. Aunque el WACC del 11,22 % es alto (beta de 1,5), con un WACC del 9 % el valor seguiría muy por debajo del precio: la distancia no es de tasa, es de crecimiento.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5.737,56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IA se frena en 2027-2028 (financiación de nubes con deuda, como avisó CoreWeave en 2026): FY2027e crece solo un 10 %, FY2028e se queda plano y el margen EBITDA baja al 42 % y después al 33 %. Ya pasó en FY2023 (ventas −13 %, resultado operativo −51 %).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FY2026e cumple la guía; dos años más de crecimiento decreciente (22 % y 10 %), corrección del 10 % en FY2029e y margen EBITDA que converge al 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13.076,46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inferencia y los ASIC propios alargan el ciclo: ventas 4 puntos más por año y margen 2 puntos más, con cuota en SoC por encima del 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34.3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9.734,01 JPY (-71,7 %).</w:t>
      </w:r>
    </w:p>
    <w:p>
      <w:pPr>
        <w:spacing w:after="100"/>
      </w:pPr>
      <w:r>
        <w:t xml:space="preserve">Los tres escenarios del DCF quedan por debajo del precio: 5.738 JPY el bajista (−83,3 %), 10.061 el base (−70,7 %) y 13.076 el alcista (−61,9 %). No hay asimetría que compense: incluso con el alcista, el DCF necesita un crecimiento que la historia no ha mostrado. Lo que separa nuestro valor del precio no es el escenario, sino el horizonte: el mercado paga hoy beneficios de 2030 y más allá.</w:t>
      </w:r>
    </w:p>
    <w:p>
      <w:pPr>
        <w:pStyle w:val="Heading1"/>
      </w:pPr>
      <w:r>
        <w:t xml:space="preserve">22. Suma de partes</w:t>
      </w:r>
    </w:p>
    <w:p>
      <w:pPr>
        <w:pStyle w:val="Confianza"/>
        <w:spacing w:after="100"/>
      </w:pPr>
      <w:r>
        <w:t xml:space="preserve">Confianza: Alta</w:t>
      </w:r>
    </w:p>
    <w:p>
      <w:pPr>
        <w:spacing w:after="100"/>
      </w:pPr>
      <w:r>
        <w:t xml:space="preserve">No aplica: el 90 % de las ventas y más del 100 % del resultado de segmentos es Test System; Services and Others depende de la misma base instalada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34.34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33.177,39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34.894,02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10.864,98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13.076,46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13.288,32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34.340,00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34.511,70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14.586,19 JPY (-57,5 % sobre 34.340,00).</w:t>
      </w:r>
    </w:p>
    <w:p>
      <w:pPr>
        <w:spacing w:after="100"/>
      </w:pPr>
      <w:r>
        <w:t xml:space="preserve">Pesos: DCF 50 %, escenarios 30 % y comparables 20 %; sin transacciones (no hay operaciones con múltiplo verificable) ni suma de partes. El DCF es el método más fiable para el valor a largo plazo porque obliga a explicitar el ciclo; los comparables (33.177 JPY por PER) solo dicen que el sector entero cotiza a 27-35 veces beneficios de máximos. La dispersión es enorme: de 5.738 JPY (bajista) a 33.177 JPY (comparables) y 42.686 JPY (analistas). El valor objetivo ponderado de 14.586 JPY queda un 57,5 % por debajo del precio. El puente suma 500.941 M de caja y títulos de deuda, 269.920 M de inversiones estratégicas a valor razonable (como asociadas) y resta 100.000 M del convertible, 19.236 M de arrendamientos, 14.015 M de pensiones netas y 63.600 M de recompras posteriores al balance.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(33.6x) ÷ 1.1 (tope: la mediana de 5 años, 23.8x,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33.385,30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38.448,68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spacing w:after="100"/>
      </w:pPr>
      <w:r>
        <w:rPr>
          <w:b/>
          <w:bCs/>
        </w:rPr>
        <w:t xml:space="preserve">Objetivo a 12 meses (ponderado):</w:t>
      </w:r>
      <w:r>
        <w:t xml:space="preserve"> 28.640,86 JPY · rentabilidad -16,4 % (base -2,6 %) · señal Vender.</w:t>
      </w:r>
    </w:p>
    <w:p>
      <w:pPr>
        <w:spacing w:after="100"/>
      </w:pPr>
      <w:r>
        <w:t xml:space="preserve">Para comparar, con la regla v2 (historia al cierre, mismo precio): 17,5x / 25,7x / 30,7x, -21,4 % Vender; con el tope anterior del base (×1,3, 14-oct mediodía): -19,9 %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FY2027e (1.020,6) está un 15 % por debajo del consenso (1.203) y el de FY2028e (1.094,6) un 21 % por debajo (1.390) [25]. La diferencia es de ventas, no de margen: el consenso supone 2.247.000 M y 2.628.000 M de ventas (+27 % y +17 %), nosotros 2.093.000 M y 2.302.000 M (+22 % y +10 %), porque tras dos años de mercado de testers con +50 % suponemos que la capacidad de los clientes se pone al día. Hemos revisado el supuesto y lo mantenemos. Con el BPA del consenso y la misma regla, el objetivo base seguiría por debajo del objetivo medio de los analistas (42.686 JPY), que queda fuera de nuestro rango solo en su máximo (55.000).</w:t>
      </w:r>
    </w:p>
    <w:p>
      <w:pPr>
        <w:keepNext/>
        <w:spacing w:after="100"/>
      </w:pPr>
      <w:r>
        <w:rPr>
          <w:b/>
          <w:bCs/>
        </w:rPr>
        <w:t xml:space="preserve">Del valor intrínseco al objetivo a 12 meses.</w:t>
      </w:r>
    </w:p>
    <w:p>
      <w:pPr>
        <w:spacing w:after="100"/>
      </w:pPr>
      <w:r>
        <w:t xml:space="preserve">El objetivo ponderado a 12 meses es de 28.641 JPY (−16,4 %) y el base de 33.385 JPY (−2,6 %); el valor intrínseco es de 14.586 JPY. La distancia entre los dos (el objetivo casi duplica el valor) es la prima que el mercado paga por el crecimiento de la IA y que la regla mantiene en parte (PER base de 30,5 veces). El BPA crece un 28,7 % anual desde FY2025 porque FY2026 ya está casi asegurado por la guía (+76 % de beneficio neto); de FY2026 a FY2028 crece un 13 % anual. Lo que pesa en la ponderada es el bajista: el PER mínimo de cinco años (12,6 veces, el cierre de marzo de 2025 sobre el BPA que se duplicó después) aplicado a un BPA de 741,6. Para cerrar la distancia hacia arriba haría falta que el consenso acierte en FY2028 y que el mercado siga pagando más de 30 veces.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guía sostiene el precio; una guía sin cambios con el 1T tan fuerte se leería como techo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y previsión del mercado de testers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mercado de 2027: dice si 2026 fue pico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FY2026, guía FY2027 y presentación del cuarto plan a medio plazo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2029-2030 y política de retribución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centros de datos de los hiperescaladores y financiación de terceros (CoreWeave)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se trasladaría a pedidos de testers en 2-3 trimestres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de exportación de EE. UU. y Japón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es uno de los destinos principales de SoC y memoria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en IA (exceso de capacidad de los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 frente al base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fabricación externalizada: el coste se ajusta rápido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 guía trimestral con ventas a la baja; cobros adelantados que caen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el beneficio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 en el bajista a 12 meses (PER de 12,6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en el precio actual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25 veces sin bajada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en IA (pocos diseñadores y una fundición)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plataforma altos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gran diseñador anuncia segunda fuente con Teradyne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controles de exportación y competidores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de gama alta se fabrica fuera de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listas de entidades o licencias para testers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nuevos con compromisos de clientes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memoria por debajo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estratégicas a valor razonable (357.737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pierden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Pesan el 1,4 % de la capitalización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financieras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más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parte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 (cada yen son 5.300 M de resultado operativo) [25]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componentes de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en la guía del 66-67 % de margen bruto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trimestral por debajo del 63 %</w:t>
            </w:r>
          </w:p>
        </w:tc>
      </w:tr>
    </w:tbl>
    <w:p>
      <w:pPr>
        <w:spacing w:after="160" w:before="0"/>
      </w:pPr>
    </w:p>
    <w:p>
      <w:pPr>
        <w:pStyle w:val="Heading2"/>
      </w:pPr>
      <w:r>
        <w:t xml:space="preserve">Pre-mortem</w:t>
      </w:r>
    </w:p>
    <w:p>
      <w:pPr>
        <w:spacing w:after="100"/>
      </w:pPr>
      <w:r>
        <w:t xml:space="preserve">Octubre de 2029: la acción ha perdido un 40 %. Lo que pasó: en 2027 los hiperescaladores frenaron la inversión en centros de datos tras dos años sin rentabilizarla; la financiación de los operadores de nube con deuda (el aviso de CoreWeave en 2026) se cerró y los pedidos de aceleradores bajaron. Los clientes de Advantest, que habían comprado testers con previsiones de 18 meses y colchones de capacidad, dejaron de comprar durante cuatro trimestres; las ventas de FY2028 cayeron un 20 % y el margen operativo volvió al 30 %, como en FY2023. Al mismo tiempo, el mercado dejó de pagar 35 veces beneficios por las empresas de equipos y volvió a las 15-20 veces de antes de la IA. La combinación de BPA −40 % y múltiplo −40 % se llevó por delante la acción aunque el negocio siguiera siendo un duopolio con ROIC alto. Lo habría anticipado: cobros adelantados de clientes a la baja, existencias subiendo más que las ventas y la previsión del mercado de testers de 2027 por debajo de la de 2026.</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+10 % (alcista) / −43 % si la inversión en IA se frena (bajista)</w:t>
      </w:r>
    </w:p>
    <w:p>
      <w:pPr>
        <w:spacing w:after="100"/>
      </w:pPr>
      <w:r>
        <w:t xml:space="preserve">La IA no amenaza el producto: ningún modelo sustituye la prueba eléctrica de un chip, que es obligatoria y crece con la complejidad (más tiempo de test e inserciones por chip con el empaquetado 2,5D y 3D y la HBM) [8, 9]. Al contrario, es el motor del negocio: el mercado de testers de SoC creció un 68 % en 2025 por la IA y la empresa tiene la mayoría del test de aceleradores [10]. El riesgo es de dependencia, no de sustitución: buena parte de las ventas depende del gasto en centros de datos, y si ese gasto se frena el efecto es cíclico y fuerte. La empresa usa IA en su análisis de datos de test y en procesos internos [8]. Señal: la previsión del mercado de testers del año siguiente que publica en enero. Riesgo de IA para el negocio: bajo (sustitución) y alto (dependencia cíclica).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más afectan a las cifras son la cadena de suministro (componentes escasos, fabricación en un tercero en el Sudeste Asiático, riesgo geopolítico en Taiwán) y la retención de ingenieros, que es la base de la ventaja [8, 9]. Las emisiones propias son pequeñas por la fabricación externalizada; la empresa publica un plan de sostenibilidad 2024-2026 con indicadores ligados a la remuneración variable de la dirección [6].</w:t>
      </w:r>
    </w:p>
    <w:p>
      <w:pPr>
        <w:pStyle w:val="Heading2"/>
      </w:pPr>
      <w:r>
        <w:t xml:space="preserve">Controversias</w:t>
      </w:r>
    </w:p>
    <w:p>
      <w:pPr>
        <w:spacing w:after="100"/>
      </w:pPr>
      <w:r>
        <w:t xml:space="preserve">Sin sanciones, litigios ni incidentes relevantes localizados en los últimos tres años en el informe integrado ni en las noticias de la empresa [6, 23].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2026 son compras de capacidad que no se repetirán y qué parte es contenido de test que crece cada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FY2028 crece o cae; es el supuesto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cinco primeros clientes en las ventas de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publica y la concentración en IA parece alta.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es sostenible cuando la mezcla de gama alta deje de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69,5 % del 1T frente al 50,6 % de FY2023 define el BPA de la parte baja del ciclo.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compromisos de compra tiene con el fabricante contratado si la demanda cae?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para 10.000-15.000 sistemas podría convertirse en coste fijo o en existencias.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estratégicas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hay en el fondo de inversión de 2026 y con qué criterio se valora?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Generó 44.680 M de ingreso financiero en un trimestre y ya pesa 357.737 M en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un payout del 11,5 % si la referencia es del 30 %, y qué hará con la caja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de 500.941 M sin uso declarado baja el ROE y anima compras de riesgo.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($ATEYY)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estadounidenses que siguen el ADR: lamentan haber vendido pronto y celebran la fuerza del valor; ningún argumento de fondo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14-oct un autor argumenta que la prima de IA ya está más que pagada; en agosto otro defendía que la inferencia convierte el test en un «peaje estructural»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mercados japonesa (comentario de la sesión del 15-oct)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Sesión en la que solo se vendían valores de IA mientras el 70 % del mercado subía: rotación, no pánico general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de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cayó un 15 % el 15-oct por la deuda de CoreWeave, sin noticia propia; las cifras de la empresa (guía subida en julio, cobros adelantados de 36.984 M) no muestran todavía desaceleración [44, 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análisis: el PER adelantado de 36,9 veces sobre el BPA recurrente de FY2026 está por encima de la mediana de sus 5 años (23,9)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Duopolio y cuota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cuota en SoC del 66 % y mayoría en aceleradores de IA según la empresa [44].</w:t>
            </w:r>
          </w:p>
        </w:tc>
      </w:tr>
    </w:tbl>
    <w:p>
      <w:pPr>
        <w:spacing w:after="160" w:before="0"/>
      </w:pPr>
    </w:p>
    <w:p>
      <w:pPr>
        <w:spacing w:after="100"/>
      </w:pPr>
      <w:r>
        <w:t xml:space="preserve">El debate es escaso en inglés y las cifras de foros no se usan. El sentimiento pasó de euforia (septiembre-octubre, máximo de 41.990 JPY) a nervios con la caída del 15-oct. No señala riesgos que el informe no recoja: la cuestión de fondo es si la inversión en IA aguanta, que es el bajista del análisis.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45 (19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28,2 % real: genera una variación de circulante de 161.948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575.835 M de flujo libre medio en sus tres primeros años, frente a 187.435 M de media real en los tres últimos: justifica el salto (circulante, inversión, márgenes) o ajusta los supuestos. Explicación: El salto es real: el flujo operativo pasó de 32.668 M en FY2023 a 335.182 M en FY2025 y 137.155 M en el 1T FY2026, con ventas que crecen un 52 % según la guía; la media de los tres últimos años la hunde FY2023, año bajo del ciclo [1, 3,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(1.094,60) supone un 28,7 % anual desde 513,30 (FY2025): explícalo en valoracion.objetivo_12m.comentario o la confianza es baja. Explicación: El BPA de FY2028e (1.094,60) crece un 28,7 % anual desde FY2025 porque FY2026 ya tiene una guía del 76 % más de beneficio neto, con el 1T publicado; de FY2026 a FY2028 el crecimiento anual es del 13 %, por debajo del consenso [7, 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-57,4 % (-51,9 % con la prima del mercado) y el precio pide 22,2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2025 (gobierno); 2) resultados anuales (no lo citan); 3) búsqueda del informe de valores (Yuho) en inglés sin éxito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(no publican la amortización trimestral salvo en el 1T); 2) presentaciones (gráficos sin cifras extraíbles); 3) consenso trimestral previo no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cuota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EBITDA); 2) informe de Teradyne no descargado por tiempo; 3) prensa especializada sin cifras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Advantest solo da CY2026; 2) Investors Guide sin previsión a 5 años; 3) SEMI da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2025 (solo estructura); 2) informe de valores (Yuho) en inglés no localizado; 3) resultados de la junta del 31-jul-2026 no localizados en inglés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Japón no tiene registro público de operaciones de directivos; 2) informes de grandes participaciones (EDINET) no consultados; 3) noticias de la empresa (solo entregas de acciones restringidas)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compras de Advantest (Essai, R&amp;D Altanova): sin precio ni múltiplo publicados; 2) operaciones del sector (Cohu-Xcerra, FormFactor-Cascade) sin documento primario descargado; 3) prensa sin múltiplos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JPX solo publica posiciones &gt; 0,5 %; 2) sin registro agregado gratuito; 3) proveedores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crecimiento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da EV/EBITDA de 12 meses pasados y crecimiento a 3 años; 2) MarketScreener por empresa (sin tiempo); 3) se usa el crecimiento previsto a 3 años como aproximación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integrado 2025 (no da las calificaciones de terceros); 2) MarketScreener (no las muestra para Advantest); 3) búsqueda de MSCI y Sustainalytics sin página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Consolidated Financial Results (ejercicio a 31-mar-2026; cuenta, balance, flujos, segmentos, geografías,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https://www.advantest.com/document/en/investors/ir-library/result/E_FR_FY2025_FN.pdf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FY2024 Consolidated Financial Results (ejercicio a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https://www.advantest.com/document/en/investors/ir-library/result/E_FR_FY2024_FN.pdf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FY2023 Consolidated Financial Results (ejercicio a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https://www.advantest.com/document/en/investors/ir-library/result/E_FR_FY2023_FN.pdf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FY2022 Consolidated Financial Results (ejercicio a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https://www.advantest.com/document/en/investors/ir-library/result/E_FR_FY2022_FN.pdf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FY2021 Consolidated Financial Results (ejercicios a 31-mar-2021 y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https://www.advantest.com/document/en/investors/ir-library/result/E_FR_FY2021_FN.pdf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 (resumen financiero de 11 años, historia, gobierno, mercado de testers)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https://www.advantest.com/document/en/investors/ir-library/annual/E_all_IAR2025.pdf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First Quarter Consolidated Financial Results (1T a 30-jun-2026; guía revisada)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https://www.advantest.com/document/en/investors/ir-library/result/E_FR_FY2026_1Q.pdf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FY2026 Presentation (slides and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https://www.advantest.com/document/en/investors/ir-library/result/JE_BIZ_260729_note.pdf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FY2026 Financial Briefing, Q&amp;A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https://www.advantest.com/document/en/investors/ir-library/result/JE_BIZ_260729_QA.pdf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Q4 Presentation (slides and notes): mercado de testers CY2025 y cuotas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https://www.advantest.com/document/en/investors/ir-library/result/JE_BIZ_260427_note.pdf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Third Quarter Consolidated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https://www.advantest.com/document/en/investors/ir-library/result/E_FR_FY2025_3Q.pdf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Second Quarter Consolidated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https://www.advantest.com/document/en/investors/ir-library/result/E_FR_FY2025_2Q.pdf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First Quarter Consolidated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https://www.advantest.com/document/en/investors/ir-library/result/E_FR_FY2025_1Q.pdf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Second Quarter Consolidated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https://www.advantest.com/document/en/investors/ir-library/result/E_FR_FY2024_2Q.pdf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Third Quarter Consolidated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https://www.advantest.com/document/en/investors/ir-library/result/E_FR_FY2024_3Q.pdf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Investors Guide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https://www.advantest.com/document/en/investors/ir-library/investors-guide/Investors_Guide_2607E.pdf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Status of Share Repurchase and its Completion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https://www.advantest.com/en/news/2026/qnpuno0000000dx4-att/E_Info_20260820.pdf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(TER)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FormFactor (FORM)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https://stockanalysis.com/stocks/form/statistics/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Advantest/Teradyne: Market Share Shifts In This Duopoly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https://seekingalpha.com/symbol/ATEYY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 shareholders, board members and managers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https://www.marketscreener.com/quote/stock/ADVANTEST-CORPORATION-6492081/company/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Sets Terms for 2031 Zero Coupon Convertible Bonds at 60% Premium (precio de conversión 36.000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https://www.tipranks.com/news/company-announcements/advantest-sets-terms-for-2031-zero-coupon-convertible-bonds-at-60-premium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2026 de Advantest (convertible, recompras, entregas de acciones 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https://www.advantest.com/en/news/2026/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6857.T, 1305.T (TOPIX) y 1625.T (TOPIX-17 eléctricas y precisión), hasta el 15-oct-2026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https://finance.yahoo.com/quote/6857.T/history/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Corporation: estimaciones anuales a 3 años, consenso y objetivo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https://www.marketscreener.com/quote/stock/ADVANTEST-CORPORATION-6492081/finances/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Corp.: objetivo a 12 meses (medio 42.685,7, máximo 55.000, mínimo 23.000 JPY)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https://www.investing.com/equities/advantest-corp.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raises target for Advantest stock to JPY 41,000 (y próximos resultados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https://www.ad-hoc-news.de/boerse/news/corporate-news/jefferies-raises-target-for-advantest-stock-to-jpy-41-000/70314480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jgbcme.csv: bono a 10 años del 14-oct-2026, 3,015 %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Tokyo Electron (8035)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https://stockanalysis.com/quote/tyo/8035/statistics/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 (6146)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https://stockanalysis.com/quote/tyo/6146/statistics/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(KLAC)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https://stockanalysis.com/stocks/klac/statistics/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(LRCX)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https://stockanalysis.com/stocks/lrcx/statistics/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(JPY=X), 15-oct-2026: 158,1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 225 falls 5% on rate and AI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Japan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https://www.japantimes.co.jp/business/2026/10/15/nagata-nikkei-decline/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Nikkei plunges as tech stocks hammered by AI, rate hike worries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Recorder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https://www.brecorder.com/news/40444359/japans-nikkei-plunges-as-tech-stocks-hammered-by-ai-rate-hike-worries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Nikkei index falls amid selloff in AI-related shares (Advantest −9,95 %)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Peninsula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https://www.thepeninsulaqatar.com/article/02/07/2026/japans-nikkei-index-falls-amid-selloff-in-ai-related-shares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 drops 2.5% as chip stocks crater and bond yields hit multi-decade highs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Crypto Briefing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https://cryptobriefing.com/nikkei-declines-chip-stock-selloff-bond-yields/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Nikkei slips to one-month low as Middle East conflict intensifies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https://www.stockopedia.com/share-prices/advantest-PNK:ATEYY/news/japan-apos-s-nikkei-slips-to-one-month-low-as-middle-east-conflict-intensifies-019e6a11-cc1e-764b-b503-3bb78c96aa48/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tech shares drag Nikkei to 3-week low as Advantest tumbles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https://de.tradingview.com/news/reuters.com%2C2025%3Anewsml_L1N3UO053%3A0-japan-tech-shares-drag-nikkei-to-3-week-low-as-advantest-tumbles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stock keeps Buy rating with JPY 47,000 target (JPMorgan 51.000 el 10-sep; Goldman Hold 40.000 el 30-jul)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 / 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https://www.ad-hoc-news.de/boerse/news/corporate-news/advantest-stock-keeps-buy-rating-with-jpy-47-000-target/70263583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$ATEYY (junio-octubre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https://api.stocktwits.com/api/2/streams/symbol/ATEYY.json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ATEYY («More Than Enough AI Premium», 14-oct; «AI Inference Is Turning Semiconductor Test Into A Structural Toll Road»,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https://seekingalpha.com/api/sa/combined/ATEYY.xml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 plunges 1,253 points, yet 70% of stocks rise in unusual session where only AI-related names get sold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BigGo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https://finance.biggo.com/news/7fd77533-71f1-41ab-b7e3-830e43f1c6dc</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82,8 %</w:t>
      </w:r>
      <w:r>
        <w:t xml:space="preserve"> · Secciones con menos del 60 % de campos cubiertos: </w:t>
      </w:r>
      <w:r>
        <w:rPr>
          <w:b/>
          <w:bCs/>
        </w:rPr>
        <w:t xml:space="preserve">gobierno, transacciones</w:t>
      </w:r>
      <w:r>
        <w:t xml:space="preserve"> · Generado el 15 oct 2026.</w:t>
      </w:r>
    </w:p>
    <w:p>
      <w:pPr>
        <w:pStyle w:val="Nota"/>
        <w:spacing w:after="100"/>
      </w:pPr>
      <w:r>
        <w:t xml:space="preserve">Una sola línea: Bolsa de Tokio (Prime), código 6857; los ADR (ATEYY) no se usan. Japón no tiene XBRL público: cuentas de los resultados anuales y trimestrales NIIF de la empresa (FY2020-FY2025) y del resumen de 11 años del informe integrado 2025. Ejercicio de abril a marzo con la etiqueta de la empresa: «FY2025» es abril de 2025-marzo de 2026 (etiqueta «inicio»); los proveedores (MarketScreener) llaman «2026» a ese mismo ejercicio. Precio: cierre del 15-oct-2026 (34.340 JPY, −15 % en la sesión); las rentabilidades de la sección de bolsa van hasta el 14-oct. Comparables de Stock Analysis del 15-oct (las cotizaciones de EE. UU. a media sesión), convertidos a JPY a 158,1 JPY/USD [35]; su crecimiento es el previsto a 3 años, no a 12 meses. Fondo de comercio e intangibles van juntos (la empresa los presenta en una línea). Acciones: 721,8 millones, las de 30-jun-2026 menos las recompradas hasta el 19-ago [17].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Advantest Corporation (6857)</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34.340,00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(16.325,00 – 41.990,00)</c:v>
                </c:pt>
                <c:pt idx="1">
                  <c:v>Precio objetivo de los analistas (23.000,00 – 55.000,00)</c:v>
                </c:pt>
                <c:pt idx="2">
                  <c:v>Comparables: PER NTM (31.266,43 – 34.894,02)</c:v>
                </c:pt>
                <c:pt idx="3">
                  <c:v>DCF (WACC y g ± 0,5) (9.406,66 – 10.864,98)</c:v>
                </c:pt>
                <c:pt idx="4">
                  <c:v>Escenarios (bajista – alcista) (5.737,56 – 13.076,46)</c:v>
                </c:pt>
                <c:pt idx="5">
                  <c:v>DCF con la prima implícita del mercado (4,2 %)</c:v>
                </c:pt>
                <c:pt idx="6">
                  <c:v>Precio actual (34.340,00)</c:v>
                </c:pt>
              </c:strCache>
            </c:strRef>
          </c:cat>
          <c:val>
            <c:numRef>
              <c:f>Hoja1!$B$2:$B$8</c:f>
              <c:numCache>
                <c:formatCode>#,##0</c:formatCode>
                <c:ptCount val="7"/>
                <c:pt idx="0">
                  <c:v>16325</c:v>
                </c:pt>
                <c:pt idx="1">
                  <c:v>23000</c:v>
                </c:pt>
                <c:pt idx="2">
                  <c:v>31266.43</c:v>
                </c:pt>
                <c:pt idx="3">
                  <c:v>9406.66</c:v>
                </c:pt>
                <c:pt idx="4">
                  <c:v>5737.56</c:v>
                </c:pt>
                <c:pt idx="5">
                  <c:v>11720.09</c:v>
                </c:pt>
                <c:pt idx="6">
                  <c:v>34168.3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(16.325,00 – 41.990,00)</c:v>
                </c:pt>
                <c:pt idx="1">
                  <c:v>Precio objetivo de los analistas (23.000,00 – 55.000,00)</c:v>
                </c:pt>
                <c:pt idx="2">
                  <c:v>Comparables: PER NTM (31.266,43 – 34.894,02)</c:v>
                </c:pt>
                <c:pt idx="3">
                  <c:v>DCF (WACC y g ± 0,5) (9.406,66 – 10.864,98)</c:v>
                </c:pt>
                <c:pt idx="4">
                  <c:v>Escenarios (bajista – alcista) (5.737,56 – 13.076,46)</c:v>
                </c:pt>
                <c:pt idx="5">
                  <c:v>DCF con la prima implícita del mercado (4,2 %)</c:v>
                </c:pt>
                <c:pt idx="6">
                  <c:v>Precio actual (34.340,00)</c:v>
                </c:pt>
              </c:strCache>
            </c:strRef>
          </c:cat>
          <c:val>
            <c:numRef>
              <c:f>Hoja1!$C$2:$C$8</c:f>
              <c:numCache>
                <c:formatCode>#,##0</c:formatCode>
                <c:ptCount val="7"/>
                <c:pt idx="0">
                  <c:v>25665</c:v>
                </c:pt>
                <c:pt idx="1">
                  <c:v>32000</c:v>
                </c:pt>
                <c:pt idx="2">
                  <c:v>3627.5899999999965</c:v>
                </c:pt>
                <c:pt idx="3">
                  <c:v>1458.3199999999997</c:v>
                </c:pt>
                <c:pt idx="4">
                  <c:v>7338.899999999999</c:v>
                </c:pt>
                <c:pt idx="5">
                  <c:v>1568.2299999999996</c:v>
                </c:pt>
                <c:pt idx="6">
                  <c:v>343.3999999999942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Test System</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0">
                  <c:v>682819</c:v>
                </c:pt>
                <c:pt idx="1">
                  <c:v>1019390</c:v>
                </c:pt>
              </c:numCache>
            </c:numRef>
          </c:val>
        </c:ser>
        <c:ser>
          <c:idx val="1"/>
          <c:order val="1"/>
          <c:tx>
            <c:strRef>
              <c:f>Hoja1!$C$1</c:f>
              <c:strCache>
                <c:ptCount val="1"/>
                <c:pt idx="0">
                  <c:v>Services and Others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96888</c:v>
                </c:pt>
                <c:pt idx="1">
                  <c:v>109230</c:v>
                </c:pt>
              </c:numCache>
            </c:numRef>
          </c:val>
        </c:ser>
        <c:ser>
          <c:idx val="2"/>
          <c:order val="2"/>
          <c:tx>
            <c:strRef>
              <c:f>Hoja1!$D$1</c:f>
              <c:strCache>
                <c:ptCount val="1"/>
                <c:pt idx="0">
                  <c:v>Eliminaciones y corporativo</c:v>
                </c:pt>
              </c:strCache>
            </c:strRef>
          </c:tx>
          <c:spPr>
            <a:solidFill>
              <a:srgbClr val="1BAF7A"/>
            </a:solidFill>
            <a:ln w="12700">
              <a:solidFill>
                <a:srgbClr val="FFFFFF"/>
              </a:solidFill>
            </a:ln>
          </c:spPr>
          <c:invertIfNegative val="0"/>
          <c:cat>
            <c:strRef>
              <c:f>Hoja1!$A$2:$A$3</c:f>
              <c:strCache>
                <c:ptCount val="2"/>
                <c:pt idx="0">
                  <c:v>FY2024</c:v>
                </c:pt>
                <c:pt idx="1">
                  <c:v>FY2025</c:v>
                </c:pt>
              </c:strCache>
            </c:strRef>
          </c:cat>
          <c:val>
            <c:numRef>
              <c:f>Hoja1!$D$2:$D$3</c:f>
              <c:numCache>
                <c:formatCode>#,##0</c:formatCode>
                <c:ptCount val="2"/>
                <c:pt idx="0">
                  <c:v>0</c:v>
                </c:pt>
                <c:pt idx="1">
                  <c:v>-10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Test System</c:v>
                </c:pt>
                <c:pt idx="1">
                  <c:v>Services and Others</c:v>
                </c:pt>
                <c:pt idx="2">
                  <c:v>Eliminaciones y corporativo</c:v>
                </c:pt>
              </c:strCache>
            </c:strRef>
          </c:cat>
          <c:val>
            <c:numRef>
              <c:f>Hoja1!$B$2:$B$4</c:f>
              <c:numCache>
                <c:formatCode>General</c:formatCode>
                <c:ptCount val="3"/>
                <c:pt idx="0">
                  <c:v>90.3</c:v>
                </c:pt>
                <c:pt idx="1">
                  <c:v>9.7</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Asia (Taiwán, China, Corea, Malasia…)</c:v>
                </c:pt>
                <c:pt idx="1">
                  <c:v>América</c:v>
                </c:pt>
                <c:pt idx="2">
                  <c:v>Japón</c:v>
                </c:pt>
                <c:pt idx="3">
                  <c:v>Europa</c:v>
                </c:pt>
              </c:strCache>
            </c:strRef>
          </c:cat>
          <c:val>
            <c:numRef>
              <c:f>Hoja1!$B$2:$B$5</c:f>
              <c:numCache>
                <c:formatCode>0"%"</c:formatCode>
                <c:ptCount val="4"/>
                <c:pt idx="0">
                  <c:v>91.8</c:v>
                </c:pt>
                <c:pt idx="1">
                  <c:v>3.9</c:v>
                </c:pt>
                <c:pt idx="2">
                  <c:v>2.2</c:v>
                </c:pt>
                <c:pt idx="3">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3350</c:v>
                </c:pt>
                <c:pt idx="1">
                  <c:v>4200</c:v>
                </c:pt>
                <c:pt idx="2">
                  <c:v>5600</c:v>
                </c:pt>
                <c:pt idx="3">
                  <c:v>5200</c:v>
                </c:pt>
                <c:pt idx="4">
                  <c:v>4400</c:v>
                </c:pt>
                <c:pt idx="5">
                  <c:v>6000</c:v>
                </c:pt>
                <c:pt idx="6">
                  <c:v>9000</c:v>
                </c:pt>
                <c:pt idx="7">
                  <c:v>13750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Advantest</c:v>
                </c:pt>
                <c:pt idx="1">
                  <c:v>Teradyne</c:v>
                </c:pt>
                <c:pt idx="2">
                  <c:v>FormFactor</c:v>
                </c:pt>
              </c:strCache>
            </c:strRef>
          </c:cat>
          <c:val>
            <c:numRef>
              <c:f>Hoja1!$B$2:$B$4</c:f>
              <c:numCache>
                <c:formatCode>0.0"%"</c:formatCode>
                <c:ptCount val="3"/>
                <c:pt idx="0">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pt idx="13">
                  <c:v>FY2033e</c:v>
                </c:pt>
                <c:pt idx="14">
                  <c:v>FY2034e</c:v>
                </c:pt>
                <c:pt idx="15">
                  <c:v>FY2035e</c:v>
                </c:pt>
              </c:strCache>
            </c:strRef>
          </c:cat>
          <c:val>
            <c:numRef>
              <c:f>Hoja1!$B$2:$B$17</c:f>
              <c:numCache>
                <c:formatCode>#,##0</c:formatCode>
                <c:ptCount val="16"/>
                <c:pt idx="0">
                  <c:v>312789</c:v>
                </c:pt>
                <c:pt idx="1">
                  <c:v>416901</c:v>
                </c:pt>
                <c:pt idx="2">
                  <c:v>560191</c:v>
                </c:pt>
                <c:pt idx="3">
                  <c:v>486507</c:v>
                </c:pt>
                <c:pt idx="4">
                  <c:v>779707</c:v>
                </c:pt>
                <c:pt idx="5">
                  <c:v>1128610</c:v>
                </c:pt>
                <c:pt idx="6">
                  <c:v>1715487</c:v>
                </c:pt>
                <c:pt idx="7">
                  <c:v>2092894</c:v>
                </c:pt>
                <c:pt idx="8">
                  <c:v>2302184</c:v>
                </c:pt>
                <c:pt idx="9">
                  <c:v>2071965</c:v>
                </c:pt>
                <c:pt idx="10">
                  <c:v>2237723</c:v>
                </c:pt>
                <c:pt idx="11">
                  <c:v>2371986</c:v>
                </c:pt>
                <c:pt idx="12">
                  <c:v>2490585</c:v>
                </c:pt>
                <c:pt idx="13">
                  <c:v>2590209</c:v>
                </c:pt>
                <c:pt idx="14">
                  <c:v>2667915</c:v>
                </c:pt>
                <c:pt idx="15">
                  <c:v>2734613</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FY2020</c:v>
                </c:pt>
                <c:pt idx="1">
                  <c:v>FY2021</c:v>
                </c:pt>
                <c:pt idx="2">
                  <c:v>FY2022</c:v>
                </c:pt>
                <c:pt idx="3">
                  <c:v>FY2023</c:v>
                </c:pt>
                <c:pt idx="4">
                  <c:v>FY2024</c:v>
                </c:pt>
                <c:pt idx="5">
                  <c:v>FY2025</c:v>
                </c:pt>
                <c:pt idx="6">
                  <c:v>FY2026e</c:v>
                </c:pt>
                <c:pt idx="7">
                  <c:v>FY2027e</c:v>
                </c:pt>
                <c:pt idx="8">
                  <c:v>FY2028e</c:v>
                </c:pt>
                <c:pt idx="9">
                  <c:v>FY2029e</c:v>
                </c:pt>
                <c:pt idx="10">
                  <c:v>FY2030e</c:v>
                </c:pt>
                <c:pt idx="11">
                  <c:v>FY2031e</c:v>
                </c:pt>
                <c:pt idx="12">
                  <c:v>FY2032e</c:v>
                </c:pt>
                <c:pt idx="13">
                  <c:v>FY2033e</c:v>
                </c:pt>
                <c:pt idx="14">
                  <c:v>FY2034e</c:v>
                </c:pt>
                <c:pt idx="15">
                  <c:v>FY2035e</c:v>
                </c:pt>
              </c:strCache>
            </c:strRef>
          </c:cat>
          <c:val>
            <c:numRef>
              <c:f>Hoja1!$C$2:$C$17</c:f>
              <c:numCache>
                <c:formatCode>#,##0</c:formatCode>
                <c:ptCount val="16"/>
                <c:pt idx="0">
                  <c:v>82482</c:v>
                </c:pt>
                <c:pt idx="1">
                  <c:v>129702</c:v>
                </c:pt>
                <c:pt idx="2">
                  <c:v>189083</c:v>
                </c:pt>
                <c:pt idx="3">
                  <c:v>107732</c:v>
                </c:pt>
                <c:pt idx="4">
                  <c:v>276629</c:v>
                </c:pt>
                <c:pt idx="5">
                  <c:v>522228</c:v>
                </c:pt>
                <c:pt idx="6">
                  <c:v>874898</c:v>
                </c:pt>
                <c:pt idx="7">
                  <c:v>1056912</c:v>
                </c:pt>
                <c:pt idx="8">
                  <c:v>1139581</c:v>
                </c:pt>
                <c:pt idx="9">
                  <c:v>911665</c:v>
                </c:pt>
                <c:pt idx="10">
                  <c:v>962221</c:v>
                </c:pt>
                <c:pt idx="11">
                  <c:v>996234</c:v>
                </c:pt>
                <c:pt idx="12">
                  <c:v>1021140</c:v>
                </c:pt>
                <c:pt idx="13">
                  <c:v>1049035</c:v>
                </c:pt>
                <c:pt idx="14">
                  <c:v>1067166</c:v>
                </c:pt>
                <c:pt idx="15">
                  <c:v>1093845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53.8</c:v>
                </c:pt>
                <c:pt idx="1">
                  <c:v>56.6</c:v>
                </c:pt>
                <c:pt idx="2">
                  <c:v>57</c:v>
                </c:pt>
                <c:pt idx="3">
                  <c:v>50.6</c:v>
                </c:pt>
                <c:pt idx="4">
                  <c:v>57.1</c:v>
                </c:pt>
                <c:pt idx="5">
                  <c:v>64.3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26.4</c:v>
                </c:pt>
                <c:pt idx="1">
                  <c:v>31.1</c:v>
                </c:pt>
                <c:pt idx="2">
                  <c:v>33.8</c:v>
                </c:pt>
                <c:pt idx="3">
                  <c:v>22.1</c:v>
                </c:pt>
                <c:pt idx="4">
                  <c:v>35.5</c:v>
                </c:pt>
                <c:pt idx="5">
                  <c:v>46.3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22.6</c:v>
                </c:pt>
                <c:pt idx="1">
                  <c:v>27.5</c:v>
                </c:pt>
                <c:pt idx="2">
                  <c:v>29.9</c:v>
                </c:pt>
                <c:pt idx="3">
                  <c:v>16.8</c:v>
                </c:pt>
                <c:pt idx="4">
                  <c:v>32</c:v>
                </c:pt>
                <c:pt idx="5">
                  <c:v>44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22.3</c:v>
                </c:pt>
                <c:pt idx="1">
                  <c:v>20.9</c:v>
                </c:pt>
                <c:pt idx="2">
                  <c:v>23.3</c:v>
                </c:pt>
                <c:pt idx="3">
                  <c:v>12.8</c:v>
                </c:pt>
                <c:pt idx="4">
                  <c:v>20.7</c:v>
                </c:pt>
                <c:pt idx="5">
                  <c:v>33.3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FY24</c:v>
                </c:pt>
                <c:pt idx="1">
                  <c:v>3T FY24</c:v>
                </c:pt>
                <c:pt idx="2">
                  <c:v>4T FY24</c:v>
                </c:pt>
                <c:pt idx="3">
                  <c:v>1T FY25</c:v>
                </c:pt>
                <c:pt idx="4">
                  <c:v>2T FY25</c:v>
                </c:pt>
                <c:pt idx="5">
                  <c:v>3T FY25</c:v>
                </c:pt>
                <c:pt idx="6">
                  <c:v>4T FY25</c:v>
                </c:pt>
                <c:pt idx="7">
                  <c:v>1T FY26</c:v>
                </c:pt>
              </c:strCache>
            </c:strRef>
          </c:cat>
          <c:val>
            <c:numRef>
              <c:f>Hoja1!$B$2:$B$9</c:f>
              <c:numCache>
                <c:formatCode>0.0"%"</c:formatCode>
                <c:ptCount val="8"/>
                <c:pt idx="0">
                  <c:v>63.9</c:v>
                </c:pt>
                <c:pt idx="1">
                  <c:v>63.7</c:v>
                </c:pt>
                <c:pt idx="2">
                  <c:v>71.1</c:v>
                </c:pt>
                <c:pt idx="3">
                  <c:v>90.1</c:v>
                </c:pt>
                <c:pt idx="4">
                  <c:v>38</c:v>
                </c:pt>
                <c:pt idx="5">
                  <c:v>25.5</c:v>
                </c:pt>
                <c:pt idx="6">
                  <c:v>41.2</c:v>
                </c:pt>
                <c:pt idx="7">
                  <c:v>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67</c:v>
                </c:pt>
                <c:pt idx="1">
                  <c:v>72</c:v>
                </c:pt>
                <c:pt idx="2">
                  <c:v>67</c:v>
                </c:pt>
                <c:pt idx="3">
                  <c:v>67</c:v>
                </c:pt>
                <c:pt idx="4">
                  <c:v>53</c:v>
                </c:pt>
                <c:pt idx="5">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163</c:v>
                </c:pt>
                <c:pt idx="1">
                  <c:v>192</c:v>
                </c:pt>
                <c:pt idx="2">
                  <c:v>256</c:v>
                </c:pt>
                <c:pt idx="3">
                  <c:v>310</c:v>
                </c:pt>
                <c:pt idx="4">
                  <c:v>229</c:v>
                </c:pt>
                <c:pt idx="5">
                  <c:v>210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148</c:v>
                </c:pt>
                <c:pt idx="1">
                  <c:v>142</c:v>
                </c:pt>
                <c:pt idx="2">
                  <c:v>135</c:v>
                </c:pt>
                <c:pt idx="3">
                  <c:v>117</c:v>
                </c:pt>
                <c:pt idx="4">
                  <c:v>117</c:v>
                </c:pt>
                <c:pt idx="5">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52345</c:v>
                </c:pt>
                <c:pt idx="1">
                  <c:v>58115</c:v>
                </c:pt>
                <c:pt idx="2">
                  <c:v>43496</c:v>
                </c:pt>
                <c:pt idx="3">
                  <c:v>6918</c:v>
                </c:pt>
                <c:pt idx="4">
                  <c:v>261217</c:v>
                </c:pt>
                <c:pt idx="5">
                  <c:v>294170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69787</c:v>
                </c:pt>
                <c:pt idx="1">
                  <c:v>87301</c:v>
                </c:pt>
                <c:pt idx="2">
                  <c:v>130400</c:v>
                </c:pt>
                <c:pt idx="3">
                  <c:v>62290</c:v>
                </c:pt>
                <c:pt idx="4">
                  <c:v>161177</c:v>
                </c:pt>
                <c:pt idx="5">
                  <c:v>375353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49.4</c:v>
                </c:pt>
                <c:pt idx="1">
                  <c:v>47.2</c:v>
                </c:pt>
                <c:pt idx="2">
                  <c:v>46</c:v>
                </c:pt>
                <c:pt idx="3">
                  <c:v>17.3</c:v>
                </c:pt>
                <c:pt idx="4">
                  <c:v>47.3</c:v>
                </c:pt>
                <c:pt idx="5">
                  <c:v>88.7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11.2</c:v>
                </c:pt>
                <c:pt idx="1">
                  <c:v>11.2</c:v>
                </c:pt>
                <c:pt idx="2">
                  <c:v>11.2</c:v>
                </c:pt>
                <c:pt idx="3">
                  <c:v>11.2</c:v>
                </c:pt>
                <c:pt idx="4">
                  <c:v>11.2</c:v>
                </c:pt>
                <c:pt idx="5">
                  <c:v>11.2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24.9</c:v>
                </c:pt>
                <c:pt idx="1">
                  <c:v>30.4</c:v>
                </c:pt>
                <c:pt idx="2">
                  <c:v>39.3</c:v>
                </c:pt>
                <c:pt idx="3">
                  <c:v>15.6</c:v>
                </c:pt>
                <c:pt idx="4">
                  <c:v>34.4</c:v>
                </c:pt>
                <c:pt idx="5">
                  <c:v>57.6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-1.66</c:v>
                </c:pt>
                <c:pt idx="1">
                  <c:v>-0.56</c:v>
                </c:pt>
                <c:pt idx="2">
                  <c:v>-0.18</c:v>
                </c:pt>
                <c:pt idx="3">
                  <c:v>-0.11</c:v>
                </c:pt>
                <c:pt idx="4">
                  <c:v>-0.61</c:v>
                </c:pt>
                <c:pt idx="5">
                  <c:v>-0.61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100000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156</c:v>
                </c:pt>
                <c:pt idx="1">
                  <c:v>28976</c:v>
                </c:pt>
                <c:pt idx="2">
                  <c:v>3505</c:v>
                </c:pt>
                <c:pt idx="3">
                  <c:v>8260</c:v>
                </c:pt>
                <c:pt idx="4">
                  <c:v>3815</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15594</c:v>
                </c:pt>
                <c:pt idx="1">
                  <c:v>25456</c:v>
                </c:pt>
                <c:pt idx="2">
                  <c:v>25418</c:v>
                </c:pt>
                <c:pt idx="3">
                  <c:v>24881</c:v>
                </c:pt>
                <c:pt idx="4">
                  <c:v>27320</c:v>
                </c:pt>
                <c:pt idx="5">
                  <c:v>35754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14028</c:v>
                </c:pt>
                <c:pt idx="1">
                  <c:v>70148</c:v>
                </c:pt>
                <c:pt idx="2">
                  <c:v>50042</c:v>
                </c:pt>
                <c:pt idx="3">
                  <c:v>17</c:v>
                </c:pt>
                <c:pt idx="4">
                  <c:v>50080</c:v>
                </c:pt>
                <c:pt idx="5">
                  <c:v>114328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2</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Nomura Asset Management</c:v>
                </c:pt>
                <c:pt idx="1">
                  <c:v>Amova Asset Management</c:v>
                </c:pt>
                <c:pt idx="2">
                  <c:v>BlackRock Fund Advisors</c:v>
                </c:pt>
                <c:pt idx="3">
                  <c:v>BlackRock Japan</c:v>
                </c:pt>
                <c:pt idx="4">
                  <c:v>Autocartera</c:v>
                </c:pt>
              </c:strCache>
            </c:strRef>
          </c:cat>
          <c:val>
            <c:numRef>
              <c:f>Hoja1!$B$2:$B$6</c:f>
              <c:numCache>
                <c:formatCode>0.0"%"</c:formatCode>
                <c:ptCount val="5"/>
                <c:pt idx="0">
                  <c:v>12.18</c:v>
                </c:pt>
                <c:pt idx="1">
                  <c:v>6.07</c:v>
                </c:pt>
                <c:pt idx="2">
                  <c:v>3.89</c:v>
                </c:pt>
                <c:pt idx="3">
                  <c:v>2.48</c:v>
                </c:pt>
                <c:pt idx="4">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96.3</c:v>
                </c:pt>
                <c:pt idx="1">
                  <c:v>7.4</c:v>
                </c:pt>
                <c:pt idx="2">
                  <c:v>10.7</c:v>
                </c:pt>
                <c:pt idx="3">
                  <c:v>181.5</c:v>
                </c:pt>
                <c:pt idx="4">
                  <c:v>27.6</c:v>
                </c:pt>
                <c:pt idx="5">
                  <c:v>42.9</c:v>
                </c:pt>
                <c:pt idx="6">
                  <c:v>-20.9</c:v>
                </c:pt>
                <c:pt idx="7">
                  <c:v>128.5</c:v>
                </c:pt>
                <c:pt idx="8">
                  <c:v>92.8</c:v>
                </c:pt>
                <c:pt idx="9">
                  <c:v>114.5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Hoja1!$B$2:$B$7</c:f>
              <c:numCache>
                <c:formatCode>0.0"x"</c:formatCode>
                <c:ptCount val="6"/>
                <c:pt idx="0">
                  <c:v>21.6</c:v>
                </c:pt>
                <c:pt idx="1">
                  <c:v>14</c:v>
                </c:pt>
                <c:pt idx="2">
                  <c:v>11.9</c:v>
                </c:pt>
                <c:pt idx="3">
                  <c:v>46.6</c:v>
                </c:pt>
                <c:pt idx="4">
                  <c:v>16.7</c:v>
                </c:pt>
                <c:pt idx="5">
                  <c:v>27.9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FY2020</c:v>
                </c:pt>
                <c:pt idx="1">
                  <c:v>FY2021</c:v>
                </c:pt>
                <c:pt idx="2">
                  <c:v>FY2022</c:v>
                </c:pt>
                <c:pt idx="3">
                  <c:v>FY2023</c:v>
                </c:pt>
                <c:pt idx="4">
                  <c:v>FY2024</c:v>
                </c:pt>
                <c:pt idx="5">
                  <c:v>FY2025</c:v>
                </c:pt>
              </c:strCache>
            </c:strRef>
          </c:cat>
          <c:val>
            <c:numRef>
              <c:f>Hoja1!$C$2:$C$7</c:f>
              <c:numCache>
                <c:formatCode>0.0"x"</c:formatCode>
                <c:ptCount val="6"/>
                <c:pt idx="0">
                  <c:v>19.2</c:v>
                </c:pt>
                <c:pt idx="1">
                  <c:v>19.2</c:v>
                </c:pt>
                <c:pt idx="2">
                  <c:v>19.2</c:v>
                </c:pt>
                <c:pt idx="3">
                  <c:v>19.2</c:v>
                </c:pt>
                <c:pt idx="4">
                  <c:v>19.2</c:v>
                </c:pt>
                <c:pt idx="5">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Advantest</c:v>
                </c:pt>
                <c:pt idx="1">
                  <c:v>Teradyne</c:v>
                </c:pt>
                <c:pt idx="2">
                  <c:v>Tokyo Electron</c:v>
                </c:pt>
                <c:pt idx="3">
                  <c:v>Disco</c:v>
                </c:pt>
                <c:pt idx="4">
                  <c:v>KLA</c:v>
                </c:pt>
                <c:pt idx="5">
                  <c:v>FormFactor</c:v>
                </c:pt>
                <c:pt idx="6">
                  <c:v>Lam Research</c:v>
                </c:pt>
                <c:pt idx="7">
                  <c:v>ASML</c:v>
                </c:pt>
              </c:strCache>
            </c:strRef>
          </c:cat>
          <c:val>
            <c:numRef>
              <c:f>Hoja1!$B$2:$B$9</c:f>
              <c:numCache>
                <c:formatCode>0.0"x"</c:formatCode>
                <c:ptCount val="8"/>
                <c:pt idx="0">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420803</c:v>
                </c:pt>
                <c:pt idx="1">
                  <c:v>598847</c:v>
                </c:pt>
                <c:pt idx="2">
                  <c:v>707854</c:v>
                </c:pt>
                <c:pt idx="3">
                  <c:v>677504</c:v>
                </c:pt>
                <c:pt idx="4">
                  <c:v>599451</c:v>
                </c:pt>
                <c:pt idx="5">
                  <c:v>629824</c:v>
                </c:pt>
                <c:pt idx="6">
                  <c:v>650209</c:v>
                </c:pt>
                <c:pt idx="7">
                  <c:v>674182</c:v>
                </c:pt>
                <c:pt idx="8">
                  <c:v>692443</c:v>
                </c:pt>
                <c:pt idx="9">
                  <c:v>714132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3800326</c:v>
                </c:pt>
                <c:pt idx="1">
                  <c:v>2887704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34.340,00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5737.56</c:v>
                </c:pt>
                <c:pt idx="1">
                  <c:v>10061.01</c:v>
                </c:pt>
                <c:pt idx="2">
                  <c:v>13076.46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34.340,00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(16.325,00 – 41.990,00)</c:v>
                </c:pt>
                <c:pt idx="1">
                  <c:v>Precio objetivo de los analistas (23.000,00 – 55.000,00)</c:v>
                </c:pt>
                <c:pt idx="2">
                  <c:v>Comparables: PER NTM (31.266,43 – 34.894,02)</c:v>
                </c:pt>
                <c:pt idx="3">
                  <c:v>DCF (WACC y g ± 0,5) (9.406,66 – 10.864,98)</c:v>
                </c:pt>
                <c:pt idx="4">
                  <c:v>Escenarios (bajista – alcista) (5.737,56 – 13.076,46)</c:v>
                </c:pt>
                <c:pt idx="5">
                  <c:v>DCF con la prima implícita del mercado (4,2 %)</c:v>
                </c:pt>
                <c:pt idx="6">
                  <c:v>Precio actual (34.340,00)</c:v>
                </c:pt>
              </c:strCache>
            </c:strRef>
          </c:cat>
          <c:val>
            <c:numRef>
              <c:f>Hoja1!$B$2:$B$8</c:f>
              <c:numCache>
                <c:formatCode>#,##0</c:formatCode>
                <c:ptCount val="7"/>
                <c:pt idx="0">
                  <c:v>16325</c:v>
                </c:pt>
                <c:pt idx="1">
                  <c:v>23000</c:v>
                </c:pt>
                <c:pt idx="2">
                  <c:v>31266.43</c:v>
                </c:pt>
                <c:pt idx="3">
                  <c:v>9406.66</c:v>
                </c:pt>
                <c:pt idx="4">
                  <c:v>5737.56</c:v>
                </c:pt>
                <c:pt idx="5">
                  <c:v>11720.09</c:v>
                </c:pt>
                <c:pt idx="6">
                  <c:v>34168.3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(16.325,00 – 41.990,00)</c:v>
                </c:pt>
                <c:pt idx="1">
                  <c:v>Precio objetivo de los analistas (23.000,00 – 55.000,00)</c:v>
                </c:pt>
                <c:pt idx="2">
                  <c:v>Comparables: PER NTM (31.266,43 – 34.894,02)</c:v>
                </c:pt>
                <c:pt idx="3">
                  <c:v>DCF (WACC y g ± 0,5) (9.406,66 – 10.864,98)</c:v>
                </c:pt>
                <c:pt idx="4">
                  <c:v>Escenarios (bajista – alcista) (5.737,56 – 13.076,46)</c:v>
                </c:pt>
                <c:pt idx="5">
                  <c:v>DCF con la prima implícita del mercado (4,2 %)</c:v>
                </c:pt>
                <c:pt idx="6">
                  <c:v>Precio actual (34.340,00)</c:v>
                </c:pt>
              </c:strCache>
            </c:strRef>
          </c:cat>
          <c:val>
            <c:numRef>
              <c:f>Hoja1!$C$2:$C$8</c:f>
              <c:numCache>
                <c:formatCode>#,##0</c:formatCode>
                <c:ptCount val="7"/>
                <c:pt idx="0">
                  <c:v>25665</c:v>
                </c:pt>
                <c:pt idx="1">
                  <c:v>32000</c:v>
                </c:pt>
                <c:pt idx="2">
                  <c:v>3627.5899999999965</c:v>
                </c:pt>
                <c:pt idx="3">
                  <c:v>1458.3199999999997</c:v>
                </c:pt>
                <c:pt idx="4">
                  <c:v>7338.899999999999</c:v>
                </c:pt>
                <c:pt idx="5">
                  <c:v>1568.2299999999996</c:v>
                </c:pt>
                <c:pt idx="6">
                  <c:v>343.3999999999942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