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Cheniere Energy, Inc.</w:t>
      </w:r>
    </w:p>
    <w:p>
      <w:pPr>
        <w:spacing w:after="60"/>
        <w:rPr>
          <w:color w:val="52514E"/>
          <w:sz w:val="22"/>
          <w:szCs w:val="22"/>
        </w:rPr>
      </w:pPr>
      <w:r>
        <w:rPr>
          <w:color w:val="52514E"/>
          <w:sz w:val="22"/>
          <w:szCs w:val="22"/>
        </w:rPr>
        <w:t xml:space="preserve">LNG · NYSE · ISIN US16411R2085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279,69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234,02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222,90 USD · mercado 283,85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57.764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Cheniere Energy,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LNG / US16411R2085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Gas natural licuado (licuefacción y exportación)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Houston (Texas)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https://www.cheniere.com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279,69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186,20 – 300,89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57.764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97.825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234,02 USD</w:t>
      </w:r>
      <w:r>
        <w:t xml:space="preserve"> frente a 279,69 · Rentabilidad a 12 meses </w:t>
      </w:r>
      <w:r>
        <w:rPr>
          <w:b/>
          <w:bCs/>
        </w:rPr>
        <w:t xml:space="preserve">-15,6 % (base -6,6 %)</w:t>
      </w:r>
      <w:r>
        <w:t xml:space="preserve"> · Valor intrínseco 222,90 USD · con la prima implícita del mercado: 283,85 (+1,5 %) · Alcista / bajista +19,0 % / -62,6 %</w:t>
      </w:r>
    </w:p>
    <w:p>
      <w:pPr>
        <w:spacing w:after="100"/>
      </w:pPr>
      <w:r>
        <w:rPr>
          <w:b/>
        </w:rPr>
        <w:t xml:space="preserve">La recomendación y por qué.</w:t>
      </w:r>
      <w:r>
        <w:t xml:space="preserve"> Vender (para quien la tenga; no comprar para quien no), con convicción baja. El objetivo a 12 meses es de 234,02 USD: rentabilidad ponderada del −15,6 % y del −6,6 % en el base, frente a un objetivo medio de 22 analistas de 311,33. El valor intrínseco es de 222,90 USD, un 20,3 % por debajo del precio de 279,69. Fallan los tres requisitos de compra: la rentabilidad, el valor real y, por poco, la calidad (ROIC − WACC de 4,96 puntos). La convicción es baja porque con la prima de riesgo que paga hoy el mercado (4,20 %) el DCF daría 284,97 USD, el precio: la regla absoluta dice Vender y la relativa, Mantener. Subiría si la guía de 2027 vuelve a ≈7.000 M de EBITDA sin que caiga la acción; bajaría si Catar sigue parado en 2027.</w:t>
      </w:r>
    </w:p>
    <w:p>
      <w:pPr>
        <w:spacing w:after="100"/>
      </w:pPr>
      <w:r>
        <w:rPr>
          <w:b/>
        </w:rPr>
        <w:t xml:space="preserve">El negocio.</w:t>
      </w:r>
      <w:r>
        <w:t xml:space="preserve"> Cheniere licúa gas estadounidense y lo vende a Europa y Asia con contratos de 20 años que pagan una tarifa fija más el 115 % del Henry Hub: ≈90 % de la producción está vendida hasta mediados de la década de 2030 [1]. Encaja de lleno en la seguridad energética: sin gas ruso y con Ormuz cerrado, el GNL de EE. UU. ha llegado a ser el 64 % del que importa Europa [10]; la electricidad de los centros de datos de IA sostiene la demanda de gas a largo plazo. Es infraestructura de calidad (BBB+, ROIC del 13,6 % frente a un WACC del 8,65 %), pero no extraordinaria. Sostenibilidad Sí: el 5,1 % de crecimiento medio sale de trenes ya en obra y de la primera fase de Sabine Pass.</w:t>
      </w:r>
    </w:p>
    <w:p>
      <w:pPr>
        <w:spacing w:after="100"/>
      </w:pPr>
      <w:r>
        <w:rPr>
          <w:b/>
        </w:rPr>
        <w:t xml:space="preserve">Finanzas y equipo.</w:t>
      </w:r>
      <w:r>
        <w:t xml:space="preserve"> EBITDA ajustado de 6.943 M USD en 2025 y guía de 2026 subida dos veces, a 7.900-8.400 M, por el margen de los volúmenes no contratados durante la crisis [3, 6]. El beneficio GAAP no sirve (derivados de miles de millones): usamos el ajustado. La dirección cumple la guía, pero sus tres principales directivos vendieron 30,4 M USD en la semana del máximo de marzo [16].</w:t>
      </w:r>
    </w:p>
    <w:p>
      <w:pPr>
        <w:spacing w:after="100"/>
      </w:pPr>
      <w:r>
        <w:rPr>
          <w:b/>
        </w:rPr>
        <w:t xml:space="preserve">Valoración.</w:t>
      </w:r>
      <w:r>
        <w:t xml:space="preserve"> El DCF da 223,96 USD; para justificar el precio, Cheniere tendría que crecer un 5,9 % anual en 2027-2033 frente al 3,6 % de nuestro base, es decir, aprobar y llenar más ampliaciones de las que ya están en obra. Cotiza a 19,8 veces nuestro BPA ajustado de 2027e frente a una mediana histórica de 12,5: la regla común solo deja bajar el múltiplo un 10 % (base 18 veces), y aun así el BPA de 2028e (14,4) queda por debajo del de 2026e (15,6) porque se va el margen de la crisis.</w:t>
      </w:r>
    </w:p>
    <w:p>
      <w:pPr>
        <w:spacing w:after="100"/>
      </w:pPr>
      <w:r>
        <w:rPr>
          <w:b/>
        </w:rPr>
        <w:t xml:space="preserve">Riesgos y catalizadores.</w:t>
      </w:r>
      <w:r>
        <w:t xml:space="preserve"> El riesgo principal es el día después de Ormuz: paz, vuelta de Ras Laffan y la ola de oferta de 2027-2029 (bajista de 104,53 USD en el DCF y de 90,06 a 12 meses). Riesgo de IA bajo: negocio físico, y la IA empuja la demanda de gas. Catalizadores: 3T26 el 29-oct, guía de 2027 en febrero y la decisión de inversión de Sabine Pass.</w:t>
      </w:r>
    </w:p>
    <w:p>
      <w:pPr>
        <w:spacing w:after="100"/>
      </w:pPr>
      <w:r>
        <w:rPr>
          <w:b/>
        </w:rPr>
        <w:t xml:space="preserve">Qué cambiaría la decisión.</w:t>
      </w:r>
      <w:r>
        <w:t xml:space="preserve"> Compraríamos por debajo de 205,37 USD (límite robusto, con la v2 y el BPA −10 %, 169,90) si además el ROIC − WACC llega a 5 puntos; mantendríamos entre 205,37 y 262,42. Revisaríamos al alza con una guía de 2027 por encima de 8.000 M y Sabine Pass aprobada a ≥2,75 USD por MMBtu.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234,02 USD</w:t>
      </w:r>
      <w:r>
        <w:t xml:space="preserve"> (rentabilidad -15,6 % (base -6,6 %)) · Valor intrínseco: 222,90 USD (-20,3 % sobre 279,69) · con la prima implícita del mercado: 283,85 (+1,5 %)</w:t>
      </w:r>
    </w:p>
    <w:p>
      <w:pPr>
        <w:spacing w:after="100"/>
      </w:pPr>
      <w:r>
        <w:t xml:space="preserve">Cheniere es el mayor exportador de gas natural licuado de EE. UU.: cobra una tarifa fija por licuar gas para eléctricas y gasistas de Europa y Asia, con ≈90 % de la producción vendida a 15 años de media, rating BBB+ y una recompra de más de 10.000 M USD [1, 6]. La seguridad energética de Europa (sin gas ruso) y de Asia, y la demanda eléctrica de los centros de datos de IA, sostienen la demanda de sus contratos.</w:t>
      </w:r>
    </w:p>
    <w:p>
      <w:pPr>
        <w:spacing w:after="100"/>
      </w:pPr>
      <w:r>
        <w:t xml:space="preserve">El precio, 279,69 USD tras subir un 45 % en 2026, descuenta mucho: 19,8 veces nuestro BPA ajustado de 2027e frente a una mediana histórica de 12,5, con un EBITDA de 2026 inflado ≈1.000 M por el cierre de Ormuz y el ataque a Ras Laffan [3, 8].</w:t>
      </w:r>
    </w:p>
    <w:p>
      <w:pPr>
        <w:spacing w:after="100"/>
      </w:pPr>
      <w:r>
        <w:t xml:space="preserve">El mercado cree que la crisis dura y que las ampliaciones (40 Mtpa en tramitación) se aprobarán y rendirán. Nosotros incluimos la primera fase y un margen que vuelve poco a poco: el valor es de 222,90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11,40 = 90,06 · 18,0x × 14,40 = 259,20 · 18,0x × 18,20 = 327,60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311,33 (nuestro base -16,7 %)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 -62,6 %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8,7 %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205,37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205,37 y 262,42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262,42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205,37 USD, con el resto igual, pasaríamos a Comprar (si además el ROIC − WACC llega a 5 puntos).</w:t>
      </w:r>
    </w:p>
    <w:p>
      <w:pPr>
        <w:pStyle w:val="ListParagraph"/>
        <w:numPr>
          <w:ilvl w:val="0"/>
          <w:numId w:val="2"/>
        </w:numPr>
        <w:spacing w:after="60"/>
      </w:pPr>
      <w:r>
        <w:t xml:space="preserve">Entre 205,37 y 262,42 USD, Mantener.</w:t>
      </w:r>
    </w:p>
    <w:p>
      <w:pPr>
        <w:pStyle w:val="ListParagraph"/>
        <w:numPr>
          <w:ilvl w:val="0"/>
          <w:numId w:val="2"/>
        </w:numPr>
        <w:spacing w:after="60"/>
      </w:pPr>
      <w:r>
        <w:t xml:space="preserve">Si la guía de 2027 supera 8.000 M de EBITDA y se aprueba la fase 1 de Sabine Pass con ≥2,75 USD por MMBtu, subiríamos el BPA de 2028e un 10 % y revisaríamos.</w:t>
      </w:r>
    </w:p>
    <w:p>
      <w:pPr>
        <w:pStyle w:val="ListParagraph"/>
        <w:numPr>
          <w:ilvl w:val="0"/>
          <w:numId w:val="2"/>
        </w:numPr>
        <w:spacing w:after="60"/>
      </w:pPr>
      <w:r>
        <w:t xml:space="preserve">Si Catar reabre Ras Laffan entero antes del verano de 2027, iríamos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EBITDA se queda en ≈8.000 M USD y que las ampliaciones de Sabine Pass y Corpus Christi suman volumen contratado a buena tarifa: un 5,9 % de crecimiento anual en el DCF inverso.</w:t>
      </w:r>
    </w:p>
    <w:p>
      <w:pPr>
        <w:keepNext/>
        <w:spacing w:after="100"/>
      </w:pPr>
      <w:r>
        <w:rPr>
          <w:b/>
          <w:bCs/>
        </w:rPr>
        <w:t xml:space="preserve">Lo que creemos nosotros.</w:t>
      </w:r>
    </w:p>
    <w:p>
      <w:pPr>
        <w:spacing w:after="100"/>
      </w:pPr>
      <w:r>
        <w:t xml:space="preserve">Un negocio de infraestructura excelente con un año excepcional: EBITDA de vuelta a ≈7.500 M en 2027-2028, solo la primera fase de la ampliación y un múltiplo que no se queda en 20 veces.</w:t>
      </w:r>
    </w:p>
    <w:p>
      <w:pPr>
        <w:keepNext/>
        <w:spacing w:after="100"/>
      </w:pPr>
      <w:r>
        <w:rPr>
          <w:b/>
          <w:bCs/>
        </w:rPr>
        <w:t xml:space="preserve">Por qué podemos tener razón.</w:t>
      </w:r>
    </w:p>
    <w:p>
      <w:pPr>
        <w:spacing w:after="100"/>
      </w:pPr>
      <w:r>
        <w:t xml:space="preserve">El 90 % contratado protege la base, no el pico: el margen de 2026 es al contado y la ola de oferta de 2027-2029 y la vuelta de Catar lo reducirán.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9,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Contratos a 20 años con tarifa fija</w:t>
      </w:r>
      <w:r>
        <w:t xml:space="preserve"> sobre ≈90 % de la producción hasta mediados de la década de 2030 [1].</w:t>
      </w:r>
    </w:p>
    <w:p>
      <w:pPr>
        <w:pStyle w:val="ListParagraph"/>
        <w:numPr>
          <w:ilvl w:val="0"/>
          <w:numId w:val="2"/>
        </w:numPr>
        <w:spacing w:after="60"/>
      </w:pPr>
      <w:r>
        <w:rPr>
          <w:b/>
        </w:rPr>
        <w:t xml:space="preserve">Seguridad energética</w:t>
      </w:r>
      <w:r>
        <w:t xml:space="preserve">: el GNL de EE. UU. es ≈60 % del que importa Europa y la crisis de 2026 refuerza los contratos largos [10].</w:t>
      </w:r>
    </w:p>
    <w:p>
      <w:pPr>
        <w:pStyle w:val="ListParagraph"/>
        <w:numPr>
          <w:ilvl w:val="0"/>
          <w:numId w:val="2"/>
        </w:numPr>
        <w:spacing w:after="60"/>
      </w:pPr>
      <w:r>
        <w:rPr>
          <w:b/>
        </w:rPr>
        <w:t xml:space="preserve">Crecimiento visible</w:t>
      </w:r>
      <w:r>
        <w:t xml:space="preserve">: tren 7, trenes 8-9 (5 Mtpa) y la fase 1 de Sabine Pass con Bechtel ya contratado [3].</w:t>
      </w:r>
    </w:p>
    <w:p>
      <w:pPr>
        <w:pStyle w:val="ListParagraph"/>
        <w:numPr>
          <w:ilvl w:val="0"/>
          <w:numId w:val="2"/>
        </w:numPr>
        <w:spacing w:after="60"/>
      </w:pPr>
      <w:r>
        <w:rPr>
          <w:b/>
        </w:rPr>
        <w:t xml:space="preserve">Recompra de más de 10.000 M USD</w:t>
      </w:r>
      <w:r>
        <w:t xml:space="preserve"> hasta 2030 y dividendo creciente [6].</w:t>
      </w:r>
    </w:p>
    <w:p>
      <w:pPr>
        <w:pStyle w:val="ListParagraph"/>
        <w:numPr>
          <w:ilvl w:val="0"/>
          <w:numId w:val="2"/>
        </w:numPr>
        <w:spacing w:after="60"/>
      </w:pPr>
      <w:r>
        <w:rPr>
          <w:b/>
        </w:rPr>
        <w:t xml:space="preserve">Riesgo de IA bajo y demanda eléctrica de los centros de datos</w:t>
      </w:r>
      <w:r>
        <w:t xml:space="preserve"> a favor.</w:t>
      </w:r>
    </w:p>
    <w:p>
      <w:pPr>
        <w:pStyle w:val="Heading2"/>
      </w:pPr>
      <w:r>
        <w:t xml:space="preserve">En contra</w:t>
      </w:r>
    </w:p>
    <w:p>
      <w:pPr>
        <w:pStyle w:val="ListParagraph"/>
        <w:numPr>
          <w:ilvl w:val="0"/>
          <w:numId w:val="2"/>
        </w:numPr>
        <w:spacing w:after="60"/>
      </w:pPr>
      <w:r>
        <w:rPr>
          <w:b/>
        </w:rPr>
        <w:t xml:space="preserve">Rentabilidad a 12 meses del −15,6 %</w:t>
      </w:r>
      <w:r>
        <w:t xml:space="preserve"> (ponderada) y −6,6 % en el base.</w:t>
      </w:r>
    </w:p>
    <w:p>
      <w:pPr>
        <w:pStyle w:val="ListParagraph"/>
        <w:numPr>
          <w:ilvl w:val="0"/>
          <w:numId w:val="2"/>
        </w:numPr>
        <w:spacing w:after="60"/>
      </w:pPr>
      <w:r>
        <w:rPr>
          <w:b/>
        </w:rPr>
        <w:t xml:space="preserve">Valor intrínseco de 222,90 USD, un 20,3 % por debajo del precio</w:t>
      </w:r>
      <w:r>
        <w:t xml:space="preserve">.</w:t>
      </w:r>
    </w:p>
    <w:p>
      <w:pPr>
        <w:pStyle w:val="ListParagraph"/>
        <w:numPr>
          <w:ilvl w:val="0"/>
          <w:numId w:val="2"/>
        </w:numPr>
        <w:spacing w:after="60"/>
      </w:pPr>
      <w:r>
        <w:rPr>
          <w:b/>
        </w:rPr>
        <w:t xml:space="preserve">EBITDA de 2026 en un pico</w:t>
      </w:r>
      <w:r>
        <w:t xml:space="preserve"> por Ormuz: la guía ha subido un 16 % en el año [3].</w:t>
      </w:r>
    </w:p>
    <w:p>
      <w:pPr>
        <w:pStyle w:val="ListParagraph"/>
        <w:numPr>
          <w:ilvl w:val="0"/>
          <w:numId w:val="2"/>
        </w:numPr>
        <w:spacing w:after="60"/>
      </w:pPr>
      <w:r>
        <w:rPr>
          <w:b/>
        </w:rPr>
        <w:t xml:space="preserve">ROIC − WACC de 4,96 puntos</w:t>
      </w:r>
      <w:r>
        <w:t xml:space="preserve">, justo por debajo del umbral de 5 para comprar.</w:t>
      </w:r>
    </w:p>
    <w:p>
      <w:pPr>
        <w:pStyle w:val="ListParagraph"/>
        <w:numPr>
          <w:ilvl w:val="0"/>
          <w:numId w:val="2"/>
        </w:numPr>
        <w:spacing w:after="60"/>
      </w:pPr>
      <w:r>
        <w:rPr>
          <w:b/>
        </w:rPr>
        <w:t xml:space="preserve">Directivos vendiendo</w:t>
      </w:r>
      <w:r>
        <w:t xml:space="preserve"> 30,4 M USD en el máximo de marzo [16].</w:t>
      </w:r>
    </w:p>
    <w:p>
      <w:pPr>
        <w:pStyle w:val="Heading2"/>
      </w:pPr>
      <w:r>
        <w:t xml:space="preserve">Qué tiene que pasar para que la tesis funcione</w:t>
      </w:r>
    </w:p>
    <w:p>
      <w:pPr>
        <w:spacing w:after="100"/>
      </w:pPr>
      <w:r>
        <w:t xml:space="preserve">La tesis del mercado depende de que el margen de 2026 no se vaya. La señal está en la guía de 2027 (febrero) y en Ras Laffan: si la guía de EBITDA de 2027 sale por encima de 8.000 M USD con Catar todavía parado, el pico es más largo; si sale cerca de 7.000 M o Catar reabre antes de 2027, el múltiplo de 20 veces no se sostiene. La decisión de inversión de Sabine Pass, con su tarifa, es la segunda señal.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7.900-8.400 M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7.000 M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base contratada del pico de 2026.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de Ras Laffan y del estrecho de Ormuz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Fuerza mayor hasta noviembre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Reapertura completa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margen al contado.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Decisión de inversión de la ampliación de Sabine Pass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Pendiente de FERC y DOE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Retraso más allá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en el DCF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en circulación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 M (31-jul-2026)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200 M a final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sostiene 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 WACC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puntos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Requisito de calidad para comprar.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 · 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Cheniere nació en 1996 en Houston para importar gas natural licuado y construyó Sabine Pass como terminal de regasificación [1]. El gas de esquisto dio la vuelta al negocio: en 2012 decidió convertir Sabine Pass en planta de licuefacción y en 2016 exportó el primer cargamento de EE. UU. desde los 48 estados continentales [1]. Jack Fusco, consejero delegado desde 2016, pasó del modelo de promotor endeudado a uno de flujo de caja: Corpus Christi, contratos a 20 años, grado de inversión y, desde 2022, recompras. Las crisis de 2022 (Ucrania) y 2026 (Ormuz) han convertido el GNL estadounidense en la reserva de seguridad de Europa y Asia [8,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Houston; en los 2000 construye Sabine Pass como terminal de importación de GNL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inversión del primer tren de licuefacción de Sabine Pass, con el gas de esquisto como materia prima: la importadora pasa a exportadora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cargamento exportado desde Sabine Pass (24-feb); Jack Fusco, consejero delegado desde mayo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Corpus Christi (tres trenes) entra en servicio; Sabine Pass llega a seis trenes y más de 30 Mtpa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invasión de Ucrania dispara el precio internacional del gas: EBITDA ajustado de ≈11.600 M USD; decisión de inversión de la Etapa 3 de Corpus Christi (siete trenes medianos) y plan de capital «20/20 Vision»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cuatro trenes de la Etapa 3; decisión de inversión de los trenes 8-9; S&amp;P sube el rating a BBB+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Ataque iraní a Ras Laffan (Catar) y cierre del estrecho de Ormuz en marzo: el GNL de EE. UU. pasa a ser ≈60 % del que importa Europa; Cheniere sube dos veces su guía [3, 8,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Cheniere compra gas natural en EE. UU., lo enfría a −162 ºC para convertirlo en líquido (GNL) en sus dos plantas de la costa del golfo de México (Sabine Pass, en Luisiana, con más de 30 Mtpa, y Corpus Christi, en Texas, con más de 24 Mtpa) y lo vende a compañías eléctricas, gasistas y comercializadoras de Europa y Asia, que lo transportan en barco y lo vuelven a convertir en gas [1, 3]. Es el mayor exportador de GNL de EE. UU. y uno de los tres mayores del mundo, con ≈55 Mtpa en operación, más de 6 Mtpa en construcción y más de 40 Mtpa en tramitación [3].</w:t>
      </w:r>
    </w:p>
    <w:p>
      <w:pPr>
        <w:pStyle w:val="Heading2"/>
      </w:pPr>
      <w:r>
        <w:t xml:space="preserve">Cómo gana dinero</w:t>
      </w:r>
    </w:p>
    <w:p>
      <w:pPr>
        <w:spacing w:after="100"/>
      </w:pPr>
      <w:r>
        <w:t xml:space="preserve">Cobra sobre todo una tarifa fija por licuar: los contratos a largo plazo (SPA) pagan el 115 % del precio del gas en Henry Hub más una cuota fija de 2,25-3,50 USD por MMBtu, se pague o no se cargue el barco [1]. Así, ≈90 % de la producción está vendida hasta mediados de la década de 2030, con una vida media restante de 15 años [1]. El resto (≈5-10 %) lo vende Cheniere Marketing al precio internacional: en 2026, con Ras Laffan parado, ese margen ha hecho subir la guía de EBITDA un 16 % [3, 8]. Los ingresos siguen al precio del gas (pasa el coste), por eso el indicador es el EBITDA ajustado: 6.943 M USD en 2025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Licuefacción y venta de GNL (un solo segmento)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Licuefacción y venta de GNL (un solo segmento)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sede del comprador (no destino del cargament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30-40 compradores a largo plazo con buen crédito (eléctricas y gasistas europeas y asiáticas, petroleras integradas y comercializadoras); ninguno pesa el 10 % de los ingresos [1]. Por sede del comprador: EE. UU. el 18,8 % (comercializadoras que revenden), Singapur el 10,8 %, Reino Unido el 8,4 % y el resto del mundo el 62 % [1]. Contratos nuevos de 2025-2026: CPC (Taiwán, 1,2 Mtpa hasta 2050) y acuerdos IPM con productores como Canadian Natural [1,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GNL exportado (TBtu)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371 cargamentos en el 1S26 frente a 322; 2.424 TBtu y 670 cargamentos en todo 2025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prevista del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52-54 Mt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 Mt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el mínimo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los trenes medianos 5 y 6 de Corpus Christi Etapa 3 ya en servicio y el 7 en puesta en marcha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en operación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Mtpa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Mtpa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Mtpa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 Mtpa en construcción (tren 7 de la Etapa 3 y trenes 8-9) y más de 40 Mtpa en tramitación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contratada a largo plazo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hasta mediados de la década de 2030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 e IPM con una vida media restante de unos 15 años a 31-dic-2025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ajustado del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3.288 M USD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4.137 M USD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volumen y más margen por MMBtu en los volúmenes no contratados, por el cierre de Ormuz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GNL: licuefacción y exportación por mar. Lo medimos en volumen con la previsión de WoodMac que cita el 10-K: demanda de ≈410 Mtpa en 2024 y 671 Mtpa en 2040 (+3,1 % anual), con una necesidad de ≈104 Mtpa de capacidad nueva más allá de lo que ya está en construcción [1]. En valor, al precio medio de Cheniere (≈430 USD por tonelada), son ≈180.000 M USD hoy y ≈240.000 M en 2033.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Mtpa de demanda mundial de GNL en 2024 y 671 Mtpa en 2040 (WoodMac, 3T25) [1]; en valor, ≈180.000 M USD a 2025 al precio medio de Cheniere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Pico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oneladas al año (Mtp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energética de Europa (sin gas ruso) y crisis de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ha añadido más de 50 Mtpa de regasificación desde 2022; en la crisis de 2026 el GNL de EE. UU. llegó a ser el 64 % del que importa Europa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Asia (China, India, sudeste asiático) y cambio de carbón a 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tiene 9.000 km de gasoductos en construcción; China invierte en toda la cadena del gas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eléctrica de la IA y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consumo de gas para generar electricidad en EE. UU. y Asia; es un apoyo indirecto: sube algo el Henry Hub (que Cheniere repercute) y sostiene la demanda de contratos a 20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 de oferta nueva 2026-2029 (EE. UU. y Catar)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Golden Pass, Plaquemines, Corpus Christi Etapa 3 y la ampliación de North Field de Catar presionarán el margen al contado cuando se normalice Ormuz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Política energética y permisos en EE. UU. (FERC,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ampliaciones de Sabine Pass y Corpus Christi esperan permiso de la FERC y del DOE para exportar a países sin tratado de libre comercio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docena de proyectos estadounidenses, Catar y Australia compiten por contratos a largo plazo, sobre todo por precio por MMBtu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grandes, pero firmados a 20 años con pago aunque no carguen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 se compra a muchos productores y se repercute (115 % de Henry Hub); Bechtel construye casi todas las plantas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5.000-10.000 M USD, permisos federales y contratos previos: pocos llegan a la decisión de inversión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Gasoductos (Rusia, Noruega), renovables con baterías y nuclear a largo plazo; a 10 años el gas sigue siendo el respaldo de la red [1].</w:t>
            </w:r>
          </w:p>
        </w:tc>
      </w:tr>
    </w:tbl>
    <w:p>
      <w:pPr>
        <w:spacing w:after="160" w:before="0"/>
      </w:pPr>
    </w:p>
    <w:p>
      <w:pPr>
        <w:pStyle w:val="Heading2"/>
      </w:pPr>
      <w:r>
        <w:t xml:space="preserve">Ciclo</w:t>
      </w:r>
    </w:p>
    <w:p>
      <w:pPr>
        <w:spacing w:after="100"/>
      </w:pPr>
      <w:r>
        <w:t xml:space="preserve">El ciclo del margen al contado está en un pico por la crisis de Ormuz (fuerza mayor de Catar hasta noviembre y dos trenes con hasta tres años de reparación) [9]. Después llega una ola de oferta: el consenso del sector espera un mercado holgado en 2027-2029. Cheniere tiene el 90 % vendido a tarifa fija, así que el ciclo le mueve el 10-15 % del EBITDA, no la base.</w:t>
      </w:r>
    </w:p>
    <w:p>
      <w:pPr>
        <w:pStyle w:val="Heading2"/>
      </w:pPr>
      <w:r>
        <w:t xml:space="preserve">Regulación</w:t>
      </w:r>
    </w:p>
    <w:p>
      <w:pPr>
        <w:spacing w:after="100"/>
      </w:pPr>
      <w:r>
        <w:t xml:space="preserve">Exportar exige permiso del DOE (para países sin tratado de libre comercio) y de la FERC para construir; la pausa de permisos de 2024 se levantó en 2025 [1]. En junio de 2026 la FERC autorizó +5 Mtpa en Corpus Christi; la ampliación de Sabine Pass (hasta 20 Mtpa) y la de Corpus Christi (hasta 24 Mtpa) esperan permisos [3]. En Europa, el reglamento de metano exigirá medir las emisiones del GNL importado.</w:t>
      </w:r>
    </w:p>
    <w:p>
      <w:pPr>
        <w:pStyle w:val="Heading2"/>
      </w:pPr>
      <w:r>
        <w:t xml:space="preserve">Tendencias y disrupción</w:t>
      </w:r>
    </w:p>
    <w:p>
      <w:pPr>
        <w:spacing w:after="100"/>
      </w:pPr>
      <w:r>
        <w:t xml:space="preserve">Tres tendencias: (1) la seguridad energética como prioridad política en Europa y Asia, que favorece contratos largos con EE. UU.; (2) la electricidad de los centros de datos de IA, que sostiene el consumo de gas a 10-15 años; (3) la transición energética, que acorta el horizonte de los contratos más allá de 2040 y es el riesgo del valor terminal [1,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exportador de GNL de EE. UU. y uno de los tres mayores del mundo (≈11 % de la oferta mundial con ≈55 Mtpa), por detrás de QatarEnergy (≈77 Mtpa) y junto a las carteras de Shell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QatarEnergy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exportador (≈77 Mtpa); Ras Laffan dañado en marzo de 2026 y en fuerza mayor hasta noviembre; dos trenes pueden tardar tres años en repararse [8,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Venture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exportador de EE. UU. (Calcasieu Pass, Plaquemines); más peso de la venta al contado: cayó un 42 % desde marzo frente al 23 % de Cheniere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Woodside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GNL australiano y Louisiana LNG en construcción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 TotalEnergies, ExxonMobil (carteras de GNL)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que compran y venden GNL de varios orígenes; Golden Pass (Exxon y QatarEnergy) arranca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NextDecade, Sempra (Port Arthur), Energy Transfer (Lake Charles)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la segunda ola estadounidense que compiten por los mismos contratos a largo plazo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los compradores eligen por precio y fiabilidad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20 años con pago aunque no se cargue: el cliente no puede irse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FERC y DOE ya concedidos y emplazamientos con espacio para ampliar: la ampliación cuesta menos que una planta nueva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junto a plantas existentes y diez años de operación; 4.940 cargamentos sin fallos relevantes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pocas plantas grandes con contratos previos; la escala de Cheniere le da el mejor crédito del sector (BBB+) [A1].</w:t>
            </w:r>
          </w:p>
        </w:tc>
      </w:tr>
    </w:tbl>
    <w:p>
      <w:pPr>
        <w:spacing w:after="160" w:before="0"/>
      </w:pPr>
    </w:p>
    <w:p>
      <w:pPr>
        <w:pStyle w:val="Heading2"/>
      </w:pPr>
      <w:r>
        <w:t xml:space="preserve">Amenazas</w:t>
      </w:r>
    </w:p>
    <w:p>
      <w:pPr>
        <w:spacing w:after="100"/>
      </w:pPr>
      <w:r>
        <w:t xml:space="preserve">Por probabilidad: (1) la ola de oferta de 2027-2029 rebaja la tarifa de los contratos nuevos (la dirección habla de 2,50-3,00 USD por MMBtu) y el margen al contado; (2) Venture Global y los proyectos de la segunda ola compiten por los mismos compradores; (3) a largo plazo, la transición energética acorta la renovación de contratos después de 2040 [1,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2018-2025: ingresos </w:t>
      </w:r>
      <w:r>
        <w:rPr>
          <w:b/>
          <w:bCs/>
        </w:rPr>
        <w:t xml:space="preserve">14,0 %</w:t>
      </w:r>
      <w:r>
        <w:t xml:space="preserve">, EBITDA </w:t>
      </w:r>
      <w:r>
        <w:rPr>
          <w:b/>
          <w:bCs/>
        </w:rPr>
        <w:t xml:space="preserve">15,3 %</w:t>
      </w:r>
      <w:r>
        <w:t xml:space="preserve">, BPA </w:t>
      </w:r>
      <w:r>
        <w:rPr>
          <w:b/>
          <w:bCs/>
        </w:rPr>
        <w:t xml:space="preserve">43,8 %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han crecido un 14 % anual en 2018-2025, pero siguen al precio del gas: 33.428 M USD en 2022 y 15.703 M en 2024 [2]. Lo que mide el negocio es el EBITDA sin derivados: 6.826 M USD en 2025 (con los pagos en acciones como gasto), frente a 6.035 M en 2024 y ≈11.600 M en el pico de 2022 [6]. En el 1S26 el EBITDA ajustado subió un 26 %, a 4.137 M, por más volumen (Etapa 3) y más margen al contado [3]. El beneficio GAAP es ruido: −2.343 M en 2021 y +9.881 M en 2023 por los derivados [2].</w:t>
      </w:r>
    </w:p>
    <w:p>
      <w:pPr>
        <w:pStyle w:val="Heading2"/>
      </w:pPr>
      <w:r>
        <w:t xml:space="preserve">Ajustes y partidas no recurrentes</w:t>
      </w:r>
    </w:p>
    <w:p>
      <w:pPr>
        <w:spacing w:after="100"/>
      </w:pPr>
      <w:r>
        <w:t xml:space="preserve">Quitamos del EBITDA la variación de valor de los derivados antes de la entrega (sobre todo los contratos IPM): +3.615 M USD en 2025, +1.313 M en 2024, +7.890 M en 2023, −6.531 M en 2022 y −5.989 M en 2021 [2, 6]. Desde 2026 la empresa designa esos contratos como compras y ventas normales (NPNS), y el ruido se reducirá [3]. A diferencia del EBITDA ajustado de la empresa, el nuestro resta los pagos en acciones (113 M en 2025).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(6-ago) Cheniere subió por segunda vez la guía de 2026: EBITDA ajustado de 7.900-8.400 M USD y flujo distribuible de 5.300-5.800 M [3]. Exportó 184 cargamentos (+19 %), terminó el tren mediano 6 de la Etapa 3 y espera el 7 en otoño; firmó con Bechtel el contrato llave en mano de la primera fase de la ampliación de Sabine Pass (&gt;6 Mtpa) a la espera de los permisos [3]. El BPA ajustado del trimestre (3,02) quedó algo por debajo del consenso (3,11) [25].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ha pasado de promotor a grado de inversión: la deuda bajó de 31.487 M USD en 2020 a 22.995 M en 2025 y la deuda neta es de 3,2 veces el EBITDA (24.571 M) [2]. S&amp;P subió a BBB+ a Cheniere y a CQP en noviembre de 2025 [1]. Liquidez de 7.475 M [3]. El patrimonio contable, negativo hasta 2022 por las pérdidas de los derivados, es hoy de 6.191 M más 5.299 M de minoritarios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18.517</w:t>
      </w:r>
      <w:r>
        <w:t xml:space="preserve">, conversión </w:t>
      </w:r>
      <w:r>
        <w:rPr>
          <w:b/>
          <w:bCs/>
        </w:rPr>
        <w:t xml:space="preserve">100 %</w:t>
      </w:r>
      <w:r>
        <w:t xml:space="preserve"> del beneficio neto; adquisiciones 0, dividendos 1.690, recompras 8.245.</w:t>
      </w:r>
    </w:p>
    <w:p>
      <w:pPr>
        <w:spacing w:after="100"/>
      </w:pPr>
      <w:r>
        <w:t xml:space="preserve">El flujo operativo de 2025 fue de 5.539 M USD y el capex de 3.078 M (la Etapa 3 y los trenes 8-9), así que el flujo libre fue de ≈2.461 M [2]. El capex de mantenimiento es pequeño (≈200 M al año, según la guía) frente a una amortización de 1.329 M: por eso la empresa mide el «flujo distribuible», 5.290 M en 2025 [6]. En los últimos 12 meses el flujo libre fue de 2.791 M, después de 3.347 M de capex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KPMG con opinión favorable sobre las cuentas y el control interno de 2025 [1]. El riesgo contable está en la valoración de los contratos IPM como derivados (de nivel 3: precios internacionales a 15-20 años) que movía el beneficio en miles de millones; desde 2026 pasan a NPNS con un saldo diferido de 2.195 M de activo y 1.906 M de pasivo [3]. El Beneish (−1,59) queda por encima del umbral por los saltos de ingresos que vienen del precio del gas, no de la contabilidad.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IPM valorados con datos de nivel 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Mueven el beneficio GAAP miles de millones; los excluimos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 grandes (51,4 % de CQP)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neto ya los resta; en el valor los restamos a mercado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 en el máximo de marzo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 M USD en una semana a 290-300 USD [16].</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77 M en 2025 (el 0 % del capital invertido medio); ha subido más de un 5 % en 0 de 7 años: sin compras. ROIC publicado 13,6 %; sin fondo de comercio, 13,6 %. Sin compras relevantes: el publicado ya es el ROIC del negocio.</w:t>
      </w:r>
    </w:p>
    <w:p>
      <w:pPr>
        <w:spacing w:after="100"/>
      </w:pPr>
      <w:r>
        <w:rPr>
          <w:b/>
          <w:bCs/>
        </w:rPr>
        <w:t xml:space="preserve">ROIC incremental</w:t>
      </w:r>
      <w:r>
        <w:t xml:space="preserve"> (variación del NOPAT sobre variación del capital invertido en el periodo): 65,7 % · </w:t>
      </w:r>
      <w:r>
        <w:rPr>
          <w:b/>
          <w:bCs/>
        </w:rPr>
        <w:t xml:space="preserve">WACC</w:t>
      </w:r>
      <w:r>
        <w:t xml:space="preserve">: 8,7 %.</w:t>
      </w:r>
    </w:p>
    <w:p>
      <w:pPr>
        <w:spacing w:after="100"/>
      </w:pPr>
      <w:r>
        <w:t xml:space="preserve">El ROIC de 2025 es del 13,6 % (NOPAT de 4.509 M sobre un capital invertido de 33.141 M), frente a un WACC del 8,65 %: la diferencia, 4,96 puntos, queda justo por debajo de los 5 que pedimos para comprar. Fue del 6-8 % en 2018-2020, cuando las plantas se estaban llenando, y del 36 % en el pico de 2022. Es un negocio de infraestructura: rinde bien sobre el coste de capital pero no extraordinario, y depende de que las ampliaciones se contraten a 2,50-3,00 USD por MMBtu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1.099 M USD (443 M en Cheniere Partners) y 420 M de caja restringida a 30-jun-2026; 5.956 M de líneas de crédito sin disponer: liquidez total de 7.475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estable; subido en noviembre de 2025) para Cheniere y CQP; CCH BBB+ con perspectiva positiva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de 24.257 M USD a 30-jun-2026, casi toda de las filiales de proyecto (SPL, CQP, CCH) y 4.750 M de la matriz [4]. Arrendamientos financieros de buques de 1.413 M (en el puente) y operativos de 2.513 M (dentro del EBITDA); compromisos de fletes que empiezan después por ≈6.000 M [4]. Pasivos por impuestos diferidos de 3.629 M [4].</w:t>
      </w:r>
    </w:p>
    <w:p>
      <w:pPr>
        <w:pStyle w:val="Heading1"/>
      </w:pPr>
      <w:r>
        <w:t xml:space="preserve">12. Asignación de capital</w:t>
      </w:r>
    </w:p>
    <w:p>
      <w:pPr>
        <w:spacing w:after="100"/>
      </w:pPr>
      <w:r>
        <w:t xml:space="preserve">Plan de capital «todo a la vez»: dividendo creciente (0,555 USD al trimestre, 2,22 al año), recompras (más de 10.000 M USD autorizados para 2026-2030; 1.100 M en el 1S26 a ≈225 USD de media), reducción de deuda y ampliaciones con rentabilidad sin apalancar superior al coste del capital [3, 6]. La empresa apunta a ≈30 USD de flujo distribuible por acción con unos 175 M de acciones al acabar la recompra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de capital disciplinada: el plan «20/20 Vision» (2022-2025) desplegó más de 20.000 M USD y las acciones diluidas bajaron de 253 M en 2022 a 220 M en 2025 (−13 %) [2, 6]. Las ampliaciones se aprueban solo con ≈90 % contratado. La duda: recomprar a ≈280 USD, 10 veces el flujo distribuible de un año excepcional, rinde menos que hacerlo a 200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A. Fusco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mayo de 2016 (antes, Calpine); presidente del consejo desde la junta de mayo de 2026. Con él Cheniere pasó de su primer cargamento a ≈55 Mtpa, al rating BBB+ y al plan «20/20 Vision» de recompras y reducción de deuda [6,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Zach Davis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 llevado la reducción de deuda, el paso a grado de inversión y la nueva autorización de recompra de más de 10.000 M USD hasta 2030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Anatol Feygin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contratos a largo plazo (SPA e IPM) que cubren ≈90 % de la producción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Sean N. Markowitz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Permisos de FERC y DOE para las ampliaciones [14].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6.600-7.000 M USD (reiterada en octubre de 2025)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6.943 M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6.750-7.250 M USD (febrero), subida a 7.250-7.750 M (mayo) y a 7.900-8.400 M (agosto) [3,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4.137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probado: Fusco lleva diez años y ha llevado a Cheniere de un cargamento a ≈55 Mtpa sin retrasos graves, con proyectos terminados antes de plazo (Etapa 3) [3, 14]. Cumple su guía: 2025 en la parte alta (6.943 M frente a 6.600-7.000) y 2026 subida dos veces [3, 6, 7]. Señal negativa: los tres directivos principales y el presidente saliente vendieron 30,4 M USD en la semana del máximo de marzo de 2026 [16].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A. Fusco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K. Collawn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 Edwards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Gray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Lorraine Mitchelmore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 Benjamin Moreland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Peak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Donald F. Robillard,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Neal A. Shear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Britt Vitalone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1,04 / ventas 29,43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marzo de 2026 (después reparte la tenencia entre sus filiales)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octubre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28,4 M USD en marzo de 2026, cerca de máximos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Zach Davis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Anatol Feygin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Sean N. Markowitz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 Andrea Botta (presidente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Neal A. Shear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 Benjamin Moreland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25,6 M USD en 2025 (sueldo de 1,79 M, bonus objetivo del 160 % del sueldo y el resto en acciones a largo plazo ligadas al flujo distribuible por acción y a la rentabilidad para el accionista) [14]. Ratio salarial de 110:1. La junta de 2026 la aprobó con un 90,1 % a favor [15].</w:t>
      </w:r>
    </w:p>
    <w:p>
      <w:pPr>
        <w:pStyle w:val="Heading2"/>
      </w:pPr>
      <w:r>
        <w:t xml:space="preserve">Operaciones vinculadas, estructura de control y defensas</w:t>
      </w:r>
    </w:p>
    <w:p>
      <w:pPr>
        <w:spacing w:after="100"/>
      </w:pPr>
      <w:r>
        <w:t xml:space="preserve">Sin accionista de control: Vanguard (≈10 %) y BlackRock (7,6 %) son los mayores; la dirección tiene menos del 1 % [14]. Una acción, un voto, y consejeros elegidos cada año. Desde mayo de 2026 Fusco es presidente y consejero delegado, con Patricia Collawn como consejera coordinadora [14]. Cheniere controla Cheniere Partners (CQP, cotizada) con el socio general y el 48,6 %: hay conflicto potencial con sus partícipes [14].</w:t>
      </w:r>
    </w:p>
    <w:p>
      <w:pPr>
        <w:pStyle w:val="Heading2"/>
      </w:pPr>
      <w:r>
        <w:t xml:space="preserve">Señales de alerta</w:t>
      </w:r>
    </w:p>
    <w:p>
      <w:pPr>
        <w:pStyle w:val="ListParagraph"/>
        <w:numPr>
          <w:ilvl w:val="0"/>
          <w:numId w:val="2"/>
        </w:numPr>
        <w:spacing w:after="60"/>
      </w:pPr>
      <w:r>
        <w:t xml:space="preserve">Ventas de la dirección por 29,4 M USD en 12 meses, casi todas en la semana del 26 al 30-mar-2026, a 290-300 USD (el máximo anual), sin plan 10b5-1 declarado; una sola compra, de un consejero, por 1,0 M a 208 USD [16].</w:t>
      </w:r>
    </w:p>
    <w:p>
      <w:pPr>
        <w:pStyle w:val="ListParagraph"/>
        <w:numPr>
          <w:ilvl w:val="0"/>
          <w:numId w:val="2"/>
        </w:numPr>
        <w:spacing w:after="60"/>
      </w:pPr>
      <w:r>
        <w:t xml:space="preserve">Desde mayo de 2026 el consejero delegado es también presidente del consejo, con una consejera coordinadora independiente [14].</w:t>
      </w:r>
    </w:p>
    <w:p>
      <w:pPr>
        <w:pStyle w:val="ListParagraph"/>
        <w:numPr>
          <w:ilvl w:val="0"/>
          <w:numId w:val="2"/>
        </w:numPr>
        <w:spacing w:after="60"/>
      </w:pPr>
      <w:r>
        <w:t xml:space="preserve">Cheniere controla Cheniere Partners (CQP) con el 48,6 % de las participaciones y el 100 % del socio general: posibles conflictos con los partícipes minoritarios; un consejero (Scott Peak) entra por el acuerdo de 2012 con el antiguo socio de Blackstone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(6-ago-2026): EBITDA ajustado de 7.900-8.400 M USD y flujo distribuible de 5.300-5.800 M, con 53-54 Mt de producción [3]. En febrero era de 6.750-7.250 M y 4.350-4.850 M; en mayo, 7.250-7.750 M [3, 6]. La empresa prevé ≈30 USD de flujo distribuible por acción a largo plazo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[19]; su BPA (23,16) no está en la base ajustada de la empresa: no se usa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[19]; BPA (20,80) en base mezclada: no se usa</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262,00 – 340,00</w:t>
            </w:r>
          </w:p>
        </w:tc>
      </w:tr>
    </w:tbl>
    <w:p>
      <w:pPr>
        <w:spacing w:after="160" w:before="0"/>
      </w:pPr>
    </w:p>
    <w:p>
      <w:pPr>
        <w:pStyle w:val="Heading2"/>
      </w:pPr>
      <w:r>
        <w:t xml:space="preserve">Revisiones de estimaciones</w:t>
      </w:r>
    </w:p>
    <w:p>
      <w:pPr>
        <w:spacing w:after="100"/>
      </w:pPr>
      <w:r>
        <w:t xml:space="preserve">Revisiones al alza durante todo 2026, empujadas por el cierre de Ormuz: la guía de EBITDA ha subido un 16 % en el punto medio [3]. El objetivo medio de 22 analistas es de 311,33 USD (262-340), con 20 recomendaciones de compra y 2 de mantener [19]. El consenso trimestral del 3T26 está en 4,21-4,49 USD de BPA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subido un 44,9 % en 2026 con dividendos (el sector de la energía, un 54,3 %) y un 24,9 % en un año, frente al 17,5 % del S&amp;P 500 [18]. En diez años, un 21,9 % anual. La beta mensual de cinco años es casi nula (0,04) y la semanal de cinco años de 0,38: la acción se mueve con el gas y la geopolítica, no con la bolsa. Volatilidad del 28,6 % y caída máxima del 24,9 % (ene-dic de 2025) [18].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 / +6,3 % / +6,2 % / +23,3 %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 +47,8 %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mínimo de 186,20 USD (16-dic) al máximo de 300,89 (30-mar): el ataque iraní a Ras Laffan (2-mar) y el cierre de Ormuz dispararon el precio internacional del gas [8,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alto el fuego entre EE. UU. e Irán hundió las energéticas (Cheniere −6 % a −7 % en un día)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del año (hasta el 29-may): negociaciones de paz, gas más barato y almacenamiento alto en EE. UU.; Venture Global cayó un 42 % desde marzo [10,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(hasta el 24-jul): nuevo cierre de Ormuz y ataque a un petrolero, Catar suspende la vuelta de Ras Laffan [13,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consenso de BPA de 4,21-4,49 USD [22,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Catar amplía la fuerza mayor del GNL hasta noviembre; dos trenes dañados pueden tardar tres años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subida de la guía de 2026 (EBITDA de 7.900-8.400 M USD)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Bechtel y obras previas de la fase 1 de la ampliación de Sabine Pass; decisión de inversión pendiente de FERC y DOE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el comercial, el jurídico y el presidente saliente venden 30,4 M USD a 290-300 USD en la semana del máximo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autorización de recompra de más de 10.000 M USD hasta 2030 (reduce acciones, no las amplía)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 sube el objetivo a 330 USD desde 280 (Comprar); objetivo medio actual 311,33 [10,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vive de la geopolítica: subió un 55 % de diciembre a marzo con el ataque a Ras Laffan y el cierre de Ormuz, cayó un 17 % en mayo con las negociaciones y recuperó en julio con el nuevo cierre; hoy está a un 6 % de máximos, con tendencia alcista [18]. No hay colocaciones, ampliaciones ni litigios pendientes; los directivos vendieron en marzo, en el máximo, sin repetirlo después [16]. El hecho pendiente que más mueve el precio es el fin de la crisis de Ormuz, que bajaría el margen al contado; ya está en el bajista. Como la señal no es de compra, el veredicto de precio y noticias no la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EBITDA sin derivados, Cheniere cotiza a 12,7 veces el de los últimos 12 meses, por encima de su media de cinco años (10,4) y en el percentil 80; con el beneficio publicado, a 20,3 veces frente a 15,1 [18]. En la base adelantada de la regla (BPA ajustado del año siguiente) paga 19,8 veces frente a una mediana de 12,5: el mercado ha subido el múltiplo porque el negocio es ahora de flujo contratado con grado de inversión y recompras, y porque supone que las ampliaciones crearán valor. Parte de la prima es estructural (menos riesgo que en 2018-2020), parte es del ciclo de 2026.</w:t>
      </w:r>
    </w:p>
    <w:p>
      <w:pPr>
        <w:pStyle w:val="Heading1"/>
      </w:pPr>
      <w:r>
        <w:t xml:space="preserve">18. Comparables cotizados</w:t>
      </w:r>
    </w:p>
    <w:p>
      <w:pPr>
        <w:pStyle w:val="Confianza"/>
        <w:spacing w:after="100"/>
      </w:pPr>
      <w:r>
        <w:t xml:space="preserve">Confianza: Media</w:t>
      </w:r>
    </w:p>
    <w:p>
      <w:pPr>
        <w:spacing w:after="100"/>
      </w:pPr>
      <w:r>
        <w:t xml:space="preserve">Seis cotizadas de infraestructura energética: el otro gran exportador de GNL de EE. UU. (Venture Global), un productor con GNL (Woodside) y cuatro de gasoductos y tratamiento con contratos de pago fijo (Williams, Kinder Morgan, Energy Transfer, Targa). Cifras de Stock Analysis al 14-15-oct [23]. Fuera QatarEnergy y Shell (no cotizan o son integradas) y NextDecade (sin beneficios).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Cheniere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Venture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Williams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Kinder Morgan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 Transfer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Targa Resources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Woodside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11,6x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4,5x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Cheniere cotiza a 12,7 veces el EBITDA de los últimos 12 meses, por encima de Venture Global (9,5), Energy Transfer (8,1) y Woodside (7,4) y por debajo de Williams (16,4), Targa (14,5) y Kinder Morgan (13,8) [23]. La mediana del PER adelantado es de 17,3 veces, pero mezcla bases y negocios: Venture Global (7,7) refleja su riesgo de venta al contado y litigios; las de gasoductos, flujos regulados más largos. Pesan 0 en el valor y solo entran en el alcista de la regla.</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operaciones comparables con múltiplos públicos fiables: las ventas de participaciones en proyectos de GNL no publican EV/EBITDA y Cheniere no ha comprado ni vendido negocios relevantes.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2026e: +15 % (1S26 real de 11.600 M USD y un 2S parecido) [3]. Después: +2 % en 2027 y +1 % en 2028 (más volumen con el tren 7 y los trenes 8-9, pero precio internacional más bajo), +7 % en 2029 (trenes 8-9 todo el año), +6 % y +5 % en 2030-2031 (fase 1 de la ampliación de Sabine Pass, &gt;6 Mtpa) y 2-2,5 % al final. No incluimos el resto de las ampliaciones (≈34 Mtpa) porque no tienen permisos ni contratos.</w:t>
      </w:r>
    </w:p>
    <w:p>
      <w:pPr>
        <w:keepNext/>
        <w:spacing w:after="100"/>
      </w:pPr>
      <w:r>
        <w:rPr>
          <w:b/>
          <w:bCs/>
        </w:rPr>
        <w:t xml:space="preserve">Márgenes.</w:t>
      </w:r>
    </w:p>
    <w:p>
      <w:pPr>
        <w:spacing w:after="100"/>
      </w:pPr>
      <w:r>
        <w:t xml:space="preserve">Margen EBITDA sin derivados y después de pagos en acciones del 34,8 % en 2026e (8.000 M sobre 23.000 M), el 32 % en 2027e y el 31 % en 2028e por la normalización del margen al contado, y un 32,5 % al final (el 34,2 % de 2025 incluía Henry Hub bajo) [6]. El EBITDA vuelve a ≈7.300-7.500 M y sube con los trenes nuevos.</w:t>
      </w:r>
    </w:p>
    <w:p>
      <w:pPr>
        <w:keepNext/>
        <w:spacing w:after="100"/>
      </w:pPr>
      <w:r>
        <w:rPr>
          <w:b/>
          <w:bCs/>
        </w:rPr>
        <w:t xml:space="preserve">Inversión y circulante.</w:t>
      </w:r>
    </w:p>
    <w:p>
      <w:pPr>
        <w:spacing w:after="100"/>
      </w:pPr>
      <w:r>
        <w:t xml:space="preserve">Capex del 15 % de las ventas en 2026 (Etapa 3, trenes 8-9 y obras previas de Sabine Pass: 2.100 M en el 1S26), 10-12 % en 2027-2028 por la ampliación, 9 % en 2029 y 3,5-4 % después (mantenimiento ≈1 %, desembotellamientos y reposición) [3]. Amortización del 6,8 % y circulante del 7 % de las ventas. Impuesto del 16 % sobre el EBIT consolidado (CQP no tributa por la parte de terceros).</w:t>
      </w:r>
    </w:p>
    <w:p>
      <w:pPr>
        <w:keepNext/>
        <w:spacing w:after="100"/>
      </w:pPr>
      <w:r>
        <w:rPr>
          <w:b/>
          <w:bCs/>
        </w:rPr>
        <w:t xml:space="preserve">Coste del capital.</w:t>
      </w:r>
    </w:p>
    <w:p>
      <w:pPr>
        <w:spacing w:after="100"/>
      </w:pPr>
      <w:r>
        <w:t xml:space="preserve">Tasa libre del 5,21 % (bono de EE. UU. a 10 años del 13-oct-2026) [20], prima de mercado del 5,5 % y beta de 0,9: la regresión de la acción no sirve (0,04 mensual, 0,38 semanal) porque se mueve con el gas, no con la bolsa; usamos la de infraestructura energética apalancada. Coste de la deuda del 5,5 % (CQP emitió al 5,35 % a 2036 en junio) [3]. Peso de la deuda del 26 % a mercado (deuda frente a capitalización y minoritarios). WACC del 8,65 %.</w:t>
      </w:r>
    </w:p>
    <w:p>
      <w:pPr>
        <w:keepNext/>
        <w:spacing w:after="100"/>
      </w:pPr>
      <w:r>
        <w:rPr>
          <w:b/>
          <w:bCs/>
        </w:rPr>
        <w:t xml:space="preserve">Valor terminal.</w:t>
      </w:r>
    </w:p>
    <w:p>
      <w:pPr>
        <w:spacing w:after="100"/>
      </w:pPr>
      <w:r>
        <w:t xml:space="preserve">Gordon con un 1,5 % de crecimiento: las plantas duran 30-40 años y los contratos tienen 15 años de vida media, pero después de 2040 la renovación es incierta por la transición energética. El valor terminal es el 66 %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34 %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(histórico: 65,7 %)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frente al 5,1 %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(hoy: 11,0 %)</w:t>
            </w:r>
          </w:p>
        </w:tc>
      </w:tr>
    </w:tbl>
    <w:p>
      <w:pPr>
        <w:spacing w:after="160" w:before="0"/>
      </w:pPr>
    </w:p>
    <w:p>
      <w:pPr>
        <w:spacing w:after="100"/>
      </w:pPr>
      <w:r>
        <w:t xml:space="preserve">La proyección apenas necesita inversión neta de la amortización (reinversión acumulada de 1.237 M, el 3 % del NOPAT, con un capex bruto medio del 7,6 % de las ventas). En un negocio de activos ligeros, el crecimiento medio del 5,1 % tiene que salir de subir precios y de ganar volumen sin capital nuevo, y la prueba es el poder de precios y la cuota (12,3 % del mercado en 2033e,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53-54 Mt (+9 % frente a 49 Mt) y precio internacional alto por Ormuz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 7 y Etapa 3 completa todo el año (+5 % de volumen); precio a la baja con la vuelta parcial de Catar.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Trenes 8-9 en el 2S28; precio todavía a la baja por la ola de oferta.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Trenes 8-9 todo el año (≈5 Mtpa).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fase de la ampliación de Sabine Pass (&gt;6 Mtpa) en marcha parcial.</w:t>
            </w:r>
          </w:p>
        </w:tc>
      </w:tr>
    </w:tbl>
    <w:p>
      <w:pPr>
        <w:spacing w:after="160" w:before="0"/>
      </w:pPr>
    </w:p>
    <w:p>
      <w:pPr>
        <w:spacing w:after="100"/>
      </w:pPr>
      <w:r>
        <w:t xml:space="preserve">Sí: el crecimiento proyectado (5,1 % de media) está por debajo del histórico (14 %) y sale de volumen ya construido o en construcción (tren 7, trenes 8-9) y de la fase 1 de Sabine Pass, que financiamos con capex propio (10-12 % de las ventas en 2027-2028). La cuota pasa del 11,0 % al 12,3 % del mercado en 2033, coherente con un mercado que crece un 3 % y con 90 % de la capacidad contratada. El motor llega al mismo veredicto. La reinversión neta parece baja (3 % del NOPAT) porque la amortización (6,8 % de las ventas) supera al capex de mantenimiento de unas plantas de vida larga; las ampliaciones sí están pagadas en 2026-2029.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36,2 % (base: 32,5 %)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8,7 %)</w:t>
            </w:r>
          </w:p>
        </w:tc>
      </w:tr>
    </w:tbl>
    <w:p>
      <w:pPr>
        <w:spacing w:after="160" w:before="0"/>
      </w:pPr>
    </w:p>
    <w:p>
      <w:pPr>
        <w:spacing w:after="100"/>
      </w:pPr>
      <w:r>
        <w:t xml:space="preserve">El DCF da 223,96 USD por acción, un 19,9 % por debajo del precio, con el 66 % del valor en el terminal. Para justificar 279,69 USD, Cheniere tendría que crecer un 5,9 % anual en 2027-2033 (frente al 3,6 % de nuestros años no fijos) con nuestros márgenes: en la práctica, aprobar y llenar una segunda fase de ampliación. La rentabilidad implícita en el precio es del 7,8 % anual, por debajo del WACC (8,65 %). No es una exigencia absurda para una empresa con 40 Mtpa en tramitación, pero es pagar hoy por ampliaciones sin permisos ni contratos, y con el margen de 2026 en la cuenta.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Paz con Irán, vuelta de Ras Laffan y ola de oferta: margen al contado nulo, tarifas nuevas de 2,50 USD y crecimiento del 3 % de media con un margen tres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se normaliza poco a poco; los trenes 8-9 y la fase 1 de Sabine Pass añaden volumen; margen EBITDA del 31-32,5 %.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crisis de oferta dura hasta 2029, la demanda eléctrica y asiática absorbe la nueva oferta y Cheniere aprueba más fases: crecimiento del 7 % de media y margen dos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279,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221,30 USD (-20,9 %).</w:t>
      </w:r>
    </w:p>
    <w:p>
      <w:pPr>
        <w:spacing w:after="100"/>
      </w:pPr>
      <w:r>
        <w:t xml:space="preserve">La asimetría a largo plazo es desfavorable: el bajista (104,53 USD) pierde un 63 % y el alcista (332,73) gana un 19 %. A 12 meses también: objetivo ponderado de 234,02 USD (−15,6 %), con un bajista de 90,06 (−67,8 %) por el mínimo histórico del PER adelantado (7,9 veces) y un alcista de 327,60 (+17,1 %). El valor ponderado de los escenarios es de 222,90 USD.</w:t>
      </w:r>
    </w:p>
    <w:p>
      <w:pPr>
        <w:pStyle w:val="Heading1"/>
      </w:pPr>
      <w:r>
        <w:t xml:space="preserve">22. Suma de partes</w:t>
      </w:r>
    </w:p>
    <w:p>
      <w:pPr>
        <w:pStyle w:val="Confianza"/>
        <w:spacing w:after="100"/>
      </w:pPr>
      <w:r>
        <w:t xml:space="preserve">Confianza: Alta</w:t>
      </w:r>
    </w:p>
    <w:p>
      <w:pPr>
        <w:spacing w:after="100"/>
      </w:pPr>
      <w:r>
        <w:t xml:space="preserve">No aplica como método de valoración: un solo negocio (licuefacción y venta de GNL). La participación del 48,6 % en Cheniere Partners (CQP, cotizada) se trata consolidando el 100 % en el DCF y restando a precio de mercado la parte de terceros (51,4 %, 15.490 M USD).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279,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222,90 USD (-20,3 % sobre 279,69).</w:t>
      </w:r>
    </w:p>
    <w:p>
      <w:pPr>
        <w:spacing w:after="100"/>
      </w:pPr>
      <w:r>
        <w:t xml:space="preserve">El valor intrínseco (222,90 USD) sale del DCF (60 %) y de los escenarios (40 %). Los comparables pesan 0 porque mezclan negocios (gasoductos regulados) y bases de beneficio; su EV/EBITDA daría 120-339 USD según el múltiplo. Las transacciones no pesan (sin operaciones con múltiplo). Con la prima implícita del mercado (4,20 %) el WACC bajaría al 7,78 % y el DCF subiría a 284,97 USD, el precio de hoy: la acción está valorada con la prima de riesgo del mercado actual, sin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(19.8x) ÷ 1.1 (tope: la mediana de 5 años, 12.5x,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r>
    </w:tbl>
    <w:p>
      <w:pPr>
        <w:spacing w:after="160" w:before="0"/>
      </w:pPr>
    </w:p>
    <w:p>
      <w:pPr>
        <w:spacing w:after="100"/>
      </w:pPr>
      <w:r>
        <w:rPr>
          <w:b/>
          <w:bCs/>
        </w:rPr>
        <w:t xml:space="preserve">Objetivo a 12 meses (ponderado):</w:t>
      </w:r>
      <w:r>
        <w:t xml:space="preserve"> 234,02 USD · rentabilidad -15,6 % (base -6,6 %) · señal Vender.</w:t>
      </w:r>
    </w:p>
    <w:p>
      <w:pPr>
        <w:spacing w:after="100"/>
      </w:pPr>
      <w:r>
        <w:t xml:space="preserve">Para comparar, con la regla v2 (historia al cierre, mismo precio): 6,3x / 13,4x / 17,3x, -30,2 % Vender; con el tope anterior del base (×1,3, 14-oct mediodía): -22,6 %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No hay un BPA anual de consenso fiable en la base de la empresa: Stock Analysis da 23,16 para 2026e y 20,80 para 2027e, cifras que no cuadran con el ajustado publicado (7,79 en el 1S26) ni con la guía, y el consenso trimestral del 3T26 es de 4,21-4,49 [19, 25]. Nuestro BPA de 2026e (15,6) suma el 1S26 real y un 2S como el primero, en línea con la guía de flujo distribuible. El objetivo medio de 22 analistas (311,33 USD) queda un 33 % sobre nuestro objetivo ponderado (234,02) y un 20 % sobre el base (259,2): los analistas valoran por flujo distribuible por acción (≈30 USD en 2030, según la empresa, a 10-11 veces) y suponen las ampliaciones aprobadas; nosotros aplicamos al BPA el múltiplo de la regla común, que pesa la historia de la propia acción.</w:t>
      </w:r>
    </w:p>
    <w:p>
      <w:pPr>
        <w:keepNext/>
        <w:spacing w:after="100"/>
      </w:pPr>
      <w:r>
        <w:rPr>
          <w:b/>
          <w:bCs/>
        </w:rPr>
        <w:t xml:space="preserve">Del valor intrínseco al objetivo a 12 meses.</w:t>
      </w:r>
    </w:p>
    <w:p>
      <w:pPr>
        <w:spacing w:after="100"/>
      </w:pPr>
      <w:r>
        <w:t xml:space="preserve">El valor intrínseco (222,90 USD) queda un 5 % por debajo del objetivo ponderado a 12 meses (234,02) y los dos, por debajo del precio (279,69). Las dos lecturas coinciden: el precio descuenta que el margen extraordinario de 2026 (la guía de EBITDA ha subido un 16 % en el año por el cierre de Ormuz) dura, o que las ampliaciones de 40 Mtpa se aprueban y rinden como las anteriores. El bajista es muy duro (90,06 USD) porque el mínimo histórico del PER adelantado es de 7,9 veces; aunque lo suavizáramos al base × 0,8, la ponderada seguiría siendo negativa.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 guía subida; el mercado mirará la guía de 2027 y el margen al contado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inversión de la fase 1 de la ampliación de Sabine Pass (&gt;6 Mtpa)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 ≈0,8-1,0 bn de EBITDA desde 2030; espera FERC y DOE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crisis de Ormuz y vuelta de Ras Laffan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margen al contado y el precio internacional del gas; la acción cayó un 17 % en mayo con las negociaciones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EBITDA vuelve al nivel de 2025 (≈7.000 M) o se queda en 8.000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2026-2H</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 7 de la Etapa 3 de Corpus Christi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Etapa 3 (&gt;10 Mtpa)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más de 10.000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 menos de acciones al año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mercado: fin de la crisis de Ormuz y ola de oferta 2027-2029 (Golden Pass, Plaquemines, Catar)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(escenario bajista: 104,53 USD frente a 223,96)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de la producción con tarifa fija hasta mediados de la década de 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EBITDA de 2027 por debajo de 7.000 M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márgenes de crisis o ampliaciones no aprobadas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(objetivo ponderado a 12 meses, 234,02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continua y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20 veces sin subir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Permisos y política: retrasos de FERC o DOE en las ampliaciones, cambios de política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(la fase 1 de Sabine Pass está en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Emplazamientos ya autorizados y apoyo político actual a la exportación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FERC para Sabine Pass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contratos que no se renuevan después de 2040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(terminal con crecimiento cero)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gas para respaldar redes y centros de datos; contratos hasta 2050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nuevos más cortos de 15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Operativo: huracanes en el golfo de México o un accidente (Freeport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emplazamientos y seguros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Paradas no programadas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del gas en EE. UU.: Henry Hub más caro por la demanda eléctrica de la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115 % de Henry Hub se repercute en el contrato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Henry Hub por encima de 5 USD/MMBtu</w:t>
            </w:r>
          </w:p>
        </w:tc>
      </w:tr>
    </w:tbl>
    <w:p>
      <w:pPr>
        <w:spacing w:after="160" w:before="0"/>
      </w:pPr>
    </w:p>
    <w:p>
      <w:pPr>
        <w:pStyle w:val="Heading2"/>
      </w:pPr>
      <w:r>
        <w:t xml:space="preserve">Pre-mortem</w:t>
      </w:r>
    </w:p>
    <w:p>
      <w:pPr>
        <w:spacing w:after="100"/>
      </w:pPr>
      <w:r>
        <w:t xml:space="preserve">Octubre de 2028: la acción vale 170 USD, un 39 % menos. Lo que pasó: en la primavera de 2027 se firmó la paz con Irán, Catar reabrió Ras Laffan antes de lo previsto y llegó a la vez la ola de oferta estadounidense; el precio internacional del gas cayó a 7-8 USD por MMBtu y el margen de Cheniere Marketing desapareció. La guía de 2027 volvió a 6.800 M de EBITDA y el mercado dejó de pagar 20 veces el beneficio: volvió a las 12-13 de su mediana. La ampliación de Sabine Pass se aprobó, pero con tarifas de 2,50 USD. Nada fue un desastre; simplemente se pagó el pico.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Positivo · </w:t>
      </w:r>
      <w:r>
        <w:rPr>
          <w:b/>
          <w:bCs/>
        </w:rPr>
        <w:t xml:space="preserve">Efecto en valor (3-5 años):</w:t>
      </w:r>
      <w:r>
        <w:t xml:space="preserve"> 0 % a +5 % a 3-5 años</w:t>
      </w:r>
    </w:p>
    <w:p>
      <w:pPr>
        <w:spacing w:after="100"/>
      </w:pPr>
      <w:r>
        <w:t xml:space="preserve">Riesgo de IA bajo: Cheniere licúa y transporta gas, un negocio físico de plantas y barcos que la IA no puede sustituir ni abaratar para un competidor. El efecto es indirecto y favorable: los centros de datos aumentan el consumo de gas para electricidad en EE. UU. y Asia, lo que sostiene la demanda de contratos a 20 años; el Henry Hub más caro se repercute al cliente (115 %). La IA ayuda en la operación (mantenimiento predictivo, programación de buques), pero no cambia el valor.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las emisiones de metano y CO2 de la cadena del gas (pozo, gasoducto, licuefacción, barco), la seguridad de las plantas en una costa de huracanes y la relación con las comunidades del golfo [1]. Cheniere publica intensidades de emisiones por cargamento para sus clientes y su sexto informe de responsabilidad corporativa salió en agosto de 2025 [1].</w:t>
      </w:r>
    </w:p>
    <w:p>
      <w:pPr>
        <w:pStyle w:val="Heading2"/>
      </w:pPr>
      <w:r>
        <w:t xml:space="preserve">Controversias</w:t>
      </w:r>
    </w:p>
    <w:p>
      <w:pPr>
        <w:spacing w:after="100"/>
      </w:pPr>
      <w:r>
        <w:t xml:space="preserve">Sin sanciones relevantes en los tres últimos años según el 10-K; litigios ambientales locales y oposición de grupos ecologistas a los permisos de las ampliaciones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al contado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EBITDA de 2026 viene de volúmenes no contratados vendidos por encima de la tarifa, y qué espera para 2027 si Ras Laffan vuelve?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8.000 M de EBITDA es recurrente o un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tarifa y qué porcentaje contratado tiene la fase 1 de Sabine Pass, y cuál es el coste por tonelada con Bechtel?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actual supone que las ampliaciones crean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10 veces el flujo distribuible de un año excepcional y no reducir más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280 USD rinde menos que a 200.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vendieron el director financiero, el comercial y el jurídico en la semana del máximo de marzo?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30,4 M USD sin plan 10b5-1 declarado.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CQP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comprar el 51,4 % de Cheniere Partners en manos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Simplificaría la estructura y cambiaría 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eléctrica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contratos nuevos vienen de compradores ligados a la generación eléctrica para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tesis de demanda a 15-20 años.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(Barchart, 24/7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que circula: Cheniere es la forma «segura» de jugar la crisis de Ormuz, porque cobra por contrato y vende algo al contado; en marzo se avisó de sobrecompra y en junio, tras caer un 23 %, se vio como oportunidad [10, 26, 27,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Cheniere como forma segura de jugar la crisis de Ormuz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para la base contratada, pero el 16 % de subida de la guía es margen al contado que se irá [3,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Sobrecompra tras la subida de marzo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cayó un 23 % hasta junio y volvió a máximos [10, 27].</w:t>
            </w:r>
          </w:p>
        </w:tc>
      </w:tr>
    </w:tbl>
    <w:p>
      <w:pPr>
        <w:spacing w:after="160" w:before="0"/>
      </w:pPr>
    </w:p>
    <w:p>
      <w:pPr>
        <w:spacing w:after="100"/>
      </w:pPr>
      <w:r>
        <w:t xml:space="preserve">El tono es positivo y apoyado en la geopolítica: Cheniere como «refugio» energético con contratos [10, 26, 27, 28]. Coincide con 20 recomendaciones de compra de 22 [19]. Falta en la conversación el día después de Ormuz, que es nuestro riesgo principal.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30 (13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del consenso en la base de las cuentas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 de EBITDA ajustado y falta consenso.ajuste_ebitda_pct_ventas: los múltiplos de los próximos 12 meses no son comparables con los de los últimos 12. Explicación: No hay EBITDA de consenso: solo ingresos y la guía de la empresa (7.900-8.400 M de EBITDA ajustado en 2026, que suma los pagos en acciones). Los múltiplos de los próximos 12 meses quedan en n.d.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12,3 % en 2033e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8,2 % real: genera una variación de circulante de -30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4T24, 3T25 y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(el beneficio neto ajustado solo se publica desde el 1T26, con el 1T25 y el 2T25 como comparación); 2) XBRL trimestral (solo GAAP); 3) prensa (BPA de bases mezcladas)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(informe de KPMG sin año de inicio); 2) proxy 2026 (ratificación); 3) búsqueda no hecha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valor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(solo volumen de WoodMac); 2) GIIGNL (informe anual de pago o en PDF no descargado por tiempo); 3) IEA Gas Market Report (sin cifra de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en valor al precio medio de Cheniere; CR5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(remite al informe de responsabilidad corporativa); 2) MSCI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la remuneración variable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resumen (texto mal alineado en la extracción); 2) objetivo de bonus del 160 % del sueldo (2,86 M); 3) sin tiempo para leer la tabla como imagen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total, fijo y ratio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guía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febrero de 2021-2024 (no descargadas por tiempo); 2) 10-K (no recoge la guía); 3) prensa (cifras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2025 y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Prensa de operaciones de GNL (ventas de participaciones en proyectos, sin EV/EBITDA); 2) 10-K (sin operaciones del sector); 3) bases de operaciones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en la base ajustada de la empresa (2026-2028)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(23,16 y 20,80: no cuadra con el ajustado publicado, 7,79 en el 1S26); 2) MarketScreener (página inactiva o con registro); 3) TipRanks y Benzinga (solo el trimestre: 4,21-4,49 para 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BPA anual de consenso; contraste con el trimestral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inversores (Reddit, Stocktwits,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desde la nube, lección común); 2) Stocktwits y Seeking Alpha no abiertos por tiempo; 3) comentarios de prensa 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comentarios de mercado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objetivo_12m</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histórico 2018-2025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(el ajustado solo existe desde 2026); 2) XBRL (solo GAAP, con los derivados); 3) cálculo propio: GAAP menos la variación de derivados × 0,71 (impuestos y minoritarios), comprobado con el 1S25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contratos SPA e IPM, ingresos por país, empleados,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https://www.sec.gov/Archives/edgar/data/3570/000000357026000005/lng-20251231.htm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ganancias y pérdidas de derivados no designados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https://data.sec.gov/api/xbrl/companyfacts/CIK0000003570.json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Reports Second Quarter 2026 Results and Raises Full Year 2026 Financial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https://www.sec.gov/Archives/edgar/data/3570/000000357026000030/cei20262ndqtrerex991.htm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deuda por emisor, arrendamientos, flujos del semestre, 206,5 M de acciones a 31-jul)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https://www.sec.gov/Archives/edgar/data/3570/000000357026000028/lng-20260630.htm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Reports First Quarter 2026 Results (8-K, anexo 99.1; beneficio neto ajustado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https://www.sec.gov/Archives/edgar/data/3570/000000357026000016/cei20261stqtrerex991.htm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Reports Fourth Quarter and Full Year 2025 Results, Introduces Full Year 2026 Financial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https://www.sec.gov/Archives/edgar/data/3570/000000357026000006/cei20254thqtrerex991.htm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https://www.sec.gov/Archives/edgar/data/3570/000000357025000109/cei20253rdqtrerex991.htm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Qatar shuts Ras Laffan LNG plant after Iranian drone strike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Oil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https://worldoil.com/news/2026/3/2/qatar-shuts-ras-laffan-lng-plant-after-iranian-drone-strike/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Qatar extends LNG force majeure as Hormuz disruption threatens winter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https://thenationalnews.com/business/energy/2026/09/28/qatar-extends-lng-force-majeure-as-hormuz-disruption-threatens-winter-supply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23%, the Iran War Makes This Energy Stock One to Watch (EE. UU. ≈60-64 % del GNL importado por Europa)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https://247wallst.com/investing/2026/06/23/down-23-the-iran-war-makes-this-energy-stock-one-to-watch/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Venture Global: estadísticas (ingresos LTM 16.950 M USD, EBITDA 7.350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Woodside Energy: estadísticas (ingresos LTM 13.840 M USD, EBITDA 7.990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Qatar pauses LNG output revival after tanker attack near Hormuz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Express Tribune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https://tribune.com.pk/story/2617348/qatar-pauses-lng-output-revival-after-tanker-attack-near-hormuz-report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(25,6 M USD del consejero delegado, ratio 110:1),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https://www.sec.gov/Archives/edgar/data/3570/000119312526144572/d93921ddef14a.htm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14-may-2026 (votos de consejeros y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https://www.sec.gov/Archives/edgar/data/3570/000000357026000019/lng-20260514.htm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https://www.sec.gov/cgi-bin/browse-edgar?action=getcompany&amp;CIK=0000003570&amp;type=4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Britt Vitalone como consejero (14-jul-2026)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https://www.sec.gov/Archives/edgar/data/3570/000000357026000023/lng-20260714.htm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LNG, SPY y XLE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https://finance.yahoo.com/quote/LNG/history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(LNG) Stock Forecast: objetivo medio 311,33 USD (262-340), 22 analistas, 15 compra fuerte, 5 compra, 2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https://stockanalysis.com/stocks/lng/forecast/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estadísticas (206,53 M de acciones, posición corta 2,30 %, próximos resultados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https://stockanalysis.com/stocks/lng/statistics/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Venture Global, Williams, Kinder Morgan, Energy Transfer, Targa y Woodside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https://stockanalysis.com/stocks/wmb/statistics/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Partners (CQP): cierre de 62,26 USD el 14-oct-2026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https://finance.yahoo.com/quote/CQP/history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earnings: consenso de BPA de 4,21 USD (16 analistas); 1T26 4,77 frente a 3,91 y 2T26 3,02 frente a 3,11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https://www.tipranks.com/stocks/GB:0HWH/earnings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prices could soon skyrocket: why Cheniere is one of the top rated stocks to buy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https://www.barchart.com/story/news/1075253/energy-prices-could-soon-skyrocket-why-cheniere-is-one-of-the-top-rated-stocks-to-buy-now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Cheniere Energy stock enters overbought territory on Strait of Hormuz rally: is it too late to buy LNG here?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https://www.barchart.com/story/news/852215/cheniere-energy-stock-enters-overbought-territory-on-strait-of-hormuz-rally-is-it-too-late-to-buy-lng-here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Natural gas prices are soaring: should you buy Cheniere here?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https://www.barchart.com/story/news/1344505/natural-gas-prices-are-soaring-should-you-buy-cheniere-here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energy stocks plunge as US-Iran ceasefire hits oil (Cheniere −6 % a −7 % en 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GMA News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https://www.gmanetwork.com/news/money/economy/983156/global-energy-stocks-plunge-as-us-iran-ceasefire-hits-oil/story/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84,9 %</w:t>
      </w:r>
      <w:r>
        <w:t xml:space="preserve"> · Secciones con menos del 60 % de campos cubiertos: </w:t>
      </w:r>
      <w:r>
        <w:rPr>
          <w:b/>
          <w:bCs/>
        </w:rPr>
        <w:t xml:space="preserve">capital, rentabilidad</w:t>
      </w:r>
      <w:r>
        <w:t xml:space="preserve"> · Generado el 15 oct 2026.</w:t>
      </w:r>
    </w:p>
    <w:p>
      <w:pPr>
        <w:pStyle w:val="Nota"/>
        <w:spacing w:after="100"/>
      </w:pPr>
      <w:r>
        <w:t xml:space="preserve">Acciones ordinarias en el NYSE (LNG), única clase. Precio: cierre del 14-oct-2026 (279,69 USD), porque la sesión del 15-oct no había cerrado a la hora del análisis [18]. Cuentas 2018-2025 del XBRL de la SEC comprobadas con el 10-K 2025 y las notas de resultados [1, 2]. </w:t>
      </w:r>
      <w:r>
        <w:rPr>
          <w:b/>
        </w:rPr>
        <w:t xml:space="preserve">El beneficio contable no sirve tal cual</w:t>
      </w:r>
      <w:r>
        <w:t xml:space="preserve">: los contratos de compra de gas a largo plazo (IPM) se valoraban como derivados hasta 2026 y sus cambios de valor, sin caja, movían el beneficio miles de millones al año (+3.615 M USD en 2025, −2.509 M en el 1S26) [3, 6]. Los tratamos como no recurrentes en el EBITDA y el BPA de la regla a 12 meses es el ajustado sin ellos (el que publica la empresa desde 2026; para 2018-2025 lo estimamos nosotros quitando el efecto después de impuestos y minoritarios, con un factor de 0,71 que cuadra con el ajustado del 1S25: 1.327 M frente a 1.292 M). El DCF es consolidado (100 % de Sabine Pass y Corpus Christi) y resta a precio de mercado el 51,4 % de Cheniere Partners en manos de terceros (15.490 M USD, a 62,26 USD por participación) [24]. Deuda del puente: 24.257 M más 1.413 M de arrendamientos financieros de buques; los operativos quedan dentro del EBITDA (US GAAP) [4]. El BPA anual de consenso de los proveedores gratuitos no está en la base ajustada y no se usa [19]. Una acción cuesta 249,83 EUR al cambio del BCE del 14-oct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Cheniere Energy, Inc. (LNG)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279,69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(186,20 – 300,89)</c:v>
                </c:pt>
                <c:pt idx="1">
                  <c:v>Precio objetivo de los analistas (262,00 – 340,00)</c:v>
                </c:pt>
                <c:pt idx="2">
                  <c:v>DCF (WACC y g ± 0,5) (178,66 – 283,78)</c:v>
                </c:pt>
                <c:pt idx="3">
                  <c:v>Escenarios (bajista – alcista) (104,53 – 332,73)</c:v>
                </c:pt>
                <c:pt idx="4">
                  <c:v>DCF con la prima implícita del mercado (4,2 %)</c:v>
                </c:pt>
                <c:pt idx="5">
                  <c:v>Precio actual (279,69)</c:v>
                </c:pt>
              </c:strCache>
            </c:strRef>
          </c:cat>
          <c:val>
            <c:numRef>
              <c:f>Hoja1!$B$2:$B$7</c:f>
              <c:numCache>
                <c:formatCode>#,##0</c:formatCode>
                <c:ptCount val="6"/>
                <c:pt idx="0">
                  <c:v>186.2</c:v>
                </c:pt>
                <c:pt idx="1">
                  <c:v>262</c:v>
                </c:pt>
                <c:pt idx="2">
                  <c:v>178.66</c:v>
                </c:pt>
                <c:pt idx="3">
                  <c:v>104.53</c:v>
                </c:pt>
                <c:pt idx="4">
                  <c:v>247.81</c:v>
                </c:pt>
                <c:pt idx="5">
                  <c:v>278.29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(186,20 – 300,89)</c:v>
                </c:pt>
                <c:pt idx="1">
                  <c:v>Precio objetivo de los analistas (262,00 – 340,00)</c:v>
                </c:pt>
                <c:pt idx="2">
                  <c:v>DCF (WACC y g ± 0,5) (178,66 – 283,78)</c:v>
                </c:pt>
                <c:pt idx="3">
                  <c:v>Escenarios (bajista – alcista) (104,53 – 332,73)</c:v>
                </c:pt>
                <c:pt idx="4">
                  <c:v>DCF con la prima implícita del mercado (4,2 %)</c:v>
                </c:pt>
                <c:pt idx="5">
                  <c:v>Precio actual (279,69)</c:v>
                </c:pt>
              </c:strCache>
            </c:strRef>
          </c:cat>
          <c:val>
            <c:numRef>
              <c:f>Hoja1!$C$2:$C$7</c:f>
              <c:numCache>
                <c:formatCode>#,##0</c:formatCode>
                <c:ptCount val="6"/>
                <c:pt idx="0">
                  <c:v>114.69</c:v>
                </c:pt>
                <c:pt idx="1">
                  <c:v>78</c:v>
                </c:pt>
                <c:pt idx="2">
                  <c:v>105.11999999999998</c:v>
                </c:pt>
                <c:pt idx="3">
                  <c:v>228.20000000000002</c:v>
                </c:pt>
                <c:pt idx="4">
                  <c:v>80.82999999999998</c:v>
                </c:pt>
                <c:pt idx="5">
                  <c:v>2.7999999999999545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Licuefacción y venta de GNL (un solo segmento)</c:v>
                </c:pt>
              </c:strCache>
            </c:strRef>
          </c:tx>
          <c:spPr>
            <a:solidFill>
              <a:srgbClr val="2A78D6"/>
            </a:solidFill>
            <a:ln w="12700">
              <a:noFill/>
            </a:ln>
          </c:spPr>
          <c:invertIfNegative val="0"/>
          <c:cat>
            <c:strRef>
              <c:f>Hoja1!$A$2:$A$3</c:f>
              <c:strCache>
                <c:ptCount val="2"/>
                <c:pt idx="0">
                  <c:v>2024</c:v>
                </c:pt>
                <c:pt idx="1">
                  <c:v>2025</c:v>
                </c:pt>
              </c:strCache>
            </c:strRef>
          </c:cat>
          <c:val>
            <c:numRef>
              <c:f>Hoja1!$B$2:$B$3</c:f>
              <c:numCache>
                <c:formatCode>#,##0</c:formatCode>
                <c:ptCount val="2"/>
                <c:pt idx="0">
                  <c:v>15703</c:v>
                </c:pt>
                <c:pt idx="1">
                  <c:v>19976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Licuefacción y venta de GNL (un solo segmento)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sede del comprador (no destino del cargamento)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(sede del comprador)</c:v>
                </c:pt>
                <c:pt idx="1">
                  <c:v>Singapur</c:v>
                </c:pt>
                <c:pt idx="2">
                  <c:v>Reino Unido</c:v>
                </c:pt>
                <c:pt idx="3">
                  <c:v>Resto del mundo</c:v>
                </c:pt>
              </c:strCache>
            </c:strRef>
          </c:cat>
          <c:val>
            <c:numRef>
              <c:f>Hoja1!$B$2:$B$5</c:f>
              <c:numCache>
                <c:formatCode>0"%"</c:formatCode>
                <c:ptCount val="4"/>
                <c:pt idx="0">
                  <c:v>18.8</c:v>
                </c:pt>
                <c:pt idx="1">
                  <c:v>10.8</c:v>
                </c:pt>
                <c:pt idx="2">
                  <c:v>8.4</c:v>
                </c:pt>
                <c:pt idx="3">
                  <c:v>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toneladas al año (Mtpa))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2030e</c:v>
                </c:pt>
                <c:pt idx="2">
                  <c:v>2035e</c:v>
                </c:pt>
                <c:pt idx="3">
                  <c:v>2040e</c:v>
                </c:pt>
              </c:strCache>
            </c:strRef>
          </c:cat>
          <c:val>
            <c:numRef>
              <c:f>Hoja1!$B$2:$B$5</c:f>
              <c:numCache>
                <c:formatCode>#,##0</c:formatCode>
                <c:ptCount val="4"/>
                <c:pt idx="0">
                  <c:v>410</c:v>
                </c:pt>
                <c:pt idx="1">
                  <c:v>505</c:v>
                </c:pt>
                <c:pt idx="2">
                  <c:v>590</c:v>
                </c:pt>
                <c:pt idx="3">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Cheniere</c:v>
                </c:pt>
                <c:pt idx="1">
                  <c:v>QatarEnergy</c:v>
                </c:pt>
                <c:pt idx="2">
                  <c:v>Venture Global</c:v>
                </c:pt>
                <c:pt idx="3">
                  <c:v>Woodside Energy</c:v>
                </c:pt>
                <c:pt idx="4">
                  <c:v>Shell, TotalEnergies, ExxonMobil (carteras de GNL)</c:v>
                </c:pt>
                <c:pt idx="5">
                  <c:v>NextDecade, Sempra (Port Arthur), Energy Transfer (Lake Charles)</c:v>
                </c:pt>
              </c:strCache>
            </c:strRef>
          </c:cat>
          <c:val>
            <c:numRef>
              <c:f>Hoja1!$B$2:$B$7</c:f>
              <c:numCache>
                <c:formatCode>0.0"%"</c:formatCode>
                <c:ptCount val="6"/>
                <c:pt idx="0">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7987</c:v>
                </c:pt>
                <c:pt idx="1">
                  <c:v>9730</c:v>
                </c:pt>
                <c:pt idx="2">
                  <c:v>9358</c:v>
                </c:pt>
                <c:pt idx="3">
                  <c:v>15864</c:v>
                </c:pt>
                <c:pt idx="4">
                  <c:v>33428</c:v>
                </c:pt>
                <c:pt idx="5">
                  <c:v>20394</c:v>
                </c:pt>
                <c:pt idx="6">
                  <c:v>15703</c:v>
                </c:pt>
                <c:pt idx="7">
                  <c:v>19976</c:v>
                </c:pt>
                <c:pt idx="8">
                  <c:v>22972</c:v>
                </c:pt>
                <c:pt idx="9">
                  <c:v>23432</c:v>
                </c:pt>
                <c:pt idx="10">
                  <c:v>23666</c:v>
                </c:pt>
                <c:pt idx="11">
                  <c:v>25323</c:v>
                </c:pt>
                <c:pt idx="12">
                  <c:v>26842</c:v>
                </c:pt>
                <c:pt idx="13">
                  <c:v>28184</c:v>
                </c:pt>
                <c:pt idx="14">
                  <c:v>28889</c:v>
                </c:pt>
                <c:pt idx="15">
                  <c:v>29467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2524</c:v>
                </c:pt>
                <c:pt idx="1">
                  <c:v>2755</c:v>
                </c:pt>
                <c:pt idx="2">
                  <c:v>3774</c:v>
                </c:pt>
                <c:pt idx="3">
                  <c:v>6299</c:v>
                </c:pt>
                <c:pt idx="4">
                  <c:v>12209</c:v>
                </c:pt>
                <c:pt idx="5">
                  <c:v>8795</c:v>
                </c:pt>
                <c:pt idx="6">
                  <c:v>6035</c:v>
                </c:pt>
                <c:pt idx="7">
                  <c:v>6826</c:v>
                </c:pt>
                <c:pt idx="8">
                  <c:v>7994</c:v>
                </c:pt>
                <c:pt idx="9">
                  <c:v>7498</c:v>
                </c:pt>
                <c:pt idx="10">
                  <c:v>7337</c:v>
                </c:pt>
                <c:pt idx="11">
                  <c:v>7977</c:v>
                </c:pt>
                <c:pt idx="12">
                  <c:v>8589</c:v>
                </c:pt>
                <c:pt idx="13">
                  <c:v>9160</c:v>
                </c:pt>
                <c:pt idx="14">
                  <c:v>9389</c:v>
                </c:pt>
                <c:pt idx="15">
                  <c:v>9577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31.6</c:v>
                </c:pt>
                <c:pt idx="1">
                  <c:v>28.3</c:v>
                </c:pt>
                <c:pt idx="2">
                  <c:v>40.3</c:v>
                </c:pt>
                <c:pt idx="3">
                  <c:v>39.7</c:v>
                </c:pt>
                <c:pt idx="4">
                  <c:v>36.5</c:v>
                </c:pt>
                <c:pt idx="5">
                  <c:v>43.1</c:v>
                </c:pt>
                <c:pt idx="6">
                  <c:v>38.4</c:v>
                </c:pt>
                <c:pt idx="7">
                  <c:v>34.2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26</c:v>
                </c:pt>
                <c:pt idx="1">
                  <c:v>20.2</c:v>
                </c:pt>
                <c:pt idx="2">
                  <c:v>30.4</c:v>
                </c:pt>
                <c:pt idx="3">
                  <c:v>33.3</c:v>
                </c:pt>
                <c:pt idx="4">
                  <c:v>33.2</c:v>
                </c:pt>
                <c:pt idx="5">
                  <c:v>37.3</c:v>
                </c:pt>
                <c:pt idx="6">
                  <c:v>30.7</c:v>
                </c:pt>
                <c:pt idx="7">
                  <c:v>27.5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5.9</c:v>
                </c:pt>
                <c:pt idx="1">
                  <c:v>6.7</c:v>
                </c:pt>
                <c:pt idx="2">
                  <c:v>-0.9</c:v>
                </c:pt>
                <c:pt idx="3">
                  <c:v>-14.8</c:v>
                </c:pt>
                <c:pt idx="4">
                  <c:v>4.3</c:v>
                </c:pt>
                <c:pt idx="5">
                  <c:v>48.5</c:v>
                </c:pt>
                <c:pt idx="6">
                  <c:v>20.7</c:v>
                </c:pt>
                <c:pt idx="7">
                  <c:v>26.7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22.9</c:v>
                </c:pt>
                <c:pt idx="5">
                  <c:v>7.8</c:v>
                </c:pt>
                <c:pt idx="6">
                  <c:v>23.5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c:v>
                </c:pt>
                <c:pt idx="1">
                  <c:v>18</c:v>
                </c:pt>
                <c:pt idx="2">
                  <c:v>25</c:v>
                </c:pt>
                <c:pt idx="3">
                  <c:v>35</c:v>
                </c:pt>
                <c:pt idx="4">
                  <c:v>21</c:v>
                </c:pt>
                <c:pt idx="5">
                  <c:v>20</c:v>
                </c:pt>
                <c:pt idx="6">
                  <c:v>15</c:v>
                </c:pt>
                <c:pt idx="7">
                  <c:v>23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-1653</c:v>
                </c:pt>
                <c:pt idx="1">
                  <c:v>-1223</c:v>
                </c:pt>
                <c:pt idx="2">
                  <c:v>-574</c:v>
                </c:pt>
                <c:pt idx="3">
                  <c:v>1503</c:v>
                </c:pt>
                <c:pt idx="4">
                  <c:v>8686</c:v>
                </c:pt>
                <c:pt idx="5">
                  <c:v>6269</c:v>
                </c:pt>
                <c:pt idx="6">
                  <c:v>3121</c:v>
                </c:pt>
                <c:pt idx="7">
                  <c:v>2388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471</c:v>
                </c:pt>
                <c:pt idx="1">
                  <c:v>648</c:v>
                </c:pt>
                <c:pt idx="2">
                  <c:v>-85</c:v>
                </c:pt>
                <c:pt idx="3">
                  <c:v>-2343</c:v>
                </c:pt>
                <c:pt idx="4">
                  <c:v>1428</c:v>
                </c:pt>
                <c:pt idx="5">
                  <c:v>9881</c:v>
                </c:pt>
                <c:pt idx="6">
                  <c:v>3252</c:v>
                </c:pt>
                <c:pt idx="7">
                  <c:v>5330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6.9</c:v>
                </c:pt>
                <c:pt idx="1">
                  <c:v>6.5</c:v>
                </c:pt>
                <c:pt idx="2">
                  <c:v>8.3</c:v>
                </c:pt>
                <c:pt idx="3">
                  <c:v>13</c:v>
                </c:pt>
                <c:pt idx="4">
                  <c:v>36</c:v>
                </c:pt>
                <c:pt idx="5">
                  <c:v>24</c:v>
                </c:pt>
                <c:pt idx="6">
                  <c:v>13.7</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8.6</c:v>
                </c:pt>
                <c:pt idx="1">
                  <c:v>8.6</c:v>
                </c:pt>
                <c:pt idx="2">
                  <c:v>8.6</c:v>
                </c:pt>
                <c:pt idx="3">
                  <c:v>8.6</c:v>
                </c:pt>
                <c:pt idx="4">
                  <c:v>8.6</c:v>
                </c:pt>
                <c:pt idx="5">
                  <c:v>8.6</c:v>
                </c:pt>
                <c:pt idx="6">
                  <c:v>8.6</c:v>
                </c:pt>
                <c:pt idx="7">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-89.5</c:v>
                </c:pt>
                <c:pt idx="1">
                  <c:v>-240</c:v>
                </c:pt>
                <c:pt idx="2">
                  <c:v>82.9</c:v>
                </c:pt>
                <c:pt idx="3">
                  <c:v>169.7</c:v>
                </c:pt>
                <c:pt idx="4">
                  <c:v>-51.6</c:v>
                </c:pt>
                <c:pt idx="5">
                  <c:v>945.1</c:v>
                </c:pt>
                <c:pt idx="6">
                  <c:v>60.5</c:v>
                </c:pt>
                <c:pt idx="7">
                  <c:v>78.3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10.87</c:v>
                </c:pt>
                <c:pt idx="1">
                  <c:v>10.27</c:v>
                </c:pt>
                <c:pt idx="2">
                  <c:v>7.91</c:v>
                </c:pt>
                <c:pt idx="3">
                  <c:v>4.6</c:v>
                </c:pt>
                <c:pt idx="4">
                  <c:v>1.94</c:v>
                </c:pt>
                <c:pt idx="5">
                  <c:v>2.25</c:v>
                </c:pt>
                <c:pt idx="6">
                  <c:v>3.39</c:v>
                </c:pt>
                <c:pt idx="7">
                  <c:v>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85</c:v>
                </c:pt>
                <c:pt idx="4">
                  <c:v>349</c:v>
                </c:pt>
                <c:pt idx="5">
                  <c:v>393</c:v>
                </c:pt>
                <c:pt idx="6">
                  <c:v>412</c:v>
                </c:pt>
                <c:pt idx="7">
                  <c:v>451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249</c:v>
                </c:pt>
                <c:pt idx="2">
                  <c:v>155</c:v>
                </c:pt>
                <c:pt idx="3">
                  <c:v>9</c:v>
                </c:pt>
                <c:pt idx="4">
                  <c:v>1373</c:v>
                </c:pt>
                <c:pt idx="5">
                  <c:v>1473</c:v>
                </c:pt>
                <c:pt idx="6">
                  <c:v>2262</c:v>
                </c:pt>
                <c:pt idx="7">
                  <c:v>2724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8</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 Inc.</c:v>
                </c:pt>
                <c:pt idx="2">
                  <c:v>Consejeros y directivos (14 personas)</c:v>
                </c:pt>
              </c:strCache>
            </c:strRef>
          </c:cat>
          <c:val>
            <c:numRef>
              <c:f>Hoja1!$B$2:$B$4</c:f>
              <c:numCache>
                <c:formatCode>0.0"%"</c:formatCode>
                <c:ptCount val="3"/>
                <c:pt idx="0">
                  <c:v>10.19</c:v>
                </c:pt>
                <c:pt idx="1">
                  <c:v>7.63</c:v>
                </c:pt>
                <c:pt idx="2">
                  <c:v>0.55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30</c:v>
                </c:pt>
                <c:pt idx="2">
                  <c:v>9.9</c:v>
                </c:pt>
                <c:pt idx="3">
                  <c:v>3.2</c:v>
                </c:pt>
                <c:pt idx="4">
                  <c:v>-1.7</c:v>
                </c:pt>
                <c:pt idx="5">
                  <c:v>69.5</c:v>
                </c:pt>
                <c:pt idx="6">
                  <c:v>49.3</c:v>
                </c:pt>
                <c:pt idx="7">
                  <c:v>15</c:v>
                </c:pt>
                <c:pt idx="8">
                  <c:v>27.2</c:v>
                </c:pt>
                <c:pt idx="9">
                  <c:v>-8.7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17.7</c:v>
                </c:pt>
                <c:pt idx="1">
                  <c:v>16.9</c:v>
                </c:pt>
                <c:pt idx="2">
                  <c:v>12.6</c:v>
                </c:pt>
                <c:pt idx="3">
                  <c:v>9.1</c:v>
                </c:pt>
                <c:pt idx="4">
                  <c:v>5.3</c:v>
                </c:pt>
                <c:pt idx="5">
                  <c:v>7.4</c:v>
                </c:pt>
                <c:pt idx="6">
                  <c:v>12.3</c:v>
                </c:pt>
                <c:pt idx="7">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10.4</c:v>
                </c:pt>
                <c:pt idx="1">
                  <c:v>10.4</c:v>
                </c:pt>
                <c:pt idx="2">
                  <c:v>10.4</c:v>
                </c:pt>
                <c:pt idx="3">
                  <c:v>10.4</c:v>
                </c:pt>
                <c:pt idx="4">
                  <c:v>10.4</c:v>
                </c:pt>
                <c:pt idx="5">
                  <c:v>10.4</c:v>
                </c:pt>
                <c:pt idx="6">
                  <c:v>10.4</c:v>
                </c:pt>
                <c:pt idx="7">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3549</c:v>
                </c:pt>
                <c:pt idx="1">
                  <c:v>4178</c:v>
                </c:pt>
                <c:pt idx="2">
                  <c:v>3564</c:v>
                </c:pt>
                <c:pt idx="3">
                  <c:v>4581</c:v>
                </c:pt>
                <c:pt idx="4">
                  <c:v>6327</c:v>
                </c:pt>
                <c:pt idx="5">
                  <c:v>6921</c:v>
                </c:pt>
                <c:pt idx="6">
                  <c:v>7141</c:v>
                </c:pt>
                <c:pt idx="7">
                  <c:v>7293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29375</c:v>
                </c:pt>
                <c:pt idx="1">
                  <c:v>56940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279,69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104.53</c:v>
                </c:pt>
                <c:pt idx="1">
                  <c:v>223.96</c:v>
                </c:pt>
                <c:pt idx="2">
                  <c:v>332.73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279,69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(186,20 – 300,89)</c:v>
                </c:pt>
                <c:pt idx="1">
                  <c:v>Precio objetivo de los analistas (262,00 – 340,00)</c:v>
                </c:pt>
                <c:pt idx="2">
                  <c:v>DCF (WACC y g ± 0,5) (178,66 – 283,78)</c:v>
                </c:pt>
                <c:pt idx="3">
                  <c:v>Escenarios (bajista – alcista) (104,53 – 332,73)</c:v>
                </c:pt>
                <c:pt idx="4">
                  <c:v>DCF con la prima implícita del mercado (4,2 %)</c:v>
                </c:pt>
                <c:pt idx="5">
                  <c:v>Precio actual (279,69)</c:v>
                </c:pt>
              </c:strCache>
            </c:strRef>
          </c:cat>
          <c:val>
            <c:numRef>
              <c:f>Hoja1!$B$2:$B$7</c:f>
              <c:numCache>
                <c:formatCode>#,##0</c:formatCode>
                <c:ptCount val="6"/>
                <c:pt idx="0">
                  <c:v>186.2</c:v>
                </c:pt>
                <c:pt idx="1">
                  <c:v>262</c:v>
                </c:pt>
                <c:pt idx="2">
                  <c:v>178.66</c:v>
                </c:pt>
                <c:pt idx="3">
                  <c:v>104.53</c:v>
                </c:pt>
                <c:pt idx="4">
                  <c:v>247.81</c:v>
                </c:pt>
                <c:pt idx="5">
                  <c:v>278.29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(186,20 – 300,89)</c:v>
                </c:pt>
                <c:pt idx="1">
                  <c:v>Precio objetivo de los analistas (262,00 – 340,00)</c:v>
                </c:pt>
                <c:pt idx="2">
                  <c:v>DCF (WACC y g ± 0,5) (178,66 – 283,78)</c:v>
                </c:pt>
                <c:pt idx="3">
                  <c:v>Escenarios (bajista – alcista) (104,53 – 332,73)</c:v>
                </c:pt>
                <c:pt idx="4">
                  <c:v>DCF con la prima implícita del mercado (4,2 %)</c:v>
                </c:pt>
                <c:pt idx="5">
                  <c:v>Precio actual (279,69)</c:v>
                </c:pt>
              </c:strCache>
            </c:strRef>
          </c:cat>
          <c:val>
            <c:numRef>
              <c:f>Hoja1!$C$2:$C$7</c:f>
              <c:numCache>
                <c:formatCode>#,##0</c:formatCode>
                <c:ptCount val="6"/>
                <c:pt idx="0">
                  <c:v>114.69</c:v>
                </c:pt>
                <c:pt idx="1">
                  <c:v>78</c:v>
                </c:pt>
                <c:pt idx="2">
                  <c:v>105.11999999999998</c:v>
                </c:pt>
                <c:pt idx="3">
                  <c:v>228.20000000000002</c:v>
                </c:pt>
                <c:pt idx="4">
                  <c:v>80.82999999999998</c:v>
                </c:pt>
                <c:pt idx="5">
                  <c:v>2.7999999999999545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