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EMCOR Group, Inc.</w:t>
      </w:r>
    </w:p>
    <w:p>
      <w:pPr>
        <w:spacing w:after="60"/>
        <w:rPr>
          <w:color w:val="52514E"/>
          <w:sz w:val="22"/>
          <w:szCs w:val="22"/>
        </w:rPr>
      </w:pPr>
      <w:r>
        <w:rPr>
          <w:color w:val="52514E"/>
          <w:sz w:val="22"/>
          <w:szCs w:val="22"/>
        </w:rPr>
        <w:t xml:space="preserve">EME · New York Stock Exchange · ISIN US29084Q1004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745,35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655,40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-11,9 % (base +0,5 %)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500,68 USD · mercado 569,16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32.870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EMCOR Group,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EME / US29084Q1004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Construcción e ingeniería (instalaciones mecánicas y eléctricas)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Norwalk (Connecticut) · 1994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https://www.emcorgroup.com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745,35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564,92 – 951,96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32.870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31.197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308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Media · Objetivo a 12 meses </w:t>
      </w:r>
      <w:r>
        <w:rPr>
          <w:b/>
          <w:bCs/>
        </w:rPr>
        <w:t xml:space="preserve">655,40 USD</w:t>
      </w:r>
      <w:r>
        <w:t xml:space="preserve"> frente a 745,35 · Rentabilidad a 12 meses </w:t>
      </w:r>
      <w:r>
        <w:rPr>
          <w:b/>
          <w:bCs/>
        </w:rPr>
        <w:t xml:space="preserve">-11,9 % (base +0,5 %)</w:t>
      </w:r>
      <w:r>
        <w:t xml:space="preserve"> · Valor intrínseco 500,68 USD · con la prima implícita del mercado: 569,16 (-23,6 %) · Alcista / bajista -24,2 % / -59,9 %</w:t>
      </w:r>
    </w:p>
    <w:p>
      <w:pPr>
        <w:spacing w:after="100"/>
      </w:pPr>
      <w:r>
        <w:rPr>
          <w:b/>
        </w:rPr>
        <w:t xml:space="preserve">La recomendación y por qué.</w:t>
      </w:r>
      <w:r>
        <w:t xml:space="preserve"> Vender, con convicción media: para quien no la tiene, no comprar. El objetivo a 12 meses es de 655,40 USD (rentabilidad ponderada del −11,9 % y del +0,5 % en el base), muy por debajo del objetivo medio de 10 analistas (1.033), y el valor intrínseco es de 500,68 USD, un 32,8 % por debajo del precio de 745,35. La regla da Vender porque la ponderada baja del −10 %; con la regla v2 sería Mantener (−7,1 %). La convicción es media, no alta: el base a 12 meses es positivo y la señal la mueve el escenario bajista.</w:t>
      </w:r>
    </w:p>
    <w:p>
      <w:pPr>
        <w:spacing w:after="100"/>
      </w:pPr>
      <w:r>
        <w:rPr>
          <w:b/>
        </w:rPr>
        <w:t xml:space="preserve">El negocio.</w:t>
      </w:r>
      <w:r>
        <w:t xml:space="preserve"> EMCOR instala y mantiene la electricidad, la climatización, la refrigeración y las tuberías de centros de datos, hospitales, fábricas y naves en EE. UU. Es muy rentable sobre el capital que usa (ROIC del 56,4 % frente a un WACC del 11,26 %: calidad Sí) porque los clientes pagan por adelantado, y no tiene deuda [2, 3]. El crecimiento que proyectamos es sostenible (Sí): un 8,2 % de media, por debajo de su década, sin necesidad de capital.</w:t>
      </w:r>
    </w:p>
    <w:p>
      <w:pPr>
        <w:spacing w:after="100"/>
      </w:pPr>
      <w:r>
        <w:rPr>
          <w:b/>
        </w:rPr>
        <w:t xml:space="preserve">Finanzas y equipo.</w:t>
      </w:r>
      <w:r>
        <w:t xml:space="preserve"> Ingresos +19,7 % en el 1S26 (+18,3 % orgánico), margen operativo del 10,6 % en el 2T26 y guía de 2026 subida dos veces (BPA de 32,00-33,25) [3]. La dirección, estable desde hace dos décadas, bate sistemáticamente su guía, pero ha vendido 40,8 M USD de acciones en 12 meses [6, 17].</w:t>
      </w:r>
    </w:p>
    <w:p>
      <w:pPr>
        <w:spacing w:after="100"/>
      </w:pPr>
      <w:r>
        <w:rPr>
          <w:b/>
        </w:rPr>
        <w:t xml:space="preserve">Valoración.</w:t>
      </w:r>
      <w:r>
        <w:t xml:space="preserve"> El DCF da 470,97 USD; para justificar el precio EMCOR tendría que crecer un 18,6 % anual siete años. A 20,5 veces el BPA de 2027e cotiza muy por encima de su mediana adelantada (15,7 veces), así que la regla le quita múltiplo (18,6 veces en el base) y el bajista vuelve a las 10 veces de 2023. El filtro que falla es el de valor real: el negocio no lo hace.</w:t>
      </w:r>
    </w:p>
    <w:p>
      <w:pPr>
        <w:spacing w:after="100"/>
      </w:pPr>
      <w:r>
        <w:rPr>
          <w:b/>
        </w:rPr>
        <w:t xml:space="preserve">Riesgos y catalizadores.</w:t>
      </w:r>
      <w:r>
        <w:t xml:space="preserve"> El riesgo de que la IA se coma el negocio es bajo (es trabajo físico y la IA es su cliente); el riesgo real es depender del ciclo de inversión en centros de datos, un tercio de los ingresos, con márgenes en máximos de 30 años (bajista −37 % sobre el DCF). La acción ya cae un 22 % desde mayo por ese miedo, sin que la cartera ni la guía hayan empeorado. Catalizadores: el 3T26 el 29-oct y la guía de 2027 en febrero.</w:t>
      </w:r>
    </w:p>
    <w:p>
      <w:pPr>
        <w:spacing w:after="100"/>
      </w:pPr>
      <w:r>
        <w:rPr>
          <w:b/>
        </w:rPr>
        <w:t xml:space="preserve">Qué cambiaría la decisión.</w:t>
      </w:r>
      <w:r>
        <w:t xml:space="preserve"> Compraríamos por debajo de 500,68 USD y mantendríamos por debajo de 729,66. Revisaríamos al alza si la guía de 2027 apunta a un BPA de más de 40 USD con márgenes del 10 %; a la baja si la cartera cae dos trimestres seguidos.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Media · Horizonte: 12 meses · Objetivo a 12 meses: </w:t>
      </w:r>
      <w:r>
        <w:rPr>
          <w:b/>
          <w:bCs/>
        </w:rPr>
        <w:t xml:space="preserve">655,40 USD</w:t>
      </w:r>
      <w:r>
        <w:t xml:space="preserve"> (rentabilidad -11,9 % (base +0,5 %)) · Valor intrínseco: 500,68 USD (-32,8 % sobre 745,35) · con la prima implícita del mercado: 569,16 (-23,6 %)</w:t>
      </w:r>
    </w:p>
    <w:p>
      <w:pPr>
        <w:spacing w:after="100"/>
      </w:pPr>
      <w:r>
        <w:t xml:space="preserve">EMCOR es uno de los mejores instaladores de EE. UU.: monta y mantiene la electricidad, la climatización, la refrigeración y las tuberías de centros de datos, hospitales, fábricas y naves. Factura 18.600 M USD (últimos 12 meses), sin deuda, con un ROIC del 56 % y una cartera récord de 17.140 M (+44 %) [3, 4]. Los centros de datos de IA ya son un tercio de sus ingresos y han llevado su margen operativo del 5 % al 10 %.</w:t>
      </w:r>
    </w:p>
    <w:p>
      <w:pPr>
        <w:spacing w:after="100"/>
      </w:pPr>
      <w:r>
        <w:t xml:space="preserve">El precio, 745,35 USD, paga ese ciclo como si durara: 20,5 veces el beneficio de 2027e frente a una mediana de 15,7 veces en cinco años y, en el DCF inverso, un crecimiento del 18,6 % anual durante siete años [18].</w:t>
      </w:r>
    </w:p>
    <w:p>
      <w:pPr>
        <w:spacing w:after="100"/>
      </w:pPr>
      <w:r>
        <w:t xml:space="preserve">El negocio es excelente y la IA no lo amenaza; al contrario, es su cliente. Lo que no compramos es el precio de un contratista en máximos de margen y de múltiplo a la vez.</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655,40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 × 29,10 = 291,00 · 18,6x × 40,20 = 747,72 · 18,6x × 44,90 = 835,14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 / 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1.033,00 (nuestro base -27,6 %)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500,68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 / -59,9 %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 frente a 11,3 % y 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569,16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 frente a 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(8,2 %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Vender, rentabilidad del -32,7 % (-23,5 % con la prima del mercado) y el precio pide 12,0 puntos más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500,68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500,68 y 729,66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729,66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da Vender (ponderada a 12 meses del −11,9 %, por debajo del −10 %) y el valor intrínseco está un 33 % por debajo del precio. Para quien no tiene la acción significa no comprar. La convicción es media y no alta (la que sugiere el motor) porque la v2 da Mantener (−7,1 %), el caso base a 12 meses es positivo (+0,5 %) y la señal depende del bajista a 10 veces el beneficio.</w:t>
      </w:r>
    </w:p>
    <w:p>
      <w:pPr>
        <w:pStyle w:val="Heading2"/>
      </w:pPr>
      <w:r>
        <w:t xml:space="preserve">Qué cambiaría la recomendación</w:t>
      </w:r>
    </w:p>
    <w:p>
      <w:pPr>
        <w:pStyle w:val="ListParagraph"/>
        <w:numPr>
          <w:ilvl w:val="0"/>
          <w:numId w:val="2"/>
        </w:numPr>
        <w:spacing w:after="60"/>
      </w:pPr>
      <w:r>
        <w:t xml:space="preserve">Si el precio baja de 500,68 USD (valor intrínseco), con el resto igual pasaríamos a Comprar.</w:t>
      </w:r>
    </w:p>
    <w:p>
      <w:pPr>
        <w:pStyle w:val="ListParagraph"/>
        <w:numPr>
          <w:ilvl w:val="0"/>
          <w:numId w:val="2"/>
        </w:numPr>
        <w:spacing w:after="60"/>
      </w:pPr>
      <w:r>
        <w:t xml:space="preserve">Por debajo de 729,66 USD pasaríamos a Mantener (para quien ya tenga la acción).</w:t>
      </w:r>
    </w:p>
    <w:p>
      <w:pPr>
        <w:pStyle w:val="ListParagraph"/>
        <w:numPr>
          <w:ilvl w:val="0"/>
          <w:numId w:val="2"/>
        </w:numPr>
        <w:spacing w:after="60"/>
      </w:pPr>
      <w:r>
        <w:t xml:space="preserve">Si la guía de 2027 (febrero) apunta a un BPA por encima de 40 USD con márgenes del 10 %, subiríamos el BPA de los escenarios y revisaríamos.</w:t>
      </w:r>
    </w:p>
    <w:p>
      <w:pPr>
        <w:pStyle w:val="ListParagraph"/>
        <w:numPr>
          <w:ilvl w:val="0"/>
          <w:numId w:val="2"/>
        </w:numPr>
        <w:spacing w:after="60"/>
      </w:pPr>
      <w:r>
        <w:t xml:space="preserve">Si la cartera baja dos trimestres seguidos o el margen operativo cae por debajo del 9 %, recortaríamos el BPA de 2028e un 10 % o más.</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EMCOR es un beneficiario estructural de la IA: crecimiento de dos cifras durante años, márgenes del 10 % sostenidos y un múltiplo de 20 veces el beneficio, muy por encima de las 10-15 veces de su historia. Los analistas van más allá (objetivo de 1.033 USD).</w:t>
      </w:r>
    </w:p>
    <w:p>
      <w:pPr>
        <w:keepNext/>
        <w:spacing w:after="100"/>
      </w:pPr>
      <w:r>
        <w:rPr>
          <w:b/>
          <w:bCs/>
        </w:rPr>
        <w:t xml:space="preserve">Lo que creemos nosotros.</w:t>
      </w:r>
    </w:p>
    <w:p>
      <w:pPr>
        <w:spacing w:after="100"/>
      </w:pPr>
      <w:r>
        <w:t xml:space="preserve">Un negocio muy bien gestionado en la parte alta de su ciclo. Proyectamos la guía de 2026, un 11,5 % en 2027 y un 8 % en 2028, en línea con el consenso, pero con el margen volviendo poco a poco hacia la media y el múltiplo hacia su historia.</w:t>
      </w:r>
    </w:p>
    <w:p>
      <w:pPr>
        <w:keepNext/>
        <w:spacing w:after="100"/>
      </w:pPr>
      <w:r>
        <w:rPr>
          <w:b/>
          <w:bCs/>
        </w:rPr>
        <w:t xml:space="preserve">Por qué podemos tener razón.</w:t>
      </w:r>
    </w:p>
    <w:p>
      <w:pPr>
        <w:spacing w:after="100"/>
      </w:pPr>
      <w:r>
        <w:t xml:space="preserve">Los márgenes de hoy dependen de la escasez de capacidad en un mercado final (centros de datos) que explica buena parte del crecimiento; la cartera se convierte más despacio, el margen mecánico ya baja por contratos con más riesgo y la dirección vende acciones. Los ciclos de construcción siempre han terminado.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745,3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Ejecución excelente</w:t>
      </w:r>
      <w:r>
        <w:t xml:space="preserve">: ha batido su guía inicial de BPA cada año desde 2023 por márgenes amplios y ha subido dos veces la de 2026 [3, 6].</w:t>
      </w:r>
    </w:p>
    <w:p>
      <w:pPr>
        <w:pStyle w:val="ListParagraph"/>
        <w:numPr>
          <w:ilvl w:val="0"/>
          <w:numId w:val="2"/>
        </w:numPr>
        <w:spacing w:after="60"/>
      </w:pPr>
      <w:r>
        <w:rPr>
          <w:b/>
        </w:rPr>
        <w:t xml:space="preserve">Cartera récord de 17.140 M USD</w:t>
      </w:r>
      <w:r>
        <w:t xml:space="preserve"> (+44 %, un 95 % orgánico) [3, 8].</w:t>
      </w:r>
    </w:p>
    <w:p>
      <w:pPr>
        <w:pStyle w:val="ListParagraph"/>
        <w:numPr>
          <w:ilvl w:val="0"/>
          <w:numId w:val="2"/>
        </w:numPr>
        <w:spacing w:after="60"/>
      </w:pPr>
      <w:r>
        <w:rPr>
          <w:b/>
        </w:rPr>
        <w:t xml:space="preserve">ROIC del 56 %, sin deuda</w:t>
      </w:r>
      <w:r>
        <w:t xml:space="preserve"> y 924,4 M de caja a junio de 2026 [3].</w:t>
      </w:r>
    </w:p>
    <w:p>
      <w:pPr>
        <w:pStyle w:val="ListParagraph"/>
        <w:numPr>
          <w:ilvl w:val="0"/>
          <w:numId w:val="2"/>
        </w:numPr>
        <w:spacing w:after="60"/>
      </w:pPr>
      <w:r>
        <w:rPr>
          <w:b/>
        </w:rPr>
        <w:t xml:space="preserve">La IA es su cliente, no su amenaza</w:t>
      </w:r>
      <w:r>
        <w:t xml:space="preserve">: los centros de datos son el 34 % de los ingresos del 2T26 [4].</w:t>
      </w:r>
    </w:p>
    <w:p>
      <w:pPr>
        <w:pStyle w:val="ListParagraph"/>
        <w:numPr>
          <w:ilvl w:val="0"/>
          <w:numId w:val="2"/>
        </w:numPr>
        <w:spacing w:after="60"/>
      </w:pPr>
      <w:r>
        <w:rPr>
          <w:b/>
        </w:rPr>
        <w:t xml:space="preserve">Compras que crean valor</w:t>
      </w:r>
      <w:r>
        <w:t xml:space="preserve">: instaladores a 7 veces el EBITDA con un grupo que cotiza a 15,6 [8].</w:t>
      </w:r>
    </w:p>
    <w:p>
      <w:pPr>
        <w:pStyle w:val="Heading2"/>
      </w:pPr>
      <w:r>
        <w:t xml:space="preserve">En contra</w:t>
      </w:r>
    </w:p>
    <w:p>
      <w:pPr>
        <w:pStyle w:val="ListParagraph"/>
        <w:numPr>
          <w:ilvl w:val="0"/>
          <w:numId w:val="2"/>
        </w:numPr>
        <w:spacing w:after="60"/>
      </w:pPr>
      <w:r>
        <w:rPr>
          <w:b/>
        </w:rPr>
        <w:t xml:space="preserve">El precio exige un 18,6 % de crecimiento anual</w:t>
      </w:r>
      <w:r>
        <w:t xml:space="preserve"> en el DCF inverso; proyectamos un 6,6 % en los años no fijos.</w:t>
      </w:r>
    </w:p>
    <w:p>
      <w:pPr>
        <w:pStyle w:val="ListParagraph"/>
        <w:numPr>
          <w:ilvl w:val="0"/>
          <w:numId w:val="2"/>
        </w:numPr>
        <w:spacing w:after="60"/>
      </w:pPr>
      <w:r>
        <w:rPr>
          <w:b/>
        </w:rPr>
        <w:t xml:space="preserve">Valor intrínseco de 500,68 USD, un 32,8 % por debajo del precio</w:t>
      </w:r>
      <w:r>
        <w:t xml:space="preserve">.</w:t>
      </w:r>
    </w:p>
    <w:p>
      <w:pPr>
        <w:pStyle w:val="ListParagraph"/>
        <w:numPr>
          <w:ilvl w:val="0"/>
          <w:numId w:val="2"/>
        </w:numPr>
        <w:spacing w:after="60"/>
      </w:pPr>
      <w:r>
        <w:rPr>
          <w:b/>
        </w:rPr>
        <w:t xml:space="preserve">Márgenes en máximos de 30 años</w:t>
      </w:r>
      <w:r>
        <w:t xml:space="preserve"> y dependientes de un mercado final [2, 4].</w:t>
      </w:r>
    </w:p>
    <w:p>
      <w:pPr>
        <w:pStyle w:val="ListParagraph"/>
        <w:numPr>
          <w:ilvl w:val="0"/>
          <w:numId w:val="2"/>
        </w:numPr>
        <w:spacing w:after="60"/>
      </w:pPr>
      <w:r>
        <w:rPr>
          <w:b/>
        </w:rPr>
        <w:t xml:space="preserve">Múltiplo por encima de su historia</w:t>
      </w:r>
      <w:r>
        <w:t xml:space="preserve"> (20,5 veces adelantado frente a 15,7 de mediana) [18].</w:t>
      </w:r>
    </w:p>
    <w:p>
      <w:pPr>
        <w:pStyle w:val="ListParagraph"/>
        <w:numPr>
          <w:ilvl w:val="0"/>
          <w:numId w:val="2"/>
        </w:numPr>
        <w:spacing w:after="60"/>
      </w:pPr>
      <w:r>
        <w:rPr>
          <w:b/>
        </w:rPr>
        <w:t xml:space="preserve">La dirección vende</w:t>
      </w:r>
      <w:r>
        <w:t xml:space="preserve">: 40,8 M USD en 12 meses, sin compras [17].</w:t>
      </w:r>
    </w:p>
    <w:p>
      <w:pPr>
        <w:pStyle w:val="Heading2"/>
      </w:pPr>
      <w:r>
        <w:t xml:space="preserve">Qué tiene que pasar para que la tesis funcione</w:t>
      </w:r>
    </w:p>
    <w:p>
      <w:pPr>
        <w:spacing w:after="100"/>
      </w:pPr>
      <w:r>
        <w:t xml:space="preserve">La tesis depende del ciclo de centros de datos. La señal está en la cartera: si en el 3T26 (29-oct) y el 4T26 la cartera de redes y comunicaciones sigue subiendo y el margen operativo se mantiene por encima del 9,5 %, el BPA de 36-40 USD de 2027-2028 es alcanzable y lo que sobra es el múltiplo; si la cartera total baja dos trimestres seguidos o los hiperescaladores recortan su inversión, el escenario bajista (BPA de 29 USD) gana peso.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(RPO)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17.140 M USD (+44 %)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los ingresos de los próximos 12-18 meses.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redes y comunicaciones (centros de datos)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 M en el 2T26 (34 %)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interanual por debajo del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crecimiento y del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 (2T26); guía 9,5-9,8 %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escasez de capacidad se acaba.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del segmento mecánico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Refleja el riesgo de los contratos de precio máximo garantizado.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 en inversión de los hiperescaladores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Récord en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Recorte de la guía de cualquiera de los cuatro grandes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demanda final de un tercio de los ingresos.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23,2x / 20,5x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 · -0,8x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EMCOR nació en 1994 de la reorganización de JWP, un conglomerado de instaladores que había quebrado [1]. Desde entonces ha crecido comprando instaladores mecánicos y eléctricos locales y empresas de mantenimiento, y desde 2004 la dirige Anthony Guzzi, consejero delegado desde 2011 [15]. Durante dos décadas fue un contratista de márgenes del 4-5 %; desde 2023 la construcción de centros de datos, fábricas de semiconductores y hospitales ha llevado el margen operativo al 9-10 % y el BPA de 8,10 USD en 2022 a 28,19 en 2025 [2]. En 2025 compró Miller Electric y vendió su filial británica; en 2026 su cartera de pedidos alcanzó 17.140 M USD y la acción marcó máximos en mayo antes de caer un 22 % por el miedo a un frenazo del gasto en IA [4,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EMCOR de la reorganización de JWP Inc. tras su quiebra; empieza a cotizar como grupo de instaladores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Consolidated Engineering Services y otras empresas de mantenimiento: entra con fuerza en servicios a edificios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Anthony Guzzi, presidente desde 2004, pasa a consejero delegado (presidente del consejo desde 2018)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varias empresas de protección contra incendios y servicios mecánicos; deterioro de 57,8 M en servicios industriales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 232,8 M en servicios industriales por la caída del petróleo y la COVID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Empieza la ola de centros de datos y de fábricas de semiconductores: margen operativo del 7,0 % y BPA de 13,31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Miller Electric (876,8 M USD) y vende su filial británica a OCS; entra en el S&amp;P 500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Cartera récord de 17.140 M USD; compra cinco instaladores eléctricos por ≈750 M; la acción marca máximos de 951,96 USD en mayo y cae un 22 % por el miedo al frenazo del gasto en IA [4, 8, 12].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EMCOR instala y mantiene las «tripas» de los edificios: sistemas eléctricos, de climatización y refrigeración, fontanería, tuberías de proceso y protección contra incendios, sobre todo en EE. UU. [1]. Tiene cuatro segmentos: construcción mecánica (42 % de los ingresos de 2025, 12,8 % de margen operativo), construcción eléctrica (30 %, 12,1 %), servicios a edificios (18 %, 6,0 %: mantenimiento, controles y eficiencia energética) y servicios industriales (7 %, 2,0 %: paradas de refinerías e intercambiadores de calor) [1]. Su gran cliente hoy son los centros de datos: el mercado de «redes y comunicaciones» supuso el 24 % de los ingresos de 2025 y el 34 % en el 2T26 (1.772 M de 5.155 M), frente al 11 % en 2023 [4]. También trabaja para hospitales, universidades, plantas de agua, fábricas de alimentación y almacenes. Tiene ≈44.000 empleados, la mayoría oficiales sindicados [1].</w:t>
      </w:r>
    </w:p>
    <w:p>
      <w:pPr>
        <w:pStyle w:val="Heading2"/>
      </w:pPr>
      <w:r>
        <w:t xml:space="preserve">Cómo gana dinero</w:t>
      </w:r>
    </w:p>
    <w:p>
      <w:pPr>
        <w:spacing w:after="100"/>
      </w:pPr>
      <w:r>
        <w:t xml:space="preserve">Cobra por proyectos de obra (72 % de los ingresos) y por contratos de servicio y mantenimiento (28 %) [1]. En obra trabaja a precio fijo, a precio máximo garantizado o a coste más margen, y factura por avance: los anticipos y la facturación por adelantado de los clientes (2.609 M USD de pasivos de contrato a junio de 2026) financian buena parte del circulante [3]. El margen bruto es del 19-20 % y el operativo del 10 % en 2025-2026 [3]. El margen depende de ejecutar bien (presupuestos, productividad, prefabricados) y de la mezcla: los centros de datos de IA son más complejos y tienen 1,5-2 veces más contenido mecánico y 1,5 veces más eléctrico por megavatio que los tradicionales [8]. Apenas necesita capital fijo (capex del 0,7 % de las ventas) y crece también comprando instaladores locales a 6-8 veces el EBITDA [1, 8].</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eléctrica y servicios (EE. UU.)</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mecánica y servicios (EE. UU.)</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a edificios (EE. UU.)</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industriales (EE. UU.)</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a edificios (Reino Unido)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eléctrica y servicios (EE. UU.)</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mecánica y servicios (EE. UU.)</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a edificios (EE. UU.)</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industriales (EE. UU.)</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a edificios (Reino Unido)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Cartera muy diversificada por sectores y regiones, pero con concentración creciente en centros de datos de pocos hiperescaladores y promotores; la empresa no publica el peso de sus mayores clientes ni la parte de la cartera ligada a centros de datos, y la dirección no lo quiso cuantificar en la conferencia del 2T26 [8]. Las mayores obras están en Virginia, Texas y Georgia [8]. Los contratos de obra duran de meses a dos o tres años; el 75-76 % de la cartera se convierte en ingresos en 12 meses [8]. Los contratos de servicio son recurrentes pero cancelables con preaviso. El poder de precios viene de la escasez de mano de obra cualificada (oficiales electricistas y de climatización sindicados) y de la capacidad de ejecutar obras grandes y rápidas, no de una marca.</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(obligaciones pendientes, RPO)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11.910 M USD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17.140 M USD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95 % del aumento es orgánico; el 75-76 % se convierte en ingresos en 12 meses (≈85 % históricamente) [3,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(mercado «redes y comunicaciones») en los ingresos de construcción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 M USD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 M USD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Eléctrica 973 M (58 % del segmento) y mecánica 799 M (35 %): ≈34 % de los ingresos del grupo en el 2T26, frente al 24 % de 2025 y el 11 % de 2023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los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18,3 % en el 1S26, sin compras ni la venta del Reino Unido [3,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del segmento mecánico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contratos de precio máximo garantizado y a coste más margen, y más papel de contratista principal [4,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operativo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punto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2026: 9,5-9,8 %; la empresa no supone repetir el 10,6 % en el segundo semestre [3, 8].</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Instalaciones mecánicas, eléctricas y de fontanería (MEP) y su mantenimiento en edificios no residenciales e industriales de EE. UU. Lo medimos con el gasto en construcción no residencial del Census: 1.273.524 M USD en 2025 y 1.308.532 M anualizados en agosto de 2026 [10]; las instalaciones MEP suponen en torno a un tercio de ese gasto (≈450.000 M USD, estimación propia), y EMCOR factura un 3,8 % de esa cifra. Excluye la obra residencial, las redes eléctricas de alta tensión (Quanta) y la obra civil.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Gasto en construcción no residencial de EE. UU.: 1.273.524 M USD en 2025 y 1.308.532 M anualizados en agosto de 2026 [10]; las instalaciones mecánicas, eléctricas y de fontanería (MEP) suponen ≈35 % (estimación propia), ≈450.000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construcción no residencial total, Censu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de centros de datos (nube 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de redes y comunicaciones pasó del 11 % de los ingresos en 2023 al 34 % en el 2T26; UBS ve un récord de inicios de obra por los centros de datos [4,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Relocalización industrial y obra pública (agua, sanidad, educación)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crece en agua y depuración, sanidad e institucional; la de alta tecnología cae tras terminar fábricas de chips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de mano de obra cualificada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 poder de precios a quien tiene oficiales sindicados, pero limita el crecimiento y sube los costes [1,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y ciclo de la obra comercial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no residencial bajó un 3,4 % en 2025 [10]; con el bono al 5,2 % la obra comercial y de oficinas sigue floja.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Eficiencia energética, controles y refrigerantes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compras de 2025-2026 en servicios a edificios son de automatización, controles y eficiencia [4].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muy fragmentado con miles de instaladores locales; en las obras grandes compiten pocos (Comfort Systems, EMCOR, IES, MYR y grandes privados) y hoy hay más demanda que capacidad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hiperescaladores son pocos y muy grandes e imponen contratos de precio máximo garantizado; pero necesitan instaladores capaces de ejecutar a tiempo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mano de obra sindicada (convenios locales) y los equipos (cuadros, enfriadoras, cobre) con plazos largos y aranceles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Entrar es fácil en obras pequeñas y muy difícil en las grandes: hacen falta avales (4.300 M USD de exposición en avales), oficiales cualificados y un historial de ejecución [4].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Nada sustituye la instalación física; los prefabricados y la modularización cambian quién y dónde se hace, no la necesidad [8].</w:t>
            </w:r>
          </w:p>
        </w:tc>
      </w:tr>
    </w:tbl>
    <w:p>
      <w:pPr>
        <w:spacing w:after="160" w:before="0"/>
      </w:pPr>
    </w:p>
    <w:p>
      <w:pPr>
        <w:pStyle w:val="Heading2"/>
      </w:pPr>
      <w:r>
        <w:t xml:space="preserve">Ciclo</w:t>
      </w:r>
    </w:p>
    <w:p>
      <w:pPr>
        <w:spacing w:after="100"/>
      </w:pPr>
      <w:r>
        <w:t xml:space="preserve">El sector es cíclico: en 2020 los ingresos de EMCOR cayeron un 4 % y en servicios industriales hubo que deteriorar 232,8 M [2]. Hoy está en la parte alta: cartera récord (+44 %), márgenes máximos de su historia y un solo motor dominante (centros de datos) que explica buena parte del crecimiento [3, 4]. El gasto no residencial total, en cambio, está plano desde 2023 [10]: el ciclo es de centros de datos, no de toda la construcción.</w:t>
      </w:r>
    </w:p>
    <w:p>
      <w:pPr>
        <w:pStyle w:val="Heading2"/>
      </w:pPr>
      <w:r>
        <w:t xml:space="preserve">Regulación</w:t>
      </w:r>
    </w:p>
    <w:p>
      <w:pPr>
        <w:spacing w:after="100"/>
      </w:pPr>
      <w:r>
        <w:t xml:space="preserve">Lo que más pesa es la regulación laboral (convenios sindicales, salarios de obra pública y planes de pensiones multiempresa, con aportaciones de 725,7 M USD en 2025) y la de seguridad en obra [1]. En energía, las normas de eficiencia y el cambio de refrigerantes generan obra de sustitución. Las moratorias locales a los centros de datos por consumo de agua y electricidad son un riesgo nuevo; la dirección las minimiza [8]. Los aranceles encarecen equipos y cobre, que la empresa repercute en los contratos a coste más margen.</w:t>
      </w:r>
    </w:p>
    <w:p>
      <w:pPr>
        <w:pStyle w:val="Heading2"/>
      </w:pPr>
      <w:r>
        <w:t xml:space="preserve">Tendencias y disrupción</w:t>
      </w:r>
    </w:p>
    <w:p>
      <w:pPr>
        <w:spacing w:after="100"/>
      </w:pPr>
      <w:r>
        <w:t xml:space="preserve">Tres tendencias: (1) el tamaño de los centros de datos se ha multiplicado (de 20 MW en 2019 a más de 100-200 MW en los de IA) y con él el contenido mecánico y eléctrico por obra [8]; (2) prefabricados y modelos digitales (VDC) para ganar productividad con poca mano de obra; (3) los grandes instaladores compran a los locales sindicados para ganar oficiales y geografías (EMCOR: Miller Electric y cinco eléctricos más en 2026) [4].</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mayores instaladores MEP de EE. UU., con un 3,8 % de un mercado muy fragmentado; junto con Comfort Systems, el gran especialista cotizado en centros de datos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Comfort Systems USA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rival más parecido: instalador mecánico y eléctrico muy expuesto a centros de datos, con más margen (EBIT 16 %) y crecimiento (+43 % en 2026e)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Quanta Services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PWR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32.905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Redes eléctricas y de alta tensión: compite por la mano de obra eléctrica sindicada y en centros de datos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MasTec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MTZ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Infraestructuras de energía y comunicaciones, más centrado en obra civil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IES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IESC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Instalador eléctrico más pequeño con fuerte peso de centros de datos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APi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Protección contra incendios e inspecciones: compite con el servicio de EMCOR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Limbach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LMB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Instalador mecánico regional que gira hacia el mantenimiento [11].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servicio, conocer las instalaciones del cliente crea relación; en obra, cada proyecto se licita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Reputación de ejecución y capacidad de aval para obras de más de 100 M; sin patentes [A4].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compras, prefabricados y oficiales que se desplazan entre regiones; el margen EBITDA del 10,8 % está por debajo del 17,8 % de Comfort Systems [B5].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Pocos instaladores pueden ejecutar a la vez varios campus de 200 MW; la mano de obra sindicada es escasa [B4].</w:t>
            </w:r>
          </w:p>
        </w:tc>
      </w:tr>
    </w:tbl>
    <w:p>
      <w:pPr>
        <w:spacing w:after="160" w:before="0"/>
      </w:pPr>
    </w:p>
    <w:p>
      <w:pPr>
        <w:pStyle w:val="Heading2"/>
      </w:pPr>
      <w:r>
        <w:t xml:space="preserve">Amenazas</w:t>
      </w:r>
    </w:p>
    <w:p>
      <w:pPr>
        <w:spacing w:after="100"/>
      </w:pPr>
      <w:r>
        <w:t xml:space="preserve">Tres amenazas, de mayor a menor probabilidad: (1) que la escasez de capacidad se acabe (frenazo del gasto en centros de datos o más instaladores en el nicho) y los márgenes vuelvan al 5-7 % de su historia (probabilidad media); (2) Comfort Systems, más rentable y con más peso en centros de datos, y los grandes eléctricos en las obras de IA (media); (3) la integración vertical de hiperescaladores y fabricantes de equipos con módulos prefabricados que reducen la obra in situ (baja) [11, 12].</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2016-2025: ingresos </w:t>
      </w:r>
      <w:r>
        <w:rPr>
          <w:b/>
          <w:bCs/>
        </w:rPr>
        <w:t xml:space="preserve">9,4 %</w:t>
      </w:r>
      <w:r>
        <w:t xml:space="preserve">, EBITDA </w:t>
      </w:r>
      <w:r>
        <w:rPr>
          <w:b/>
          <w:bCs/>
        </w:rPr>
        <w:t xml:space="preserve">18,4 %</w:t>
      </w:r>
      <w:r>
        <w:t xml:space="preserve">, BPA </w:t>
      </w:r>
      <w:r>
        <w:rPr>
          <w:b/>
          <w:bCs/>
        </w:rPr>
        <w:t xml:space="preserve">28,4 %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crecieron un 9,4 % anual en 2016-2025 (16.986 M USD en 2025) y se aceleran: +16,6 % en 2025 (+7,9 % orgánico) y +19,7 % en el 1S26 (+18,3 % orgánico) [3, 6]. El cambio está en el margen: el operativo pasó del 4,1 % de 2016 al 10,1 % de 2025 (9,3 % sin la venta del Reino Unido) y al 10,6 % en el 2T26, por la mezcla de centros de datos y la buena ejecución [2, 3]. El BPA creció un 28,4 % anual en la década (de 2,97 a 28,19 USD; 25,87 sin la plusvalía), ayudado por las recompras: las acciones diluidas bajaron de 61,2 a 45,1 M [2]. La empresa ha subido dos veces la guía de 2026, hasta 20.000-20.500 M de ingresos y un BPA de 32,00-33,25 [3].</w:t>
      </w:r>
    </w:p>
    <w:p>
      <w:pPr>
        <w:pStyle w:val="Heading2"/>
      </w:pPr>
      <w:r>
        <w:t xml:space="preserve">Ajustes y partidas no recurrentes</w:t>
      </w:r>
    </w:p>
    <w:p>
      <w:pPr>
        <w:spacing w:after="100"/>
      </w:pPr>
      <w:r>
        <w:t xml:space="preserve">Usamos el BPA GAAP, que EMCOR no ajusta por la amortización de intangibles ni por los pagos en acciones (pequeños: 15 M en el 1S26) [3]. Los ajustes que publica son puntuales: los costes de la compra de Miller Electric (9,4 M en 2025), los de la venta del Reino Unido (10,7 M) y la plusvalía de esa venta (144,9 M), que llevan el BPA de 2025 de 28,19 a 25,87 [6]; en la historia y en los múltiplos usamos 25,87. El EBITDA del informe suma la amortización de intangibles a la depreciación en todos los años (el XBRL de 2016-2023 solo daba la depreciación). Los deterioros de 2017 y 2020 en servicios industriales (57,8 y 232,8 M) van como no recurrentes [2].</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2T26 (30-jul) la dirección presentó un trimestre récord: ingresos +19,8 % (19,6 % orgánico), margen operativo del 10,6 % y cartera de 17.140 M USD (+44 %), y subió la guía de 2026 por segunda vez, incluyendo 250-275 M de ingresos de cinco instaladores eléctricos que compra por ≈750 M [3, 8]. Los ingresos de centros de datos crecieron un 45 % en eléctrica y más del doble en mecánica; el margen mecánico bajó 1,1 puntos por más contratos de precio máximo garantizado y más papel de contratista principal [8]. La empresa no supone repetir el 10,6 % en el segundo semestre y avisó de que el conflicto de Oriente Medio puede afectar a las paradas industriales del 4T. Los analistas preguntaron por la sostenibilidad del margen eléctrico, la demanda de centros de datos, las moratorias locales, la mano de obra y la conversión de la cartera (75-76 % en 12 meses frente al 85 % histórico). La dirección evitó dar el peso de los centros de datos en ingresos y cartera, hablar de 2027 y de la concentración en hiperescaladores [8].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Balance muy sólido: 924,4 M USD de caja y sin deuda a junio de 2026, aunque en el 3T paga ≈750 M por las cinco compras [3, 8]. El circulante comercial es pequeño (≈7 % de las ventas) porque los clientes pagan por adelantado; en el 1S26 consumió 526 M por la estacionalidad y el crecimiento [3]. El fondo de comercio y los intangibles (2.536 M) son ya el 25 % del activo tras Miller Electric. El patrimonio (4.079 M) es bajo frente al beneficio porque la empresa ha recomprado 3.230 M de acciones desde 2011 [4].</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5.892</w:t>
      </w:r>
      <w:r>
        <w:t xml:space="preserve">, conversión </w:t>
      </w:r>
      <w:r>
        <w:rPr>
          <w:b/>
          <w:bCs/>
        </w:rPr>
        <w:t xml:space="preserve">121 %</w:t>
      </w:r>
      <w:r>
        <w:t xml:space="preserve"> del beneficio neto; adquisiciones 2.327, dividendos 269, recompras 2.647.</w:t>
      </w:r>
    </w:p>
    <w:p>
      <w:pPr>
        <w:spacing w:after="100"/>
      </w:pPr>
      <w:r>
        <w:t xml:space="preserve">La conversión de beneficio en caja es buena pero irregular: el flujo operativo fue de 1.302 M USD en 2025 (102 % del beneficio) y de 1.408 M en 2024 (140 %), cuando los anticipos de los centros de datos inflaron la caja [2]. En el 1S26 solo 290 M, por el circulante [3]; la empresa espera un flujo operativo al menos igual al beneficio neto en el año [8]. El capex es mínimo (113 M en 2025, 0,7 % de las ventas), pero cada año gasta 100-1.000 M en compras (1.022 M en 2025 con Miller) y 500-600 M en recompras [2]. Es un negocio que no necesita capital para crecer mientras los clientes paguen por adelantado; si la obra se frena, los anticipos se consumen y el flujo se resiente.</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y control interno a 31-dic-2025)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limpias: Ernst &amp; Young da opinión favorable sobre las cuentas y el control interno de 2025 [1]. El riesgo contable de un contratista está en el reconocimiento por avance de obra (estimaciones de costes, órdenes de cambio pendientes) y en los márgenes de los proyectos en curso; EMCOR publica cada trimestre el efecto de los cambios de estimación [4]. Los indicadores del motor son buenos: Altman Z de 6,95 (zona segura), Piotroski F de 7 sobre 9 y Beneish M de −2,26, que no apunta a manipulación. Los deterioros de 2017 y 2020 (servicios industriales) recuerdan que las compras en negocios cíclicos pueden salir mal.</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en máximos históricos (10,6 % en el 2T26 frente al 4-6 % de 2016-2022)</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 revertir si cae la mezcla de centros de datos; la propia empresa no lo supone repetible [3,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Más contratos de precio máximo garantizado y de contratista principal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riesgo de sobrecostes; de momento bajan el margen mecánico, no generan pérdidas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Conversión de la cartera más lenta (75-76 % frente al 85 %)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Proyectos más grandes y largos; la cartera es menos «ingreso del año» que antes [8].</w:t>
            </w:r>
          </w:p>
        </w:tc>
      </w:tr>
    </w:tbl>
    <w:p>
      <w:pPr>
        <w:spacing w:after="160" w:before="0"/>
      </w:pPr>
    </w:p>
    <w:p>
      <w:pPr>
        <w:pStyle w:val="Heading1"/>
      </w:pPr>
      <w:r>
        <w:t xml:space="preserve">10. Rentabilidad sobre 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1.412 M en 2025 (el 58 % del capital invertido medio); ha subido más de un 5 % en 3 de 9 años: comprador en serie. ROIC publicado 56,4 %; sin fondo de comercio, 135,7 %.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163,8 % · </w:t>
      </w:r>
      <w:r>
        <w:rPr>
          <w:b/>
          <w:bCs/>
        </w:rPr>
        <w:t xml:space="preserve">WACC</w:t>
      </w:r>
      <w:r>
        <w:t xml:space="preserve">: 11,3 %.</w:t>
      </w:r>
    </w:p>
    <w:p>
      <w:pPr>
        <w:spacing w:after="100"/>
      </w:pPr>
      <w:r>
        <w:t xml:space="preserve">EMCOR es muy rentable sobre el capital que usa: el ROIC fue del 56,4 % en 2025 (59,9 % en 2024) frente a un WACC del 11,26 %, porque los anticipos de los clientes financian el circulante y el capital invertido es pequeño (2.081 M USD) [2]. Sin el fondo de comercio llega al 135,7 %. El ROIC ha subido con el margen: era del 13-18 % en 2016-2020, cuando el margen operativo estaba en el 4-6 %. Esa es la cuestión: la rentabilidad actual depende del ciclo de centros de datos, aunque incluso con los márgenes de antes el ROIC superaba el WACC. Frente a sus rivales, el ROIC de EMCOR está por encima del de Comfort Systems (39,7 %) e IES (33,7 %) en la medida de Yahoo y muy por encima de Quanta (8,3 %) y MasTec (10,1 %), que necesitan maquinaria [11].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924,4 M USD a 30-jun-2026 y sin deuda financiera; crédito revolvente de 1.300 M USD (2023 Credit Agreement) sin disponer salvo cartas de crédito. En julio-septiembre de 2026 paga ≈750 M por cinco compras, con caja y, si hace falta, el revolvente [4, 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publicado (sin bonos emitidos)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Sin deuda financiera a 30-jun-2026 y sin rating [3]. Pasivos por arrendamientos operativos de 541,9 M USD (dentro del EBITDA en US GAAP, fuera del puente) [3]. Pasivos de contrato de 2.609 M (anticipos y facturación por adelantado) frente a 400,5 M de activos de contrato: son obligaciones de obra, no de caja, pero se deshacen si la cartera se frena. Exposición en avales de 4.300 M (25 % de la cartera) [4]. Participa en planes de pensiones multiempresa sindicales: no están en el balance, pero una salida generaría un pasivo [1]. Pagos aplazados de compras de 5,7 M, más hasta 90 M ligados a las compras de 2026 [4, 8].</w:t>
      </w:r>
    </w:p>
    <w:p>
      <w:pPr>
        <w:pStyle w:val="Heading1"/>
      </w:pPr>
      <w:r>
        <w:t xml:space="preserve">12. Asignación de capital</w:t>
      </w:r>
    </w:p>
    <w:p>
      <w:pPr>
        <w:spacing w:after="100"/>
      </w:pPr>
      <w:r>
        <w:t xml:space="preserve">Política equilibrada: crecimiento orgánico (capex pequeño), compras de instaladores locales, dividendo pequeño (0,40 USD trimestrales desde 2026, 0,2 % de rentabilidad) y recompras [3, 12]. Quedaban 415,2 M de la autorización de recompra a junio de 2026; en el 1S26 recompró 0,3 M de acciones por 265,3 M (≈880 USD de media, cerca de los máximos)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B&amp;B, Sidney, Giles, Schmidt y Connelly Electric (instaladores eléctricos sindicados)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crédito revolvente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en el 3T26; ≈625 M de ingresos y 105 M de EBITDA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empresas (mecánicas, eléctrica y de automatización), 1S26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en los segmentos mecánico, eléctrico y de servicios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Miller Electric Company</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250 M netos del revolvente (devueltos)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el segmento eléctrico, que pasó del 11,8 % al 13,9 % de margen en el 2T26 [3,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Nueve empresas de mantenimiento, controles y protección contra incendios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Integradas [4].</w:t>
            </w:r>
          </w:p>
        </w:tc>
      </w:tr>
    </w:tbl>
    <w:p>
      <w:pPr>
        <w:spacing w:after="160" w:before="0"/>
      </w:pPr>
    </w:p>
    <w:p>
      <w:pPr>
        <w:spacing w:after="100"/>
      </w:pPr>
      <w:r>
        <w:t xml:space="preserve">La asignación de capital ha sido buena: compras pequeñas a 6-8 veces el EBITDA en sus mismos oficios, que con el ROIC del grupo crean valor, y recompras que han reducido las acciones un 26 % en diez años [2]. Las sombras: los deterioros de 2017 y 2020 en servicios industriales (compras en el ciclo del petróleo) y que hoy recompra a 20 veces el beneficio, mucho más caro que en el pasado. El ROIC incremental de la década (163,8 %) es enorme porque el beneficio se ha multiplicado por siete con poco capital nuevo.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Anthony J. Guzzi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presidente ejecutivo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EMCOR desde 2004 (presidente y director de operaciones), consejero delegado desde 2011 y presidente del consejo desde 2018; antes en Carrier (United Technologies). Con él los ingresos han pasado de ≈5.000 a 17.000 M USD y el margen operativo de ≈4 % a 10 %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Jason R. Nalbandian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abril de 2024; antes responsable contable y de planificación del grupo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Maxine L. Mauricio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Vicepresidenta ejecutiva, directora jurídica y de administración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jurídica desde 2016 y de administración desde 2023 [15].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12.000-12.500 M USD; BPA 8,75-9,50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12.583 M; BPA 13,31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13.500-14.000 M USD; BPA 14,00-15,00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14.566 M; BPA 21,52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16.100-16.900 M USD; BPA 22,25-24,00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16.986 M; BPA no GAAP 25,87 (GAAP 28,19 con la venta del Reino Unido)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17.750-18.500 M USD; BPA 27,25-29,25 (febrero); subida a 20.000-20.500 M y 32,00-33,25 en julio [3,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1S26 9.783 M y BPA 15,89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muy estable y de largo recorrido: Guzzi lleva 22 años en EMCOR y 15 como consejero delegado; el director financiero, Jason Nalbandian, es de la casa (desde 2024) [15]. Ha superado su guía inicial de BPA cada año de 2023 a 2025 por márgenes amplios (13,31 frente a 8,75-9,50 en 2023; 21,52 frente a 14,00-15,00 en 2024) y ha subido dos veces la de 2026 [1, 6]: guía prudente y ejecución excelente. La remuneración del consejero delegado (14,4 M USD, 164 veces el salario mediano) es razonable para el tamaño y está ligada al BPA [15]. Las ventas de la dirección (40,8 M en 12 meses, 26,3 M del consejero delegado con plan 10b5-1) tras subir la acción no son una buena señal, aunque sean programadas [17]. Sin plan de sucesión público para un consejero delegado de 61 años.</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Anthony J. Guzzi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W. Altmeyer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Amy E. Dahl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Ronald L. Johnson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Carol P. Lowe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 Kevin McEvoy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 Roche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B. Schwarzwaelder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Robin Walker-Lee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89 %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y control interno a 31-dic-2025)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36,67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(13G/A de oct-25)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Desagregado en 2026 (realineación interna; ya no declara en conjunto)</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LLC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declaración (13G de nov-25)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Anthony J. Guzzi (consejero delegado)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 ventas de 26,3 M USD con plan 10b5-1 en 12 meses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1"/>
        <w:gridCol w:w="3381"/>
        <w:gridCol w:w="1521"/>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Anthony J. Guzzi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Steven B. Schwarzwaelder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Maxine L. Mauricio (directora jurídica)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W. Altmeyer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Jason R. Nalbandian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variable del consejero delegado se liga sobre todo al BPA: incentivo anual por objetivos financieros y personales y un plan a largo plazo con un objetivo de BPA acumulado de 70 USD para 2025-2027 (máximo a 80), además de acciones restringidas a tres años [15]. En 2025 cobró 1,33 M fijos, 9,38 M de incentivos en efectivo (anual y largo plazo) y 3,51 M en acciones [15]. El BPA como métrica premia las recompras y no penaliza el capital usado, aunque aquí el capital es pequeño. La remuneración se aprobó con el 86,8 % a favor y el 13 % en contra en la junta de 2026 [16].</w:t>
      </w:r>
    </w:p>
    <w:p>
      <w:pPr>
        <w:pStyle w:val="Heading2"/>
      </w:pPr>
      <w:r>
        <w:t xml:space="preserve">Operaciones vinculadas, estructura de control y defensas</w:t>
      </w:r>
    </w:p>
    <w:p>
      <w:pPr>
        <w:spacing w:after="100"/>
      </w:pPr>
      <w:r>
        <w:t xml:space="preserve">Sin accionista de control: Vanguard (≈12 %), BlackRock (8,0 %) y Fidelity (5,9 %) son los mayores; la dirección tiene menos del 1 % [15]. Una clase de acciones y un voto por acción; todos los consejeros se votan cada año [16]. El consejero delegado es también presidente del consejo, contrapesado por un consejero coordinador independiente; ocho de nueve consejeros son independientes [15]. Tiene límites de mandato y edad de jubilación de los consejeros. Sin operaciones vinculadas relevantes.</w:t>
      </w:r>
    </w:p>
    <w:p>
      <w:pPr>
        <w:pStyle w:val="Heading2"/>
      </w:pPr>
      <w:r>
        <w:t xml:space="preserve">Señales de alerta</w:t>
      </w:r>
    </w:p>
    <w:p>
      <w:pPr>
        <w:pStyle w:val="ListParagraph"/>
        <w:numPr>
          <w:ilvl w:val="0"/>
          <w:numId w:val="2"/>
        </w:numPr>
        <w:spacing w:after="60"/>
      </w:pPr>
      <w:r>
        <w:t xml:space="preserve">Ventas de consejeros y directivos por 40,8 M USD en 12 meses y ninguna compra; el consejero delegado, 26,3 M con plan 10b5-1 [17].</w:t>
      </w:r>
    </w:p>
    <w:p>
      <w:pPr>
        <w:pStyle w:val="ListParagraph"/>
        <w:numPr>
          <w:ilvl w:val="0"/>
          <w:numId w:val="2"/>
        </w:numPr>
        <w:spacing w:after="60"/>
      </w:pPr>
      <w:r>
        <w:t xml:space="preserve">Presidente del consejo y consejero delegado en la misma persona (con consejero coordinador independiente) [15].</w:t>
      </w:r>
    </w:p>
    <w:p>
      <w:pPr>
        <w:pStyle w:val="ListParagraph"/>
        <w:numPr>
          <w:ilvl w:val="0"/>
          <w:numId w:val="2"/>
        </w:numPr>
        <w:spacing w:after="60"/>
      </w:pPr>
      <w:r>
        <w:t xml:space="preserve">Un 13 % de votos en contra de la remuneración en la junta de 2026 [16].</w:t>
      </w:r>
    </w:p>
    <w:p>
      <w:pPr>
        <w:pStyle w:val="ListParagraph"/>
        <w:numPr>
          <w:ilvl w:val="0"/>
          <w:numId w:val="2"/>
        </w:numPr>
        <w:spacing w:after="60"/>
      </w:pPr>
      <w:r>
        <w:t xml:space="preserve">Participa en planes de pensiones multiempresa sindicales (aportaciones de 725,7 M USD en 2025): riesgo de pasivo por salida si se retirara de ellos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(30-jul-2026): ingresos de 20.000-20.500 M USD, margen operativo del 9,5-9,8 % y BPA de 32,00-33,25, con 250-275 M de ingresos de las cinco compras en el 2S26 [3, 8]. Es la segunda subida: en febrero era de 17.750-18.500 M y 27,25-29,25, y en abril de 18.500-19.250 M y 28,25-29,75 [5, 6]. La dirección no da guía de 2027. Próximos resultados: 29-oct-2026 (fecha de los calendarios; la empresa aún no la ha confirmado)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(10 analistas) [22]; Stock Analysis [19]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(10 analistas) [22]; Stock Analysis [19]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22.603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1.033,00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885,00 – 1.200,00</w:t>
            </w:r>
          </w:p>
        </w:tc>
      </w:tr>
    </w:tbl>
    <w:p>
      <w:pPr>
        <w:spacing w:after="160" w:before="0"/>
      </w:pPr>
    </w:p>
    <w:p>
      <w:pPr>
        <w:pStyle w:val="Heading2"/>
      </w:pPr>
      <w:r>
        <w:t xml:space="preserve">Revisiones de estimaciones</w:t>
      </w:r>
    </w:p>
    <w:p>
      <w:pPr>
        <w:spacing w:after="100"/>
      </w:pPr>
      <w:r>
        <w:t xml:space="preserve">Las estimaciones suben con cada trimestre: el BPA de 2026 pasó de ≈28 en febrero a 32,99, y el de 2027 está en 37,37 (+13 %) [22]. Tras el 2T26 los analistas subieron los objetivos (Oppenheimer a 1.200 USD, UBS a 1.065, Goldman a 885 con Mantener) y el objetivo medio de 10 analistas es de 1.033 USD (7 comprar, 3 mantener) [19]. Con la acción en 745 USD, el consenso ve un 39 % de recorrido: es mucho más optimista que nuestra regla porque supone que el múltiplo sube a 26-28 veces.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-36,2 %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ha sido una de las mejores del S&amp;P 500: +54,8 % anual a tres años y +45,4 % a cinco, frente al 22,7 % y el 13,0 % del índice [18]. En 2024 subió un 111 % con el ciclo de centros de datos. En los últimos 12 meses va peor que el mercado (+8,1 % frente al 16,9 %): cayó un 16,6 % el 30-oct-2025 con los resultados del 3T25, subió un 25,8 % en el mes del 1T26 hasta el máximo de 951,96 USD (6-may) y desde entonces cede un 22 % por la rotación fuera de los valores de infraestructura de IA, la subida de los tipos y el miedo a un frenazo del gasto en centros de datos [12, 24, 26]. La volatilidad (45,8 %) es muy alta para un instalador: cotiza como un valor de IA.</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 / -3,0 % / -8,9 % / +7,0 %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-23,5 % / +24,1 %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30-oct-2025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3T25 mejores de lo esperado pero con una guía de 2025 solo estrechada (16.700-16.800 M) tras subir un 70 % en el año: recogida de beneficios [7,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inicial de 2026 (BPA 27,25-29,25) por debajo de lo que esperaba el mercado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mar-jun-2026 (26-mar −5,0 %, 10-jun −6,2 %, 26-jun −7,5 %)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noticia propia de la empresa en las fuentes revisadas (notas de prensa, 8-K, titulares de Seeking Alpha); coinciden con ventas en los valores de infraestructura de IA y artículos sobre la valoración estirada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1T26 (BPA 6,84, 0,94 por encima de lo esperado) y primera subida de la guía; máximo de 951,96 USD el 6-may [5,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Rotación fuera de los valores de infraestructura (−4,7 % el 2-jul con Dycom, Comfort Systems, MasTec y Quanta) y −5,2 % antes de los resultados del 2T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2T26 récord (BPA 9,06, +34,8 %) y segunda subida de la guía de 2026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2026-07-31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Suben objetivos Oppenheimer (1.100 → 1.200 USD), UBS (975 → 1.065) y Goldman (825 → 885, Mantener); Cantor reitera Comprar a 1.047 (8-ago)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cinco instaladores eléctricos por ≈750 M USD (7,1 veces el EBITDA), con cierre en el 3T26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consejeros y directivos por 40,8 M USD en 12 meses y ninguna compra; el consejero delegado, 26,3 M con plan 10b5-1 (tenía ≈170.000 acciones en abril) [15, 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Miedo del mercado a un frenazo del gasto en IA que castiga a la construcción de centros de datos; no hay recortes de gasto anunciados por los hiperescaladores en las fuentes revisadas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3T26 previstos el 29-oct (fecha de los calendarios; sin confirmar por la empresa)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cae un 22 % desde el máximo de mayo sin que el negocio haya empeorado: la cartera, la guía y los objetivos de los analistas han subido. La caída es de múltiplo, por la rotación fuera de los valores ligados a la IA y la subida de los tipos. No hay ningún hecho pendiente ajeno al análisis (colocaciones, ampliaciones, litigios con fecha); las compras de 750 M ya están en el puente. Las ventas de la dirección son programadas. Los resultados del 29-oct no retrasan (regla 11). Veredicto: no cambia; la señal la da la valoración, que no da compra.</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EMCOR cotiza a 15,6 veces el EBITDA de los últimos 12 meses y a 23,2 veces el beneficio, por encima de casi cualquier cierre de año de 2018-2025 (máximos de 14,9 y 23,8 veces; medias de 10,3 y 18,2) [18]. En la base adelantada que usa la regla, 20,5 veces el BPA de 2027e frente a una mediana de cinco años de 15,7 y una media de ocho de 13,8. El mercado ha dejado de pagarla como un contratista cíclico (10-13 veces) y la paga como un beneficiario estructural de la IA. Puede estar justificado en parte (márgenes y ROIC más altos, sin deuda), pero supone que el ciclo de centros de datos no se da la vuelta.</w:t>
      </w:r>
    </w:p>
    <w:p>
      <w:pPr>
        <w:pStyle w:val="Heading1"/>
      </w:pPr>
      <w:r>
        <w:t xml:space="preserve">18. Comparables cotizados</w:t>
      </w:r>
    </w:p>
    <w:p>
      <w:pPr>
        <w:pStyle w:val="Confianza"/>
        <w:spacing w:after="100"/>
      </w:pPr>
      <w:r>
        <w:t xml:space="preserve">Confianza: Media</w:t>
      </w:r>
    </w:p>
    <w:p>
      <w:pPr>
        <w:spacing w:after="100"/>
      </w:pPr>
      <w:r>
        <w:t xml:space="preserve">Diez instaladores y contratistas especializados de EE. UU.: los más parecidos en oficios y centros de datos (Comfort Systems, IES, Limbach, MYR), los de redes y energía que compiten por la misma mano de obra (Quanta, MasTec, Dycom, Primoris, Sterling) y APi en protección contra incendios y servicio. Fuera los fabricantes de equipos de climatización (Trane, Carrier), con otro modelo y márgenes. Cifras de Yahoo del 15-oct (a media sesión) [22]; el PER adelantado es el de su consenso, casi todo en BPA GAAP (APi y Dycom, ajustados).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EMCOR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Comfort Systems USA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Quanta Services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MasTec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IES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APi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Primoris Services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Limbach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Sterling Infrastructure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MYR Group Inc.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Dycom Industries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 / 15,7x / 20,1x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750,36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950,01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 / 17,8x / 19,7x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519,36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18.598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 / 1,9x / 3,0x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828,67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1.291,50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r>
    </w:tbl>
    <w:p>
      <w:pPr>
        <w:spacing w:after="160" w:before="0"/>
      </w:pPr>
    </w:p>
    <w:p>
      <w:pPr>
        <w:spacing w:after="100"/>
      </w:pPr>
      <w:r>
        <w:t xml:space="preserve">EMCOR cotiza en la zona media del grupo: 20,5 veces el beneficio esperado frente a una mediana de 17,8, y 15,6 veces el EBITDA. Comfort Systems, su rival más parecido, cotiza a 24 veces con más margen (EBITDA del 17,8 % frente al 10,8 %) y más crecimiento; Quanta, a 32 veces por las redes eléctricas. MasTec, Primoris, Dycom y Limbach cotizan a 10-15 veces. EMCOR tiene el ROIC más alto (56 %) y caja neta, lo que justifica estar algo por encima de la mediana. Aun así, el PER de los comparables aplicado a nuestro BPA da 519-718 USD, por debajo del precio, y la mediana del sector ya incluye la prima de la IA.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B&amp;B, Sidney, Giles, Schmidt y Connelly Electric (cinco instaladores eléctricos)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EMCOR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≈750 M USD por ≈625 M de ingresos y 105 M de EBITDA de los 12 meses a junio de 2026, más hasta 90 M de pagos aplazados [8].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Miller Electric Company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EMCOR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Instalador eléctrico del sureste; precio con ajustes de circulante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EMCOR UK</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cobro neto sobre 471 M de ingresos; negocio de mantenimiento de bajo margen (4,4 %) [1].</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1" name="Gráfico 21"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Las referencias son las compras de la propia EMCOR: paga 6-8 veces el EBITDA por instaladores locales (las cinco de 2026, a 7,1 veces; ≈1,2 veces las ventas) [8], y vendió su filial británica, de mantenimiento con margen del 4 %, a 0,54 veces las ventas [1]. EMCOR cotiza a 15,6 veces el EBITDA: el mercado paga el doble que en las compras privadas, lo que hace que comprar cree valor por acción pero también marca lo que vale un instalador fuera del entusiasmo de la bolsa. No ponderamos las transacciones (peso 0) porque son de empresas pequeñas y no hay una operación sobre EMCOR.</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Partimos de la guía de 2026 (20.000-20.500 M USD; tomamos 20.300 M, +19,5 %, con 250-275 M de las compras y sin el Reino Unido) [3, 8]. Después, 11,5 % en 2027 (consenso +11,1 %) por la cartera de 17.140 M (+44 %, 75 % ejecutable en 12 meses) y el año completo de las compras [8, 22]; 8 % en 2028 y bajando al 4 % en 2033. El histórico de 2016-2025 es del 9,4 % anual. El puente: volumen (centros de datos, agua, sanidad), precio del 3 % (inflación de mano de obra y materiales repercutida) y compras en 2026-2027.</w:t>
      </w:r>
    </w:p>
    <w:p>
      <w:pPr>
        <w:keepNext/>
        <w:spacing w:after="100"/>
      </w:pPr>
      <w:r>
        <w:rPr>
          <w:b/>
          <w:bCs/>
        </w:rPr>
        <w:t xml:space="preserve">Márgenes.</w:t>
      </w:r>
    </w:p>
    <w:p>
      <w:pPr>
        <w:spacing w:after="100"/>
      </w:pPr>
      <w:r>
        <w:t xml:space="preserve">Margen EBITDA del 10,7 % en 2026-2028 (margen operativo del 9,65 %, el centro de la guía, más una amortización del 1,05 %) [3]. Desde 2029 baja 0,3 puntos al año hasta el 9,2 % en 2033 (operativo del 8,3 %): suponemos que la escasez de capacidad de hoy no dura siempre y que el margen se acerca a la media entre el máximo actual y el 4-6 % de 2016-2022. Es la hipótesis que más mueve el valor.</w:t>
      </w:r>
    </w:p>
    <w:p>
      <w:pPr>
        <w:keepNext/>
        <w:spacing w:after="100"/>
      </w:pPr>
      <w:r>
        <w:rPr>
          <w:b/>
          <w:bCs/>
        </w:rPr>
        <w:t xml:space="preserve">Inversión y circulante.</w:t>
      </w:r>
    </w:p>
    <w:p>
      <w:pPr>
        <w:spacing w:after="100"/>
      </w:pPr>
      <w:r>
        <w:t xml:space="preserve">Capex del 0,9 % de las ventas (0,7 % en 2025, más una parte de las compras recurrentes de instaladores pequeños) y amortización del 0,9-1,05 % (incluye la de intangibles comprados) [2]. Circulante del 7 % de las ventas (6,0-7,5 % en 2023-2025) [2]. Impuesto del 26,5 % (26,3 % en el 1S26) [3].</w:t>
      </w:r>
    </w:p>
    <w:p>
      <w:pPr>
        <w:keepNext/>
        <w:spacing w:after="100"/>
      </w:pPr>
      <w:r>
        <w:rPr>
          <w:b/>
          <w:bCs/>
        </w:rPr>
        <w:t xml:space="preserve">Coste del capital.</w:t>
      </w:r>
    </w:p>
    <w:p>
      <w:pPr>
        <w:spacing w:after="100"/>
      </w:pPr>
      <w:r>
        <w:t xml:space="preserve">Tasa libre del 5,21 % (bono de EE. UU. a 10 años del 13-oct-2026) [20], prima de mercado del 5,5 % y beta de 1,1 (mensual de cinco años 1,14, semanal de dos años 1,28, semanal de cinco 1,08) [18]. Sin deuda: WACC del 11,26 %. Con la prima implícita del mercado (4,20 %) el WACC baja al 9,83 %, el DCF sube a 558,63 USD y el valor objetivo a 569,16 [21], todavía un 24 % por debajo del precio.</w:t>
      </w:r>
    </w:p>
    <w:p>
      <w:pPr>
        <w:keepNext/>
        <w:spacing w:after="100"/>
      </w:pPr>
      <w:r>
        <w:rPr>
          <w:b/>
          <w:bCs/>
        </w:rPr>
        <w:t xml:space="preserve">Valor terminal.</w:t>
      </w:r>
    </w:p>
    <w:p>
      <w:pPr>
        <w:spacing w:after="100"/>
      </w:pPr>
      <w:r>
        <w:t xml:space="preserve">Gordon con un 3,0 % de crecimiento a perpetuidad, por debajo de la tasa libre. El valor terminal es el 56 % del total. Implica unas 12 veces el EBITDA terminal, por encima de la media histórica de EMCOR (10,3 veces) y por debajo de las 15,6 de hoy.</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452,48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623,62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 M (7 %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 (reinvierte el 21 %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 (histórico: 163,8 %)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 frente al 8,2 %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2033e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 (hoy: 3,8 %)</w:t>
            </w:r>
          </w:p>
        </w:tc>
      </w:tr>
    </w:tbl>
    <w:p>
      <w:pPr>
        <w:spacing w:after="160" w:before="0"/>
      </w:pPr>
    </w:p>
    <w:p>
      <w:pPr>
        <w:spacing w:after="100"/>
      </w:pPr>
      <w:r>
        <w:t xml:space="preserve">La proyección apenas necesita inversión neta de la amortización (reinversión acumulada de 964 M, el 7 % del NOPAT, con un capex bruto medio del 0,9 % de las ventas). En un negocio de activos ligeros, el crecimiento medio del 8,2 % tiene que salir de subir precios y de ganar volumen sin capital nuevo, y la prueba es el poder de precios y la cuota (5,3 % del mercado en 2033e, frente al 3,8 %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20.000-20.500 M: 18,3 % orgánico en el 1S26 (volumen de centros de datos, agua, sanidad, institucional y ≈3 % de precio) y +1,5 puntos netos de compras (Miller, nueve pequeñas y cinco eléctricas) menos el Reino Unido vendido [3,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17.140 M (+44 %) y año completo de las cinco compras eléctricas (≈625 M de ingresos anuales, +2 puntos)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la cartera más moderado; precio del 3 %.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Normalización hacia el gasto no residencial (+4 %) con algo de cuota.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 hacia el mercado.</w:t>
            </w:r>
          </w:p>
        </w:tc>
      </w:tr>
    </w:tbl>
    <w:p>
      <w:pPr>
        <w:spacing w:after="160" w:before="0"/>
      </w:pPr>
    </w:p>
    <w:p>
      <w:pPr>
        <w:spacing w:after="100"/>
      </w:pPr>
      <w:r>
        <w:t xml:space="preserve">Sí: el crecimiento proyectado (8,2 % de media en 2026-2033, 6,6 % en los años no fijos) está por debajo del histórico (9,4 %) y es financiable de sobra: el negocio no necesita capital (los clientes pagan por adelantado) y el ROIC es del 56 %. La cuota sube del 3,8 % al 5,3 % del mercado MEP estimado en 2033 (600.000 M USD; estimación propia a partir del Census), una ganancia razonable para quien compra instaladores locales cada año. El motor llega al mismo veredicto. El riesgo para el crecimiento no es de financiación sino de ciclo (centros de datos) y de margen, y está en el escenario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18,6 % (base: 6,6 %)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14,5 % (base: 9,2 %)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 (WACC: 11,3 %)</w:t>
            </w:r>
          </w:p>
        </w:tc>
      </w:tr>
    </w:tbl>
    <w:p>
      <w:pPr>
        <w:spacing w:after="160" w:before="0"/>
      </w:pPr>
    </w:p>
    <w:p>
      <w:pPr>
        <w:spacing w:after="100"/>
      </w:pPr>
      <w:r>
        <w:t xml:space="preserve">El DCF da 470,97 USD por acción, un 36,8 % por debajo del precio de 745,35, con un 56 % del valor en el terminal. El DCF inverso es la clave: para justificar el precio, EMCOR tendría que crecer un 18,6 % anual en 2027-2033 con nuestros márgenes (frente al 6,6 % de nuestro base en esos años y al 9,4 % de su década); la rentabilidad implícita en el precio es del 8,0 % anual, por debajo del WACC (11,26 %) y del 9,83 % que pide el mercado. El precio supone que el ciclo de centros de datos dura una década. Con la prima del mercado el DCF sería de 558,63 USD y el valor objetivo de 569,16; incluso sin la rebaja de márgenes desde 2029, el DCF no alcanzaría el precio. Aquí falla el filtro de valor real.</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298,77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Frenazo de los centros de datos en 2027-2028 y margen operativo que vuelve hacia el 6-7 %: crecimiento medio del 2,6 % y margen EBITDA final del 7,2 %, como en el ciclo de 2016-2022 [2].</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470,97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récord sostiene 2026-2028 y luego EMCOR crece con el gasto no residencial más compras (11,5 % → 4 %), con el margen bajando del 10,7 % al 9,2 %.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565,26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el agua y la relocalización industrial mantienen la escasez de capacidad: crecimiento medio del 9,1 % y margen final del 10 %.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USD) · precio actual 745,3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451,49 USD (-39,4 %).</w:t>
      </w:r>
    </w:p>
    <w:p>
      <w:pPr>
        <w:spacing w:after="100"/>
      </w:pPr>
      <w:r>
        <w:t xml:space="preserve">La asimetría a largo plazo es muy desfavorable: ni el escenario alcista (565,26 USD) alcanza el precio y el bajista (298,77) pierde un 60 %. A 12 meses la cuenta es menos dura (base +0,5 %, alcista +12,2 %, bajista −60,8 %) porque la regla parte del múltiplo de hoy; la ponderada (−11,9 %) la hunde el bajista, que aplica el mínimo histórico de 10 veces a un BPA de ciclo bajo. Es la asimetría típica de un contratista en máximos de margen y de múltiplo a la vez.</w:t>
      </w:r>
    </w:p>
    <w:p>
      <w:pPr>
        <w:pStyle w:val="Heading1"/>
      </w:pPr>
      <w:r>
        <w:t xml:space="preserve">22. Suma de partes</w:t>
      </w:r>
    </w:p>
    <w:p>
      <w:pPr>
        <w:pStyle w:val="Confianza"/>
        <w:spacing w:after="100"/>
      </w:pPr>
      <w:r>
        <w:t xml:space="preserve">Confianza: Alta</w:t>
      </w:r>
    </w:p>
    <w:p>
      <w:pPr>
        <w:spacing w:after="100"/>
      </w:pPr>
      <w:r>
        <w:t xml:space="preserve">No aplica: los cuatro segmentos comparten clientes, mano de obra sindicada y gestión; los de construcción (eléctrica y mecánica) son el 72 % de los ingresos y del mismo negocio, y no hay cotizadas puras de servicios a edificios con múltiplos fiables para separar el resto.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USD) · precio actual 745,3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745,35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951,96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741,62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745,35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749,08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500,68 USD (-32,8 % sobre 745,35).</w:t>
      </w:r>
    </w:p>
    <w:p>
      <w:pPr>
        <w:spacing w:after="100"/>
      </w:pPr>
      <w:r>
        <w:t xml:space="preserve">El valor intrínseco (500,68 USD) sale del DCF (50 %), los escenarios (30 %) y los comparables (20 %). Los comparables (PER de 17,8 veces la mediana del grupo, casi todo en BPA GAAP como el nuestro) dan 519-718 USD, por debajo del precio aunque el sector entero ya cotiza con prima por la IA. Las transacciones no pesan: son compras pequeñas a 7 veces el EBITDA, que darían menos de la mitad del precio. La dispersión es grande (el DCF con la prima del mercado da 559 USD; el EV/EBITDA de los comparables, 650-950), pero ningún método llega al precio sin suponer que el múltiplo de la IA dura.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291,00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(20.5x) ÷ 1.1 (tope: la mediana de 5 años, 15.7x,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747,72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835,14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r>
    </w:tbl>
    <w:p>
      <w:pPr>
        <w:spacing w:after="160" w:before="0"/>
      </w:pPr>
    </w:p>
    <w:p>
      <w:pPr>
        <w:spacing w:after="100"/>
      </w:pPr>
      <w:r>
        <w:rPr>
          <w:b/>
          <w:bCs/>
        </w:rPr>
        <w:t xml:space="preserve">Objetivo a 12 meses (ponderado):</w:t>
      </w:r>
      <w:r>
        <w:t xml:space="preserve"> 655,40 USD · rentabilidad -11,9 % (base +0,5 %) · señal Vender.</w:t>
      </w:r>
    </w:p>
    <w:p>
      <w:pPr>
        <w:spacing w:after="100"/>
      </w:pPr>
      <w:r>
        <w:t xml:space="preserve">Para comparar, con la regla v2 (historia al cierre, mismo precio): 16,2x / 18,3x / 18,3x, -7,1 % Mantener; con el tope anterior del base (×1,3, 14-oct mediodía): -14,8 %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(32,60) está en línea con el consenso (32,99) y la guía (32,00-33,25); el de 2027e (36,30) queda un 2,9 % por debajo (37,37) [22]. El consenso no publica 2028 en las fuentes gratuitas. La diferencia está en el precio: el objetivo medio de 10 analistas (1.033 USD) supone pagar unas 26 veces nuestro BPA de 2028e, por encima de cualquier cierre de año de la historia de EMCOR (máximo 18,8x adelantado), mientras la regla común parte de las 20,5 veces de hoy y, como cotiza por encima de su mediana (15,7x), las rebaja a 18,6x. Nuestro base (747,72) queda un 27,6 % por debajo del objetivo de los analistas.</w:t>
      </w:r>
    </w:p>
    <w:p>
      <w:pPr>
        <w:keepNext/>
        <w:spacing w:after="100"/>
      </w:pPr>
      <w:r>
        <w:rPr>
          <w:b/>
          <w:bCs/>
        </w:rPr>
        <w:t xml:space="preserve">Del valor intrínseco al objetivo a 12 meses.</w:t>
      </w:r>
    </w:p>
    <w:p>
      <w:pPr>
        <w:spacing w:after="100"/>
      </w:pPr>
      <w:r>
        <w:t xml:space="preserve">El valor intrínseco (500,68 USD) queda un 24 % por debajo del objetivo a 12 meses (655,40) y un 33 % por debajo del precio. El mercado paga 20,5 veces el beneficio de 2027e por un instalador cuyo PER adelantado medio ha sido de 14 veces, y el DCF solo lo justifica con un crecimiento del 18,6 % anual durante siete años. A 12 meses el caso base apenas da un 0,5 %, y la ponderada (−11,9 %) cae por el escenario bajista, que aplica el mínimo histórico de 10 veces a un BPA de ciclo bajo: es la asimetría de un contratista en máximos de margen. Con la regla v2 la ponderada es del −7,1 % (Mantener): ninguna de las dos da compra.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margen y la primera palabra sobre 2027; tras una caída del 22 %, una cartera que sigue subiendo puede devolver parte del múltiplo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 (finales)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inicial siempre ha sido prudente; si apunta a crecer más del 10 %, sostiene el BPA de 36-37 USD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Trimestral</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 en inversión de Microsoft, Alphabet, Amazon y Meta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la demanda de centros de datos; cualquier recorte mueve la acción un 5-15 %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de las cinco compras eléctricas (≈625 M de ingresos)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+2-3 % cuando se amortice la cartera comprada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Moratorias locales a centros de datos por agua y electricidad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Retrasos de proyectos en Virginia o Georgia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del gasto en centros de datos de IA (un tercio de los ingresos y el motor del crecimiento)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−37 % (escenario bajista: 298,77 USD frente a 470,97)</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17.140 M (75 % se ejecuta en 12 meses) y diversificación en sanidad, agua, institucional y servicio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que baja dos trimestres seguidos o recortes del gasto de los hiperescaladores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Vuelta de los márgenes a su media histórica (4-7 % operativo) al acabar la escasez de capacidad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(cada punto de margen operativo ≈ 4 USD de BPA en 2028e)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eléctrica de más margen y prefabricados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grupo por debajo del 9 % dos trimestres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Expectativas: el precio descuenta un 18,6 % de crecimiento anual en 2027-2033</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−61 % (bajista a 12 meses: 291 USD a 10 veces el BPA)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y recompras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encima de 20 veces sin subidas de estimaciones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Sobrecostes en contratos de precio máximo garantizado y como contratista principal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ejecución y contratos a coste más margen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de estimación desfavorables en el 10-Q</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Mano de obra: escasez de oficiales sindicados, convenios y pensiones multiempresa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Oficiales que se desplazan entre regiones y prefabricados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Conflictos laborales o subidas salariales por encima de los precios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de la dirección y sucesión del consejero delegado (61 años, 15 en el cargo)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 de la casa con banquillo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 directivos clave</w:t>
            </w:r>
          </w:p>
        </w:tc>
      </w:tr>
    </w:tbl>
    <w:p>
      <w:pPr>
        <w:spacing w:after="160" w:before="0"/>
      </w:pPr>
    </w:p>
    <w:p>
      <w:pPr>
        <w:pStyle w:val="Heading2"/>
      </w:pPr>
      <w:r>
        <w:t xml:space="preserve">Pre-mortem</w:t>
      </w:r>
    </w:p>
    <w:p>
      <w:pPr>
        <w:spacing w:after="100"/>
      </w:pPr>
      <w:r>
        <w:t xml:space="preserve">Octubre de 2029: la acción vale 400 USD, casi la mitad. Lo que pasó: en 2027 los hiperescaladores aplazaron parte de los campus de IA tras dos años de inversión récord sin el retorno esperado; la cartera de EMCOR dejó de crecer y se fue consumiendo. Comfort Systems, IES y los eléctricos privados que habían contratado oficiales a precio de oro bajaron precios para llenar sus plantillas, y los contratos de precio máximo garantizado firmados en 2026 dieron sobrecostes. El margen operativo volvió del 10 % al 7 % y el BPA bajó de 36 a 28 USD. El mercado, que pagaba 20 veces el beneficio a un «ganador de la IA», volvió a pagar 13-14 veces a un contratista. Las señales estaban ahí: margen en máximos de 30 años, un solo mercado final explicando buena parte del crecimiento, la conversión de la cartera más lenta y la dirección vendiendo acciones.</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Positivo · </w:t>
      </w:r>
      <w:r>
        <w:rPr>
          <w:b/>
          <w:bCs/>
        </w:rPr>
        <w:t xml:space="preserve">Efecto en valor (3-5 años):</w:t>
      </w:r>
      <w:r>
        <w:t xml:space="preserve"> −37 % a +20 % a 3-5 años (bajista: −37 % sobre el DCF base; alcista: +20 %)</w:t>
      </w:r>
    </w:p>
    <w:p>
      <w:pPr>
        <w:spacing w:after="100"/>
      </w:pPr>
      <w:r>
        <w:t xml:space="preserve">Riesgo de que la IA se coma el negocio: bajo. EMCOR hace trabajo físico (instalar cables, cuadros, enfriadoras y tuberías) que la IA no sustituye; al contrario, la IA es hoy su mayor cliente: los centros de datos pasaron del 11 % de los ingresos en 2023 al 34 % en el 2T26 y llevan 1,5-2 veces más contenido mecánico y eléctrico por megavatio [4, 8]. La IA puede ayudar en presupuestos, diseño y planificación, pero no es una amenaza para la cuenta. El riesgo de verdad es el contrario: la dependencia del ciclo de inversión en IA. Si el gasto de los hiperescaladores se frena, EMCOR pierde su motor de crecimiento y sus márgenes extra; por eso la exposición es media aunque el sentido hoy sea positivo. Señal: la cartera de redes y comunicaciones en los 10-Q.</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para EMCOR es la seguridad en obra (44.000 empleados en oficios con riesgo) y la gestión de la mano de obra sindicada y sus pensiones multiempresa [1]. En el lado positivo, buena parte de su trabajo es de eficiencia energética (climatización eficiente, controles, sustitución de refrigerantes) y de infraestructuras de agua. Las emisiones propias (flota de vehículos) son pequeñas. El consumo de energía y agua de los centros de datos que construye es una controversia del cliente, no suya, pero puede traer moratorias.</w:t>
      </w:r>
    </w:p>
    <w:p>
      <w:pPr>
        <w:pStyle w:val="Heading2"/>
      </w:pPr>
      <w:r>
        <w:t xml:space="preserve">Controversias</w:t>
      </w:r>
    </w:p>
    <w:p>
      <w:pPr>
        <w:spacing w:after="100"/>
      </w:pPr>
      <w:r>
        <w:t xml:space="preserve">No constan sanciones ni litigios materiales en los últimos tres años en el 10-K 2025 [1]. No se encontró en las fuentes revisadas ninguna sanción de seguridad laboral de importe relevante atribuida a EMCOR.</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de 17.140 M está ligada a centros de datos y cuántos clientes suman la mitad de esa parte?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no lo da y es el principal riesgo de la tesis.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operativo consideráis sostenible a lo largo del ciclo con la mezcla actual: el 7 % de 2023 o el 9,5-10 % de hoy?</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valoración depende de si el margen actual es estructural o cíclico.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es de precio máximo garantizado o contratista principal y cómo se reparten los sobrecostes?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mecánico ya baja por ese cambio.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Cancelaciones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¿Algún hiperescalador ha aplazado o reducido un campus en 2026, y qué penalizaciones cubren una cancelación?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dice que el riesgo de cancelación es bajo por las penalizaciones, sin detallarlas.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¿Seguiréis recomprando a 20 veces el beneficio o preferís acumular caja para el próximo ciclo bajo?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1S26 recompró a ≈880 USD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el plan de sucesión del consejero delegado?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Guzzi lleva 15 años en el cargo y ha vendido 26 M USD de acciones en 12 meses.</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«negocio excepcional, valoración estirada, esperar una caída» (junio) y «el trimestre récord llegó y la acción no subió» (julio) a «mantener mientras el múltiplo supere todos los cierres de año desde 2021» (octubre); una voz alcista prefiere EMCOR a Comfort Systems por precio [12].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Seeking Alpha (noticias de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Agosto: las empresas de climatización caen con la subida de los tipos; septiembre: «el miedo al frenazo de la IA castiga a la construcción de centros de datos», aunque UBS ve un récord de inicios de obra por los centros de datos [12].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estirada tras el ciclo de la 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Coincide con nuestro análisis: el múltiplo supera todos los cierres de año desde 2021 [12].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excelente y cartera récord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las cifras: tres trimestres batiendo y dos subidas de guía [3, 12].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Miedo al frenazo del gasto en 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momento no hay recortes de los hiperescaladores ni caída de la cartera [12].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EMCOR frente a Comfort Systems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EMCOR es más barata pero con menos margen y menos peso en centros de datos [12].</w:t>
            </w:r>
          </w:p>
        </w:tc>
      </w:tr>
    </w:tbl>
    <w:p>
      <w:pPr>
        <w:spacing w:after="160" w:before="0"/>
      </w:pPr>
    </w:p>
    <w:p>
      <w:pPr>
        <w:spacing w:after="100"/>
      </w:pPr>
      <w:r>
        <w:t xml:space="preserve">El sentimiento ha pasado del entusiasmo de mayo (máximos de 952 USD) a la duda de octubre: los autores más leídos dicen «mantener» o «esperar a una caída» por precio, no por negocio, y las noticias de mercado hablan del miedo a un frenazo de la IA [12]. Los analistas siguen siendo muy optimistas (7 de 10 comprar) [19]. Es una señal de prudencia: el debate está en el múltiplo, que es justo lo que nuestra regla no paga.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21 de 21 controles correctos. Fuentes: 27 (13 primarias); citas distintas en el texto: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5,3 % en 2033e frente al 3,8 %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7,0 % frente a 6,8 % real: genera una variación de circulante de 271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Vender, rentabilidad del -32,7 % (-23,5 % con la prima del mercado) y el precio pide 12,0 puntos más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fuentes (13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9, 13, 14.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interanual de 3T24 a 2T25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del 3T25 al 2T26 (solo comparan con el trimestre del año anterior); 2) XBRL trimestral de 2023 no descargado; 3) prensa (sin cifra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años con el mismo 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(informe de EY sin año de inicio en el texto extraído); 2) proxy 2026 (ratificación sin año de inicio); 3) 8-K de la junta (solo votos)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2021-2022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(solo 2023-2025); 2) XBRL companyfacts (sin dimensiones de segmento); 3) 10-K 2023 no descargado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tres ejercicios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mercado de instalaciones MEP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Census (solo gasto total de construcción); 2) ENR Top Specialty Contractors (de pago); 3) estudios de IBISWorld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Estimado (≈35 % del gasto no residencial)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proxy (sin calificaciones); 2) MSCI ESG Ratings (requiere JavaScript); 3) Sustainalytics (sin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de entrada de cada consejero y comisiones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(biografías extraídas sin la tabla de comisiones); 2) 8-K de la junta (solo votos); 3) web de gobierno corporativo (no descargada)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fechas en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y número de acciones de cada venta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form4.mjs (da totales por persona); 2) EDGAR Form 4 individual (no leído uno a uno por tiempo); 3) MarketBeat (sin abrir)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dan importes por persona en 12 meses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EBIT de consenso y estimación de 2028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(WebFetch devuelve otra empresa); 2) Stock Analysis (solo ingresos y BPA 2026-2027); 3) Yahoo earningsTrend (solo dos ejercicios)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comparan ingresos y BPA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(ficha sin el dato); 2) Stock Analysis estadísticas (no leído por tiempo); 3) NYSE (sin acceso gratuito)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 de la compra de Miller Electric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(sin EBITDA de Miller); 2) nota de la compra de diciembre de 2024 (no descargada); 3) prensa (sin cifra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foros (Reddit,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Reddit (403 desde la nube, lección); 2) Stocktwits (no consultado por tiempo); 3) MarketBeat (no consultado)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final de instalaciones MEP en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Census (solo gasto total de construcción no residencial); 2) ENR y asociaciones MCAA y NECA (cifras de pago); 3) estudios privados (IBISWorld,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Estimación propia (≈35 % del gasto no residencial, 600.000 M USD en 2033e) marcada como tal</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(cuentas auditadas, segmentos, ingresos por mercado, cartera de pedidos, venta de EMCOR UK, planes de pensiones multiempresa)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EMCOR Group,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https://www.sec.gov/Archives/edgar/data/105634/000010563426000025/eme-20251231.htm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Hechos XBRL (companyfacts): cuenta, balance y flujos 2015-2025, amortización de intangibles, deterioros, cartera de pedidos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https://data.sec.gov/api/xbrl/companyfacts/CIK0000105634.json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EMCOR Group, Inc. Reports Second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EMCOR Group,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https://www.sec.gov/Archives/edgar/data/105634/000010563426000112/eme-ex991_2026630xq2.htm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2T26 (ingresos por mercado, cartera por segmento, compras, recompras, hechos posteriores)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EMCOR Group,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https://www.sec.gov/Archives/edgar/data/105634/000010563426000110/eme-20260630.htm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EMCOR Group, Inc. Reports First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EMCOR Group,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https://www.sec.gov/Archives/edgar/data/105634/000010563426000048/eme-ex991_2026331xq1.htm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EMCOR Group, Inc. Reports Fourth Quarter and Full-Year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EMCOR Group,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https://www.sec.gov/Archives/edgar/data/105634/000010563426000027/eme-ex991_20251231xq4.htm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EMCOR Group, Inc. Reports Third 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EMCOR Group,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https://www.sec.gov/Archives/edgar/data/105634/000010563425000082/eme-ex991_2025930xq3.htm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EMCOR (EME) Q2 2026 Earnings Call Transcript (compras de cinco instaladores eléctricos, márgenes, cartera, multiplicadores de los centros de datos de 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https://www.webull.com/news/15319340250375168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EMCOR Group, Inc. Reports Fourth Quarter and Full-Year 2020 Results (BPA no GAAP de 2020: 6,40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EMCOR Group,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https://www.sec.gov/Archives/edgar/data/105634/000010563421000047/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Construction Spending: Nonresidential (TLNRESCONS), 1.308.532 M USD anualizados en agosto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Census Bureau vía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https://fred.stlouisfed.org/series/TLNRESCONS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Comfort Systems, Quanta, MasTec, IES, APi, Primoris, Limbach, Sterling, MYR y Dycom (ingresos, márgenes,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(herramientas/yahoo.mjs)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https://finance.yahoo.com/quote/FIX/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centers drive surge in U.S. construction starts, UBS says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https://seekingalpha.com/api/sa/combined/EME.xml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de climatización (HVAC) y control de edificios (refrigeración de centros de datos,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(sectores/climatizacion-hvac-2026-10-14)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EMCOR Group, Inc. (EME) Stock Hit by DeepSeek AI Concerns as Investors Reassess Data Center Demand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https://www.insidermonkey.com/blog/emcor-group-inc-eme-stock-hit-by-deepseek-ai-concerns-as-investors-reassess-data-center-demand-1436927/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remuneración de 2025, ratio salarial, participaciones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EMCOR Group,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https://www.sec.gov/Archives/edgar/data/105634/000114036126015809/ny20062562x1_def14a.htm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2026 (votos de consejeros, remuneración y auditor)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EMCOR Group,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https://www.sec.gov/Archives/edgar/data/105634/000010563426000085/eme-20260604.htm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(15-oct-2025 a 15-oct-2026),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https://www.sec.gov/cgi-bin/browse-edgar?action=getcompany&amp;CIK=0000105634&amp;type=4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EME, SPY y XLI (herramientas/bolsa.mjs y movimiento.mjs), hasta el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https://finance.yahoo.com/quote/EME/history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EMCOR Group (EME) Stock Forecast: 10 analistas, objetivo medio 1.033 USD (885-1.200), BPA 2026e 32,99 y 2027e 37,37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https://stockanalysis.com/stocks/eme/forecast/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 5,21 % 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y estimaciones de consenso (earningsTrend) de EME y diez comparables, 15-oct-2026 (herramientas/yahoo.mjs)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https://finance.yahoo.com/quote/EME/analysis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EMCOR Group (EME) earnings date: 3T26 previsto el 29-oct-2026 antes de la apertura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Unusual Whales / Earnings Whispers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https://unusualwhales.com/stock/EME/earnings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EMCOR Group plunged today (−17 % tras el 3T25: guía corta tras subir un 70 % en el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https://www.fool.com/investing/2025/10/30/why-emcor-group-plunged-today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EMCOR (EME) stock trades down, here is why (guía de 2026 por debajo de lo esperado)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StockStory (Barchart)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https://www.barchart.com/story/news/448257/emcor-eme-stock-trades-down-here-is-why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EMCOR Group (EME) down 4,7 % in sector-wide rotation out of infrastructure names; down 5,2 % ahead of Q2 earnings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Weiss Ratings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https://weissratings.com/en/instant-news-alerts/emcor-group-inc-eme-down-5-2-do-i-close-the-trade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1,1208 el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88,0 %</w:t>
      </w:r>
      <w:r>
        <w:t xml:space="preserve"> · Secciones con menos del 60 % de campos cubiertos: </w:t>
      </w:r>
      <w:r>
        <w:rPr>
          <w:b/>
          <w:bCs/>
        </w:rPr>
        <w:t xml:space="preserve">rentabilidad</w:t>
      </w:r>
      <w:r>
        <w:t xml:space="preserve"> · Generado el 15 oct 2026.</w:t>
      </w:r>
    </w:p>
    <w:p>
      <w:pPr>
        <w:pStyle w:val="Nota"/>
        <w:spacing w:after="100"/>
      </w:pPr>
      <w:r>
        <w:t xml:space="preserve">Línea cotizada: acciones ordinarias en la Bolsa de Nueva York (EME), única clase. Precio: cierre del 14-oct-2026 (745,35 USD), porque la sesión del 15-oct no había cerrado a la hora del análisis; a media sesión del 15-oct cotizaba a ≈722 USD (−3,2 %) [18]. Cuentas 2016-2025 del XBRL de la SEC, comprobadas con el 10-K 2025 [1, 2]: el concepto de amortizaciones del XBRL solo trae la depreciación hasta 2023, así que se le suma la amortización de intangibles comprados (40-67 M al año) para que el EBITDA sea comparable con 2024-2025. No recurrentes marcados: deterioros de 2017 (57,8 M) y 2020 (232,8 M) en servicios industriales, y en 2025 la plusvalía de la venta de EMCOR UK (144,9 M) menos los costes de esa venta y de la compra de Miller Electric (20,1 M). US GAAP: los arrendamientos operativos (≈542 M USD de pasivo) quedan dentro del EBITDA y fuera de la deuda. Las recompras suman las retenciones fiscales de las acciones de empleados. Segmentos solo de 2023-2025 (los del 10-K 2025). El puente resta ≈750 M USD de las cinco compras cerradas o firmadas tras el balance de junio. Una acción cuesta 665 EUR al cambio del BCE del 15-oct [27], dentro del 7 % de una cartera de 30.000 EUR (2.100 EUR).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EMCOR Group, Inc. (EME)</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745,35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(564,92 – 951,96)</c:v>
                </c:pt>
                <c:pt idx="1">
                  <c:v>Precio objetivo de los analistas (885,00 – 1.200,00)</c:v>
                </c:pt>
                <c:pt idx="2">
                  <c:v>Comparables: PER NTM (519,36 – 718,00)</c:v>
                </c:pt>
                <c:pt idx="3">
                  <c:v>DCF (WACC y g ± 0,5) (434,17 – 517,61)</c:v>
                </c:pt>
                <c:pt idx="4">
                  <c:v>Escenarios (bajista – alcista) (298,77 – 565,26)</c:v>
                </c:pt>
                <c:pt idx="5">
                  <c:v>DCF con la prima implícita del mercado (4,2 %)</c:v>
                </c:pt>
                <c:pt idx="6">
                  <c:v>Precio actual (745,35)</c:v>
                </c:pt>
              </c:strCache>
            </c:strRef>
          </c:cat>
          <c:val>
            <c:numRef>
              <c:f>Hoja1!$B$2:$B$8</c:f>
              <c:numCache>
                <c:formatCode>#,##0</c:formatCode>
                <c:ptCount val="7"/>
                <c:pt idx="0">
                  <c:v>564.92</c:v>
                </c:pt>
                <c:pt idx="1">
                  <c:v>885</c:v>
                </c:pt>
                <c:pt idx="2">
                  <c:v>519.36</c:v>
                </c:pt>
                <c:pt idx="3">
                  <c:v>434.17</c:v>
                </c:pt>
                <c:pt idx="4">
                  <c:v>298.77</c:v>
                </c:pt>
                <c:pt idx="5">
                  <c:v>524.07</c:v>
                </c:pt>
                <c:pt idx="6">
                  <c:v>741.62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(564,92 – 951,96)</c:v>
                </c:pt>
                <c:pt idx="1">
                  <c:v>Precio objetivo de los analistas (885,00 – 1.200,00)</c:v>
                </c:pt>
                <c:pt idx="2">
                  <c:v>Comparables: PER NTM (519,36 – 718,00)</c:v>
                </c:pt>
                <c:pt idx="3">
                  <c:v>DCF (WACC y g ± 0,5) (434,17 – 517,61)</c:v>
                </c:pt>
                <c:pt idx="4">
                  <c:v>Escenarios (bajista – alcista) (298,77 – 565,26)</c:v>
                </c:pt>
                <c:pt idx="5">
                  <c:v>DCF con la prima implícita del mercado (4,2 %)</c:v>
                </c:pt>
                <c:pt idx="6">
                  <c:v>Precio actual (745,35)</c:v>
                </c:pt>
              </c:strCache>
            </c:strRef>
          </c:cat>
          <c:val>
            <c:numRef>
              <c:f>Hoja1!$C$2:$C$8</c:f>
              <c:numCache>
                <c:formatCode>#,##0</c:formatCode>
                <c:ptCount val="7"/>
                <c:pt idx="0">
                  <c:v>387.0400000000001</c:v>
                </c:pt>
                <c:pt idx="1">
                  <c:v>315</c:v>
                </c:pt>
                <c:pt idx="2">
                  <c:v>198.64</c:v>
                </c:pt>
                <c:pt idx="3">
                  <c:v>83.44</c:v>
                </c:pt>
                <c:pt idx="4">
                  <c:v>266.49</c:v>
                </c:pt>
                <c:pt idx="5">
                  <c:v>74.59999999999991</c:v>
                </c:pt>
                <c:pt idx="6">
                  <c:v>7.460000000000036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Construcción eléctrica y servicios (EE. UU.)</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2783.7</c:v>
                </c:pt>
                <c:pt idx="1">
                  <c:v>3342.9</c:v>
                </c:pt>
                <c:pt idx="2">
                  <c:v>5074.3</c:v>
                </c:pt>
              </c:numCache>
            </c:numRef>
          </c:val>
        </c:ser>
        <c:ser>
          <c:idx val="1"/>
          <c:order val="1"/>
          <c:tx>
            <c:strRef>
              <c:f>Hoja1!$C$1</c:f>
              <c:strCache>
                <c:ptCount val="1"/>
                <c:pt idx="0">
                  <c:v>Construcción mecánica y servicios (EE. UU.)</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5074.8</c:v>
                </c:pt>
                <c:pt idx="1">
                  <c:v>6405.7</c:v>
                </c:pt>
                <c:pt idx="2">
                  <c:v>7050.5</c:v>
                </c:pt>
              </c:numCache>
            </c:numRef>
          </c:val>
        </c:ser>
        <c:ser>
          <c:idx val="2"/>
          <c:order val="2"/>
          <c:tx>
            <c:strRef>
              <c:f>Hoja1!$D$1</c:f>
              <c:strCache>
                <c:ptCount val="1"/>
                <c:pt idx="0">
                  <c:v>Servicios a edificios (EE. UU.)</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3120.1</c:v>
                </c:pt>
                <c:pt idx="1">
                  <c:v>3114.8</c:v>
                </c:pt>
                <c:pt idx="2">
                  <c:v>3122.2</c:v>
                </c:pt>
              </c:numCache>
            </c:numRef>
          </c:val>
        </c:ser>
        <c:ser>
          <c:idx val="3"/>
          <c:order val="3"/>
          <c:tx>
            <c:strRef>
              <c:f>Hoja1!$E$1</c:f>
              <c:strCache>
                <c:ptCount val="1"/>
                <c:pt idx="0">
                  <c:v>Servicios industriales (EE. UU.)</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1167.8</c:v>
                </c:pt>
                <c:pt idx="1">
                  <c:v>1277.2</c:v>
                </c:pt>
                <c:pt idx="2">
                  <c:v>1268.1</c:v>
                </c:pt>
              </c:numCache>
            </c:numRef>
          </c:val>
        </c:ser>
        <c:ser>
          <c:idx val="4"/>
          <c:order val="4"/>
          <c:tx>
            <c:strRef>
              <c:f>Hoja1!$F$1</c:f>
              <c:strCache>
                <c:ptCount val="1"/>
                <c:pt idx="0">
                  <c:v>Servicios a edificios (Reino Unido)</c:v>
                </c:pt>
              </c:strCache>
            </c:strRef>
          </c:tx>
          <c:spPr>
            <a:solidFill>
              <a:srgbClr val="E87BA4"/>
            </a:solidFill>
            <a:ln w="12700">
              <a:solidFill>
                <a:srgbClr val="FFFFFF"/>
              </a:solidFill>
            </a:ln>
          </c:spPr>
          <c:invertIfNegative val="0"/>
          <c:cat>
            <c:strRef>
              <c:f>Hoja1!$A$2:$A$4</c:f>
              <c:strCache>
                <c:ptCount val="3"/>
                <c:pt idx="0">
                  <c:v>2023</c:v>
                </c:pt>
                <c:pt idx="1">
                  <c:v>2024</c:v>
                </c:pt>
                <c:pt idx="2">
                  <c:v>2025</c:v>
                </c:pt>
              </c:strCache>
            </c:strRef>
          </c:cat>
          <c:val>
            <c:numRef>
              <c:f>Hoja1!$F$2:$F$4</c:f>
              <c:numCache>
                <c:formatCode>#,##0</c:formatCode>
                <c:ptCount val="3"/>
                <c:pt idx="0">
                  <c:v>436.4</c:v>
                </c:pt>
                <c:pt idx="1">
                  <c:v>425.5</c:v>
                </c:pt>
                <c:pt idx="2">
                  <c:v>471.3</c:v>
                </c:pt>
              </c:numCache>
            </c:numRef>
          </c:val>
        </c:ser>
        <c:ser>
          <c:idx val="5"/>
          <c:order val="5"/>
          <c:tx>
            <c:strRef>
              <c:f>Hoja1!$G$1</c:f>
              <c:strCache>
                <c:ptCount val="1"/>
                <c:pt idx="0">
                  <c:v>Corporativo</c:v>
                </c:pt>
              </c:strCache>
            </c:strRef>
          </c:tx>
          <c:spPr>
            <a:solidFill>
              <a:srgbClr val="008300"/>
            </a:solidFill>
            <a:ln w="12700">
              <a:solidFill>
                <a:srgbClr val="FFFFFF"/>
              </a:solidFill>
            </a:ln>
          </c:spPr>
          <c:invertIfNegative val="0"/>
          <c:cat>
            <c:strRef>
              <c:f>Hoja1!$A$2:$A$4</c:f>
              <c:strCache>
                <c:ptCount val="3"/>
                <c:pt idx="0">
                  <c:v>2023</c:v>
                </c:pt>
                <c:pt idx="1">
                  <c:v>2024</c:v>
                </c:pt>
                <c:pt idx="2">
                  <c:v>2025</c:v>
                </c:pt>
              </c:strCache>
            </c:strRef>
          </c:cat>
          <c:val>
            <c:numRef>
              <c:f>Hoja1!$G$2:$G$4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Construcción eléctrica y servicios (EE. UU.)</c:v>
                </c:pt>
                <c:pt idx="1">
                  <c:v>Construcción mecánica y servicios (EE. UU.)</c:v>
                </c:pt>
                <c:pt idx="2">
                  <c:v>Servicios a edificios (EE. UU.)</c:v>
                </c:pt>
                <c:pt idx="3">
                  <c:v>Servicios industriales (EE. UU.)</c:v>
                </c:pt>
                <c:pt idx="4">
                  <c:v>Servicios a edificios (Reino Unido)</c:v>
                </c:pt>
                <c:pt idx="5">
                  <c:v>Corporativo</c:v>
                </c:pt>
              </c:strCache>
            </c:strRef>
          </c:cat>
          <c:val>
            <c:numRef>
              <c:f>Hoja1!$B$2:$B$7</c:f>
              <c:numCache>
                <c:formatCode>General</c:formatCode>
                <c:ptCount val="6"/>
                <c:pt idx="0">
                  <c:v>29.9</c:v>
                </c:pt>
                <c:pt idx="1">
                  <c:v>41.5</c:v>
                </c:pt>
                <c:pt idx="2">
                  <c:v>18.4</c:v>
                </c:pt>
                <c:pt idx="3">
                  <c:v>7.5</c:v>
                </c:pt>
                <c:pt idx="4">
                  <c:v>2.8</c:v>
                </c:pt>
                <c:pt idx="5">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Reino Unido (vendido en 2025)</c:v>
                </c:pt>
              </c:strCache>
            </c:strRef>
          </c:cat>
          <c:val>
            <c:numRef>
              <c:f>Hoja1!$B$2:$B$3</c:f>
              <c:numCache>
                <c:formatCode>0"%"</c:formatCode>
                <c:ptCount val="2"/>
                <c:pt idx="0">
                  <c:v>97.2</c:v>
                </c:pt>
                <c:pt idx="1">
                  <c:v>2.8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(construcción no residencial total, Census))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874830</c:v>
                </c:pt>
                <c:pt idx="1">
                  <c:v>841712</c:v>
                </c:pt>
                <c:pt idx="2">
                  <c:v>867490</c:v>
                </c:pt>
                <c:pt idx="3">
                  <c:v>1057267</c:v>
                </c:pt>
                <c:pt idx="4">
                  <c:v>1271409</c:v>
                </c:pt>
                <c:pt idx="5">
                  <c:v>1318434</c:v>
                </c:pt>
                <c:pt idx="6">
                  <c:v>1273524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3</c:v>
                </c:pt>
                <c:pt idx="3">
                  <c:v>2</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EMCOR</c:v>
                </c:pt>
                <c:pt idx="1">
                  <c:v>Comfort Systems USA</c:v>
                </c:pt>
                <c:pt idx="2">
                  <c:v>Quanta Services</c:v>
                </c:pt>
                <c:pt idx="3">
                  <c:v>MasTec</c:v>
                </c:pt>
                <c:pt idx="4">
                  <c:v>IES Holdings</c:v>
                </c:pt>
                <c:pt idx="5">
                  <c:v>APi Group</c:v>
                </c:pt>
                <c:pt idx="6">
                  <c:v>Limbach Holdings</c:v>
                </c:pt>
              </c:strCache>
            </c:strRef>
          </c:cat>
          <c:val>
            <c:numRef>
              <c:f>Hoja1!$B$2:$B$8</c:f>
              <c:numCache>
                <c:formatCode>0.0"%"</c:formatCode>
                <c:ptCount val="7"/>
                <c:pt idx="0">
                  <c:v>9.4</c:v>
                </c:pt>
                <c:pt idx="1">
                  <c:v>16.4</c:v>
                </c:pt>
                <c:pt idx="2">
                  <c:v>6.2</c:v>
                </c:pt>
                <c:pt idx="3">
                  <c:v>5.3</c:v>
                </c:pt>
                <c:pt idx="4">
                  <c:v>14.6</c:v>
                </c:pt>
                <c:pt idx="5">
                  <c:v>7.1</c:v>
                </c:pt>
                <c:pt idx="6">
                  <c:v>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2</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Hoja1!$B$2:$B$19</c:f>
              <c:numCache>
                <c:formatCode>#,##0</c:formatCode>
                <c:ptCount val="18"/>
                <c:pt idx="0">
                  <c:v>7551.5</c:v>
                </c:pt>
                <c:pt idx="1">
                  <c:v>7687</c:v>
                </c:pt>
                <c:pt idx="2">
                  <c:v>8130.6</c:v>
                </c:pt>
                <c:pt idx="3">
                  <c:v>9174.6</c:v>
                </c:pt>
                <c:pt idx="4">
                  <c:v>8797.1</c:v>
                </c:pt>
                <c:pt idx="5">
                  <c:v>9903.6</c:v>
                </c:pt>
                <c:pt idx="6">
                  <c:v>11076.1</c:v>
                </c:pt>
                <c:pt idx="7">
                  <c:v>12582.9</c:v>
                </c:pt>
                <c:pt idx="8">
                  <c:v>14566.1</c:v>
                </c:pt>
                <c:pt idx="9">
                  <c:v>16986.4</c:v>
                </c:pt>
                <c:pt idx="10">
                  <c:v>20299</c:v>
                </c:pt>
                <c:pt idx="11">
                  <c:v>22633</c:v>
                </c:pt>
                <c:pt idx="12">
                  <c:v>24444</c:v>
                </c:pt>
                <c:pt idx="13">
                  <c:v>26155</c:v>
                </c:pt>
                <c:pt idx="14">
                  <c:v>27724</c:v>
                </c:pt>
                <c:pt idx="15">
                  <c:v>29110</c:v>
                </c:pt>
                <c:pt idx="16">
                  <c:v>30420</c:v>
                </c:pt>
                <c:pt idx="17">
                  <c:v>31637</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Hoja1!$C$2:$C$19</c:f>
              <c:numCache>
                <c:formatCode>#,##0</c:formatCode>
                <c:ptCount val="18"/>
                <c:pt idx="0">
                  <c:v>389.09999999999997</c:v>
                </c:pt>
                <c:pt idx="1">
                  <c:v>475.2</c:v>
                </c:pt>
                <c:pt idx="2">
                  <c:v>484.9</c:v>
                </c:pt>
                <c:pt idx="3">
                  <c:v>552.9</c:v>
                </c:pt>
                <c:pt idx="4">
                  <c:v>596.3</c:v>
                </c:pt>
                <c:pt idx="5">
                  <c:v>643.2</c:v>
                </c:pt>
                <c:pt idx="6">
                  <c:v>673.5</c:v>
                </c:pt>
                <c:pt idx="7">
                  <c:v>997.1</c:v>
                </c:pt>
                <c:pt idx="8">
                  <c:v>1478.6</c:v>
                </c:pt>
                <c:pt idx="9">
                  <c:v>1775</c:v>
                </c:pt>
                <c:pt idx="10">
                  <c:v>2172</c:v>
                </c:pt>
                <c:pt idx="11">
                  <c:v>2422</c:v>
                </c:pt>
                <c:pt idx="12">
                  <c:v>2615</c:v>
                </c:pt>
                <c:pt idx="13">
                  <c:v>2720</c:v>
                </c:pt>
                <c:pt idx="14">
                  <c:v>2800</c:v>
                </c:pt>
                <c:pt idx="15">
                  <c:v>2853</c:v>
                </c:pt>
                <c:pt idx="16">
                  <c:v>2890</c:v>
                </c:pt>
                <c:pt idx="17">
                  <c:v>2911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13.7</c:v>
                </c:pt>
                <c:pt idx="1">
                  <c:v>14.9</c:v>
                </c:pt>
                <c:pt idx="2">
                  <c:v>14.8</c:v>
                </c:pt>
                <c:pt idx="3">
                  <c:v>14.8</c:v>
                </c:pt>
                <c:pt idx="4">
                  <c:v>15.9</c:v>
                </c:pt>
                <c:pt idx="5">
                  <c:v>15.2</c:v>
                </c:pt>
                <c:pt idx="6">
                  <c:v>14.5</c:v>
                </c:pt>
                <c:pt idx="7">
                  <c:v>16.6</c:v>
                </c:pt>
                <c:pt idx="8">
                  <c:v>19</c:v>
                </c:pt>
                <c:pt idx="9">
                  <c:v>19.3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5.2</c:v>
                </c:pt>
                <c:pt idx="1">
                  <c:v>6.2</c:v>
                </c:pt>
                <c:pt idx="2">
                  <c:v>6</c:v>
                </c:pt>
                <c:pt idx="3">
                  <c:v>6</c:v>
                </c:pt>
                <c:pt idx="4">
                  <c:v>6.8</c:v>
                </c:pt>
                <c:pt idx="5">
                  <c:v>6.5</c:v>
                </c:pt>
                <c:pt idx="6">
                  <c:v>6.1</c:v>
                </c:pt>
                <c:pt idx="7">
                  <c:v>7.9</c:v>
                </c:pt>
                <c:pt idx="8">
                  <c:v>10.2</c:v>
                </c:pt>
                <c:pt idx="9">
                  <c:v>10.4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4.1</c:v>
                </c:pt>
                <c:pt idx="1">
                  <c:v>5</c:v>
                </c:pt>
                <c:pt idx="2">
                  <c:v>5</c:v>
                </c:pt>
                <c:pt idx="3">
                  <c:v>5</c:v>
                </c:pt>
                <c:pt idx="4">
                  <c:v>5.6</c:v>
                </c:pt>
                <c:pt idx="5">
                  <c:v>5.4</c:v>
                </c:pt>
                <c:pt idx="6">
                  <c:v>5.1</c:v>
                </c:pt>
                <c:pt idx="7">
                  <c:v>7</c:v>
                </c:pt>
                <c:pt idx="8">
                  <c:v>9.2</c:v>
                </c:pt>
                <c:pt idx="9">
                  <c:v>9.4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2.4</c:v>
                </c:pt>
                <c:pt idx="1">
                  <c:v>3</c:v>
                </c:pt>
                <c:pt idx="2">
                  <c:v>3.5</c:v>
                </c:pt>
                <c:pt idx="3">
                  <c:v>3.5</c:v>
                </c:pt>
                <c:pt idx="4">
                  <c:v>1.5</c:v>
                </c:pt>
                <c:pt idx="5">
                  <c:v>3.9</c:v>
                </c:pt>
                <c:pt idx="6">
                  <c:v>3.7</c:v>
                </c:pt>
                <c:pt idx="7">
                  <c:v>5</c:v>
                </c:pt>
                <c:pt idx="8">
                  <c:v>6.9</c:v>
                </c:pt>
                <c:pt idx="9">
                  <c:v>7.5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4">
                  <c:v>16.4</c:v>
                </c:pt>
                <c:pt idx="5">
                  <c:v>19.7</c:v>
                </c:pt>
                <c:pt idx="6">
                  <c:v>19.7</c:v>
                </c:pt>
                <c:pt idx="7">
                  <c:v>19.8</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5">
                  <c:v>9.5</c:v>
                </c:pt>
                <c:pt idx="6">
                  <c:v>16.3</c:v>
                </c:pt>
                <c:pt idx="7">
                  <c:v>19.6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72</c:v>
                </c:pt>
                <c:pt idx="1">
                  <c:v>76</c:v>
                </c:pt>
                <c:pt idx="2">
                  <c:v>80</c:v>
                </c:pt>
                <c:pt idx="3">
                  <c:v>81</c:v>
                </c:pt>
                <c:pt idx="4">
                  <c:v>80</c:v>
                </c:pt>
                <c:pt idx="5">
                  <c:v>81</c:v>
                </c:pt>
                <c:pt idx="6">
                  <c:v>85</c:v>
                </c:pt>
                <c:pt idx="7">
                  <c:v>93</c:v>
                </c:pt>
                <c:pt idx="8">
                  <c:v>90</c:v>
                </c:pt>
                <c:pt idx="9">
                  <c:v>91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8">
                  <c:v>3</c:v>
                </c:pt>
                <c:pt idx="9">
                  <c:v>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28</c:v>
                </c:pt>
                <c:pt idx="1">
                  <c:v>32</c:v>
                </c:pt>
                <c:pt idx="2">
                  <c:v>34</c:v>
                </c:pt>
                <c:pt idx="3">
                  <c:v>31</c:v>
                </c:pt>
                <c:pt idx="4">
                  <c:v>33</c:v>
                </c:pt>
                <c:pt idx="5">
                  <c:v>32</c:v>
                </c:pt>
                <c:pt idx="6">
                  <c:v>33</c:v>
                </c:pt>
                <c:pt idx="7">
                  <c:v>33</c:v>
                </c:pt>
                <c:pt idx="8">
                  <c:v>29</c:v>
                </c:pt>
                <c:pt idx="9">
                  <c:v>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221.39999999999998</c:v>
                </c:pt>
                <c:pt idx="1">
                  <c:v>329.90000000000003</c:v>
                </c:pt>
                <c:pt idx="2">
                  <c:v>226</c:v>
                </c:pt>
                <c:pt idx="3">
                  <c:v>302.7</c:v>
                </c:pt>
                <c:pt idx="4">
                  <c:v>753.9</c:v>
                </c:pt>
                <c:pt idx="5">
                  <c:v>278.40000000000003</c:v>
                </c:pt>
                <c:pt idx="6">
                  <c:v>444.99999999999994</c:v>
                </c:pt>
                <c:pt idx="7">
                  <c:v>818.5000000000001</c:v>
                </c:pt>
                <c:pt idx="8">
                  <c:v>1330</c:v>
                </c:pt>
                <c:pt idx="9">
                  <c:v>1186.6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181.9</c:v>
                </c:pt>
                <c:pt idx="1">
                  <c:v>227.2</c:v>
                </c:pt>
                <c:pt idx="2">
                  <c:v>283.5</c:v>
                </c:pt>
                <c:pt idx="3">
                  <c:v>325.1</c:v>
                </c:pt>
                <c:pt idx="4">
                  <c:v>132.9</c:v>
                </c:pt>
                <c:pt idx="5">
                  <c:v>383.5</c:v>
                </c:pt>
                <c:pt idx="6">
                  <c:v>406.1</c:v>
                </c:pt>
                <c:pt idx="7">
                  <c:v>633</c:v>
                </c:pt>
                <c:pt idx="8">
                  <c:v>1007.1</c:v>
                </c:pt>
                <c:pt idx="9">
                  <c:v>1272.8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13</c:v>
                </c:pt>
                <c:pt idx="1">
                  <c:v>18.5</c:v>
                </c:pt>
                <c:pt idx="2">
                  <c:v>18.3</c:v>
                </c:pt>
                <c:pt idx="3">
                  <c:v>18.1</c:v>
                </c:pt>
                <c:pt idx="4">
                  <c:v>17.2</c:v>
                </c:pt>
                <c:pt idx="5">
                  <c:v>24.7</c:v>
                </c:pt>
                <c:pt idx="6">
                  <c:v>23.7</c:v>
                </c:pt>
                <c:pt idx="7">
                  <c:v>36.9</c:v>
                </c:pt>
                <c:pt idx="8">
                  <c:v>59.9</c:v>
                </c:pt>
                <c:pt idx="9">
                  <c:v>56.4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11.3</c:v>
                </c:pt>
                <c:pt idx="1">
                  <c:v>11.3</c:v>
                </c:pt>
                <c:pt idx="2">
                  <c:v>11.3</c:v>
                </c:pt>
                <c:pt idx="3">
                  <c:v>11.3</c:v>
                </c:pt>
                <c:pt idx="4">
                  <c:v>11.3</c:v>
                </c:pt>
                <c:pt idx="5">
                  <c:v>11.3</c:v>
                </c:pt>
                <c:pt idx="6">
                  <c:v>11.3</c:v>
                </c:pt>
                <c:pt idx="7">
                  <c:v>11.3</c:v>
                </c:pt>
                <c:pt idx="8">
                  <c:v>11.3</c:v>
                </c:pt>
                <c:pt idx="9">
                  <c:v>11.3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11.8</c:v>
                </c:pt>
                <c:pt idx="1">
                  <c:v>14.2</c:v>
                </c:pt>
                <c:pt idx="2">
                  <c:v>16.6</c:v>
                </c:pt>
                <c:pt idx="3">
                  <c:v>17.1</c:v>
                </c:pt>
                <c:pt idx="4">
                  <c:v>6.5</c:v>
                </c:pt>
                <c:pt idx="5">
                  <c:v>17.8</c:v>
                </c:pt>
                <c:pt idx="6">
                  <c:v>19.2</c:v>
                </c:pt>
                <c:pt idx="7">
                  <c:v>28.5</c:v>
                </c:pt>
                <c:pt idx="8">
                  <c:v>37.2</c:v>
                </c:pt>
                <c:pt idx="9">
                  <c:v>38.5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-0.14</c:v>
                </c:pt>
                <c:pt idx="1">
                  <c:v>-0.33</c:v>
                </c:pt>
                <c:pt idx="2">
                  <c:v>-0.14</c:v>
                </c:pt>
                <c:pt idx="3">
                  <c:v>-0.11</c:v>
                </c:pt>
                <c:pt idx="4">
                  <c:v>-1.05</c:v>
                </c:pt>
                <c:pt idx="5">
                  <c:v>-0.87</c:v>
                </c:pt>
                <c:pt idx="6">
                  <c:v>-0.31</c:v>
                </c:pt>
                <c:pt idx="7">
                  <c:v>-0.79</c:v>
                </c:pt>
                <c:pt idx="8">
                  <c:v>-0.91</c:v>
                </c:pt>
                <c:pt idx="9">
                  <c:v>-0.63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232.9</c:v>
                </c:pt>
                <c:pt idx="1">
                  <c:v>107.2</c:v>
                </c:pt>
                <c:pt idx="2">
                  <c:v>72.1</c:v>
                </c:pt>
                <c:pt idx="3">
                  <c:v>301</c:v>
                </c:pt>
                <c:pt idx="4">
                  <c:v>50.4</c:v>
                </c:pt>
                <c:pt idx="5">
                  <c:v>118.2</c:v>
                </c:pt>
                <c:pt idx="6">
                  <c:v>98.7</c:v>
                </c:pt>
                <c:pt idx="7">
                  <c:v>96.5</c:v>
                </c:pt>
                <c:pt idx="8">
                  <c:v>228.2</c:v>
                </c:pt>
                <c:pt idx="9">
                  <c:v>1022.1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19.5</c:v>
                </c:pt>
                <c:pt idx="1">
                  <c:v>19</c:v>
                </c:pt>
                <c:pt idx="2">
                  <c:v>18.6</c:v>
                </c:pt>
                <c:pt idx="3">
                  <c:v>18</c:v>
                </c:pt>
                <c:pt idx="4">
                  <c:v>17.7</c:v>
                </c:pt>
                <c:pt idx="5">
                  <c:v>28.2</c:v>
                </c:pt>
                <c:pt idx="6">
                  <c:v>27.2</c:v>
                </c:pt>
                <c:pt idx="7">
                  <c:v>32.7</c:v>
                </c:pt>
                <c:pt idx="8">
                  <c:v>43.4</c:v>
                </c:pt>
                <c:pt idx="9">
                  <c:v>45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98.4</c:v>
                </c:pt>
                <c:pt idx="1">
                  <c:v>96.7</c:v>
                </c:pt>
                <c:pt idx="2">
                  <c:v>220</c:v>
                </c:pt>
                <c:pt idx="3">
                  <c:v>6.5</c:v>
                </c:pt>
                <c:pt idx="4">
                  <c:v>115.2</c:v>
                </c:pt>
                <c:pt idx="5">
                  <c:v>199.7</c:v>
                </c:pt>
                <c:pt idx="6">
                  <c:v>668.1</c:v>
                </c:pt>
                <c:pt idx="7">
                  <c:v>133.8</c:v>
                </c:pt>
                <c:pt idx="8">
                  <c:v>505.2</c:v>
                </c:pt>
                <c:pt idx="9">
                  <c:v>603.1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BlackRock, Inc.</c:v>
                </c:pt>
                <c:pt idx="1">
                  <c:v>The Vanguard Group</c:v>
                </c:pt>
                <c:pt idx="2">
                  <c:v>FMR LLC (Fidelity)</c:v>
                </c:pt>
                <c:pt idx="3">
                  <c:v>Anthony J. Guzzi (consejero delegado)</c:v>
                </c:pt>
              </c:strCache>
            </c:strRef>
          </c:cat>
          <c:val>
            <c:numRef>
              <c:f>Hoja1!$B$2:$B$5</c:f>
              <c:numCache>
                <c:formatCode>0.0"%"</c:formatCode>
                <c:ptCount val="4"/>
                <c:pt idx="0">
                  <c:v>8</c:v>
                </c:pt>
                <c:pt idx="1">
                  <c:v>11.9</c:v>
                </c:pt>
                <c:pt idx="2">
                  <c:v>5.9</c:v>
                </c:pt>
                <c:pt idx="3">
                  <c:v>0.38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48.2</c:v>
                </c:pt>
                <c:pt idx="1">
                  <c:v>16.1</c:v>
                </c:pt>
                <c:pt idx="2">
                  <c:v>-26.7</c:v>
                </c:pt>
                <c:pt idx="3">
                  <c:v>45.2</c:v>
                </c:pt>
                <c:pt idx="4">
                  <c:v>6.5</c:v>
                </c:pt>
                <c:pt idx="5">
                  <c:v>39.9</c:v>
                </c:pt>
                <c:pt idx="6">
                  <c:v>16.8</c:v>
                </c:pt>
                <c:pt idx="7">
                  <c:v>46</c:v>
                </c:pt>
                <c:pt idx="8">
                  <c:v>111.3</c:v>
                </c:pt>
                <c:pt idx="9">
                  <c:v>35.1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11</c:v>
                </c:pt>
                <c:pt idx="1">
                  <c:v>9.9</c:v>
                </c:pt>
                <c:pt idx="2">
                  <c:v>7.1</c:v>
                </c:pt>
                <c:pt idx="3">
                  <c:v>8.7</c:v>
                </c:pt>
                <c:pt idx="4">
                  <c:v>7.4</c:v>
                </c:pt>
                <c:pt idx="5">
                  <c:v>9.9</c:v>
                </c:pt>
                <c:pt idx="6">
                  <c:v>10.7</c:v>
                </c:pt>
                <c:pt idx="7">
                  <c:v>9.5</c:v>
                </c:pt>
                <c:pt idx="8">
                  <c:v>13.5</c:v>
                </c:pt>
                <c:pt idx="9">
                  <c:v>14.9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10.3</c:v>
                </c:pt>
                <c:pt idx="1">
                  <c:v>10.3</c:v>
                </c:pt>
                <c:pt idx="2">
                  <c:v>10.3</c:v>
                </c:pt>
                <c:pt idx="3">
                  <c:v>10.3</c:v>
                </c:pt>
                <c:pt idx="4">
                  <c:v>10.3</c:v>
                </c:pt>
                <c:pt idx="5">
                  <c:v>10.3</c:v>
                </c:pt>
                <c:pt idx="6">
                  <c:v>10.3</c:v>
                </c:pt>
                <c:pt idx="7">
                  <c:v>10.3</c:v>
                </c:pt>
                <c:pt idx="8">
                  <c:v>10.3</c:v>
                </c:pt>
                <c:pt idx="9">
                  <c:v>10.3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B&amp;B, Sidney, Giles, Schmidt y Connelly Electric (cinco instaladores eléctricos)</c:v>
                </c:pt>
                <c:pt idx="1">
                  <c:v>Miller Electric Company</c:v>
                </c:pt>
                <c:pt idx="2">
                  <c:v>EMCOR UK</c:v>
                </c:pt>
              </c:strCache>
            </c:strRef>
          </c:cat>
          <c:val>
            <c:numRef>
              <c:f>Hoja1!$B$2:$B$4</c:f>
              <c:numCache>
                <c:formatCode>0.0"x"</c:formatCode>
                <c:ptCount val="3"/>
                <c:pt idx="0">
                  <c:v>7.1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1200</c:v>
                </c:pt>
                <c:pt idx="1">
                  <c:v>1476</c:v>
                </c:pt>
                <c:pt idx="2">
                  <c:v>1640</c:v>
                </c:pt>
                <c:pt idx="3">
                  <c:v>1710</c:v>
                </c:pt>
                <c:pt idx="4">
                  <c:v>1765</c:v>
                </c:pt>
                <c:pt idx="5">
                  <c:v>1807</c:v>
                </c:pt>
                <c:pt idx="6">
                  <c:v>1831</c:v>
                </c:pt>
                <c:pt idx="7">
                  <c:v>1845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8439</c:v>
                </c:pt>
                <c:pt idx="1">
                  <c:v>10657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745,35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298.77</c:v>
                </c:pt>
                <c:pt idx="1">
                  <c:v>470.97</c:v>
                </c:pt>
                <c:pt idx="2">
                  <c:v>565.26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745,35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(564,92 – 951,96)</c:v>
                </c:pt>
                <c:pt idx="1">
                  <c:v>Precio objetivo de los analistas (885,00 – 1.200,00)</c:v>
                </c:pt>
                <c:pt idx="2">
                  <c:v>Comparables: PER NTM (519,36 – 718,00)</c:v>
                </c:pt>
                <c:pt idx="3">
                  <c:v>DCF (WACC y g ± 0,5) (434,17 – 517,61)</c:v>
                </c:pt>
                <c:pt idx="4">
                  <c:v>Escenarios (bajista – alcista) (298,77 – 565,26)</c:v>
                </c:pt>
                <c:pt idx="5">
                  <c:v>DCF con la prima implícita del mercado (4,2 %)</c:v>
                </c:pt>
                <c:pt idx="6">
                  <c:v>Precio actual (745,35)</c:v>
                </c:pt>
              </c:strCache>
            </c:strRef>
          </c:cat>
          <c:val>
            <c:numRef>
              <c:f>Hoja1!$B$2:$B$8</c:f>
              <c:numCache>
                <c:formatCode>#,##0</c:formatCode>
                <c:ptCount val="7"/>
                <c:pt idx="0">
                  <c:v>564.92</c:v>
                </c:pt>
                <c:pt idx="1">
                  <c:v>885</c:v>
                </c:pt>
                <c:pt idx="2">
                  <c:v>519.36</c:v>
                </c:pt>
                <c:pt idx="3">
                  <c:v>434.17</c:v>
                </c:pt>
                <c:pt idx="4">
                  <c:v>298.77</c:v>
                </c:pt>
                <c:pt idx="5">
                  <c:v>524.07</c:v>
                </c:pt>
                <c:pt idx="6">
                  <c:v>741.62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(564,92 – 951,96)</c:v>
                </c:pt>
                <c:pt idx="1">
                  <c:v>Precio objetivo de los analistas (885,00 – 1.200,00)</c:v>
                </c:pt>
                <c:pt idx="2">
                  <c:v>Comparables: PER NTM (519,36 – 718,00)</c:v>
                </c:pt>
                <c:pt idx="3">
                  <c:v>DCF (WACC y g ± 0,5) (434,17 – 517,61)</c:v>
                </c:pt>
                <c:pt idx="4">
                  <c:v>Escenarios (bajista – alcista) (298,77 – 565,26)</c:v>
                </c:pt>
                <c:pt idx="5">
                  <c:v>DCF con la prima implícita del mercado (4,2 %)</c:v>
                </c:pt>
                <c:pt idx="6">
                  <c:v>Precio actual (745,35)</c:v>
                </c:pt>
              </c:strCache>
            </c:strRef>
          </c:cat>
          <c:val>
            <c:numRef>
              <c:f>Hoja1!$C$2:$C$8</c:f>
              <c:numCache>
                <c:formatCode>#,##0</c:formatCode>
                <c:ptCount val="7"/>
                <c:pt idx="0">
                  <c:v>387.0400000000001</c:v>
                </c:pt>
                <c:pt idx="1">
                  <c:v>315</c:v>
                </c:pt>
                <c:pt idx="2">
                  <c:v>198.64</c:v>
                </c:pt>
                <c:pt idx="3">
                  <c:v>83.44</c:v>
                </c:pt>
                <c:pt idx="4">
                  <c:v>266.49</c:v>
                </c:pt>
                <c:pt idx="5">
                  <c:v>74.59999999999991</c:v>
                </c:pt>
                <c:pt idx="6">
                  <c:v>7.460000000000036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