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Equinor ASA</w:t>
      </w:r>
    </w:p>
    <w:p>
      <w:pPr>
        <w:spacing w:after="60"/>
        <w:rPr>
          <w:color w:val="52514E"/>
          <w:sz w:val="22"/>
          <w:szCs w:val="22"/>
        </w:rPr>
      </w:pPr>
      <w:r>
        <w:rPr>
          <w:color w:val="52514E"/>
          <w:sz w:val="22"/>
          <w:szCs w:val="22"/>
        </w:rPr>
        <w:t xml:space="preserve">EQNR · Oslo Børs (también ADR en la Bolsa de Nueva York) · ISIN NO0010096985 · Energía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15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Vender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45,17 USD (429,29 NOK)</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35,82 USD (340,43 NOK)</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-17,3 % (base -14,0 %)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46,41 USD (441,08 NOK) · mercado 50,96</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106.466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0,3x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Equinor ASA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EQNR / NO0010096985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Oslo Børs (también ADR en la Bolsa de Nueva York)</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OBX / Oslo Børs Benchmark (OSEBX)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Energía / Petróleo y gas integrados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Stavanger · 1972</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equinor.com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45,17 (15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23,82 – 45,70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2.357,0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106.466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112.934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1.060 M NOK/día (2,7 M de acciones,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Vender</w:t>
      </w:r>
      <w:r>
        <w:t xml:space="preserve"> · Convicción Media · Objetivo a 12 meses </w:t>
      </w:r>
      <w:r>
        <w:rPr>
          <w:b/>
          <w:bCs/>
        </w:rPr>
        <w:t xml:space="preserve">35,82 USD (340,43 NOK)</w:t>
      </w:r>
      <w:r>
        <w:t xml:space="preserve"> frente a 45,17 (429,29 NOK) · Rentabilidad a 12 meses </w:t>
      </w:r>
      <w:r>
        <w:rPr>
          <w:b/>
          <w:bCs/>
        </w:rPr>
        <w:t xml:space="preserve">-17,3 % (base -14,0 %)</w:t>
      </w:r>
      <w:r>
        <w:t xml:space="preserve"> · Valor intrínseco 46,41 USD (441,08 NOK) · con la prima implícita del mercado: 50,96 (484,32 NOK) (+12,8 %) · Alcista / bajista +33,0 % / -27,9 %</w:t>
      </w:r>
    </w:p>
    <w:p>
      <w:pPr>
        <w:spacing w:after="100"/>
      </w:pPr>
      <w:r>
        <w:rPr>
          <w:b/>
        </w:rPr>
        <w:t xml:space="preserve">La recomendación y por qué.</w:t>
      </w:r>
      <w:r>
        <w:t xml:space="preserve"> Vender, con convicción media. El objetivo a 12 meses es de 35,82 USD (340,43 NOK) y el valor intrínseco de 46,41 USD (441,08 NOK), frente a un precio de 45,17 USD (429,30 NOK, cierre del 15-oct-2026); el objetivo medio de 25 analistas es de 382,66 NOK (40,26 USD). La rentabilidad a 12 meses es del −17,3 % ponderada y del −14,0 % en el base, con dividendo. La razón: el precio está en máximos de varios años porque el cierre de Ormuz ha disparado el gas europeo, y la curva de futuros pone el TTF de 2028 en 46 EUR/MWh, casi la mitad del de hoy (86,5) [18, 19]. El motor sugiere convicción baja porque las reglas del valor intrínseco discrepan (absoluta Mantener, relativa Comprar): a largo plazo Equinor vale más o menos lo que cuesta. Nos apartamos porque decide la regla a 12 meses, que queda 7 puntos por debajo de su umbral de Vender. No es alta porque el momento de la normalización no tiene fecha; la subiría un acuerdo sobre Ormuz o el TTF de 2028 por debajo de 40 EUR/MWh, y la bajaría un invierno con el almacenamiento europeo por debajo del 80 %.</w:t>
      </w:r>
    </w:p>
    <w:p>
      <w:pPr>
        <w:spacing w:after="100"/>
      </w:pPr>
      <w:r>
        <w:rPr>
          <w:b/>
        </w:rPr>
        <w:t xml:space="preserve">El negocio.</w:t>
      </w:r>
      <w:r>
        <w:t xml:space="preserve"> Equinor es la petrolera del Estado noruego (67 %) y el primer proveedor de gas por gasoducto de Europa: produce 2,17 Mbep/d, la mitad gas, y vende casi todo a precio de mercado [5]. Es de bajo coste y bajas emisiones por barril, pero es una productora de materias primas: con su tipo impositivo real (70-80 %), el ROIC de 2025 fue del 9,9 % frente a un WACC del 9,35 %, y el ROACE de la empresa (14,5 %) lo supera en 5,2 puntos solo con la definición de la propia empresa. La sostenibilidad del crecimiento es «Sí» porque la proyección casi no crece; lo que no es sostenible es el beneficio de 2026.</w:t>
      </w:r>
    </w:p>
    <w:p>
      <w:pPr>
        <w:spacing w:after="100"/>
      </w:pPr>
      <w:r>
        <w:rPr>
          <w:b/>
        </w:rPr>
        <w:t xml:space="preserve">Sector y ciclo.</w:t>
      </w:r>
      <w:r>
        <w:t xml:space="preserve"> Estamos en un pico por choque de oferta: gas europeo realizado de 15,8 USD/MMBtu y líquidos de 97,9 USD/b en el 2T26 [5]. Tras el pico de 2022 el BPA pasó de 9,03 USD a 1,94 en 2025 [1, 2]. Llegan nuevos trenes de GNL en Catar y EE. UU. en 2027.</w:t>
      </w:r>
    </w:p>
    <w:p>
      <w:pPr>
        <w:spacing w:after="100"/>
      </w:pPr>
      <w:r>
        <w:rPr>
          <w:b/>
        </w:rPr>
        <w:t xml:space="preserve">Finanzas.</w:t>
      </w:r>
      <w:r>
        <w:t xml:space="preserve"> Ganó 4.848 M en el 2T26 (1,99 USD por acción) y genera 7.677 M de caja trimestral después de impuestos [5, 7]. El balance es de los mejores del sector: deuda neta ajustada del 10,4 % del capital empleado y rating AA− / Aa2 [5, 31]. Recompra de 3.000 M en 2026 y dividendo de 0,39 USD por trimestre (3,4 %) [8, 27].</w:t>
      </w:r>
    </w:p>
    <w:p>
      <w:pPr>
        <w:spacing w:after="100"/>
      </w:pPr>
      <w:r>
        <w:rPr>
          <w:b/>
        </w:rPr>
        <w:t xml:space="preserve">Valoración.</w:t>
      </w:r>
      <w:r>
        <w:t xml:space="preserve"> El DCF da 46,00 USD y el precio descuenta un crecimiento del −1,3 % anual frente al −1,0 % de nuestro base: a largo plazo el precio es razonable. El problema es el horizonte de 12 meses: nuestro BPA de 2028e es de 4,61 USD (futuros del gas y del crudo), y a 8,1 veces, la regla común de múltiplos, da 37,34 USD. Hoy cotiza a 7,4 veces nuestro BPA de 2027e (6,13), por encima del consenso (4,82).</w:t>
      </w:r>
    </w:p>
    <w:p>
      <w:pPr>
        <w:spacing w:after="100"/>
      </w:pPr>
      <w:r>
        <w:rPr>
          <w:b/>
        </w:rPr>
        <w:t xml:space="preserve">Riesgos y catalizadores.</w:t>
      </w:r>
      <w:r>
        <w:t xml:space="preserve"> El riesgo de la tesis es que el gas europeo se quede caro (escenario alcista: 58,19 USD, +29 %). Lo que juega a favor de la tesis: la reapertura de Ormuz, la ola de GNL de 2027 y las presiones de la UE sobre el precio del gas. Resultados del 3T26 el 28-oct, que serán fuertes y ya se esperan [26]. Los foros son muy optimistas y no hablan de normalización [29].</w:t>
      </w:r>
    </w:p>
    <w:p>
      <w:pPr>
        <w:spacing w:after="100"/>
      </w:pPr>
      <w:r>
        <w:rPr>
          <w:b/>
        </w:rPr>
        <w:t xml:space="preserve">Qué cambiaría la decisión.</w:t>
      </w:r>
      <w:r>
        <w:t xml:space="preserve"> Comprar por debajo de 32,47 USD (308,59 NOK) si la calidad lo permitiera; mantener entre 32,47 y 41,49 USD (308,59 y 394,32 NOK); vender por encima de 41,49 USD (394,32 NOK). Cambiaríamos si el TTF de 2028 sube por encima de 60 EUR/MWh, si Ormuz sigue cerrado al acabar el invierno o si la recompra de 2027 supera los 5.000 M.</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Vender</w:t>
      </w:r>
      <w:r>
        <w:t xml:space="preserve"> · Convicción: Media · Horizonte: 12 meses · Objetivo a 12 meses: </w:t>
      </w:r>
      <w:r>
        <w:rPr>
          <w:b/>
          <w:bCs/>
        </w:rPr>
        <w:t xml:space="preserve">35,82 USD (340,43 NOK)</w:t>
      </w:r>
      <w:r>
        <w:t xml:space="preserve"> (rentabilidad -17,3 % (base -14,0 %)) · Valor intrínseco: 46,41 USD (441,08 NOK) (+2,7 % sobre 45,17) · con la prima implícita del mercado: 50,96 (484,32 NOK) (+12,8 %)</w:t>
      </w:r>
    </w:p>
    <w:p>
      <w:pPr>
        <w:spacing w:after="100"/>
      </w:pPr>
      <w:r>
        <w:t xml:space="preserve">Equinor es el gran proveedor de gas de Europa: tras la caída del gas ruso, Noruega es el primer suministrador de gas por gasoducto de la UE y Equinor opera y comercializa la mayor parte de ese gas [2]. Tiene el balance de las grandes petroleras más sólido (deuda neta ajustada del 10,4 % del capital empleado, AA−) y reparte con generosidad: dividendo de 0,39 USD por trimestre y 3.000 M de recompras en 2026 [5, 8, 31].</w:t>
      </w:r>
    </w:p>
    <w:p>
      <w:pPr>
        <w:spacing w:after="100"/>
      </w:pPr>
      <w:r>
        <w:t xml:space="preserve">El precio de 429,30 NOK ha subido un 81 % en doce meses porque el cierre de Ormuz sacó del mercado el GNL de Catar y el gas europeo se fue a 86,5 EUR/MWh [11, 19]. A largo plazo el precio es razonable (DCF de 46,00 USD frente a 45,17), pero el beneficio de 2026 es de pico: a 12 meses el mercado mirará a 2028, cuando los futuros ya ponen el gas en 46 EUR/MWh y nuestro BPA baja a 4,61 USD.</w:t>
      </w:r>
    </w:p>
    <w:p>
      <w:pPr>
        <w:spacing w:after="100"/>
      </w:pPr>
      <w:r>
        <w:t xml:space="preserve">El mercado acierta en la calidad del activo y se equivoca en la duración: después de 2022 el BPA cayó de 9,03 a 1,94 USD en tres años [1]. Para invertir hoy hay que creer que el gas europeo se queda por encima de 60 EUR/MWh durante años.</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35,82 USD (340,43 NOK)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 × 2,89 = 10,40 · 8,1x × 4,61 = 37,34 · 9,4x × 6,19 = 58,19</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-17,3 % / -14,0 %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40,26 (nuestro base -7,3 %)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46,41 USD (441,08 NOK)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 (NOK al tipo de 0,1052 USD por NOK)</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45,17 USD (429,29 NOK)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33,0 % / -27,9 %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9,5 % frente a 9,3 % y 8,4 %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8,4 %)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50,96 USD (484,32 NOK)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(1,6 %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Mantener,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32,47 (308,59 NOK)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32,47 y 41,49 (308,59 y 394,32 NOK)</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41,49 (394,32 NOK)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394,32 NOK (41,49 USD): pasaría a Mantener; por debajo de 308,59 NOK (32,47 USD), a Comprar si la calidad lo permitiera.</w:t>
      </w:r>
    </w:p>
    <w:p>
      <w:pPr>
        <w:pStyle w:val="ListParagraph"/>
        <w:numPr>
          <w:ilvl w:val="0"/>
          <w:numId w:val="2"/>
        </w:numPr>
        <w:spacing w:after="60"/>
      </w:pPr>
      <w:r>
        <w:t xml:space="preserve">Futuro del TTF de 2028 por encima de 60 EUR/MWh durante un mes: revisaríamos el base al alza.</w:t>
      </w:r>
    </w:p>
    <w:p>
      <w:pPr>
        <w:pStyle w:val="ListParagraph"/>
        <w:numPr>
          <w:ilvl w:val="0"/>
          <w:numId w:val="2"/>
        </w:numPr>
        <w:spacing w:after="60"/>
      </w:pPr>
      <w:r>
        <w:t xml:space="preserve">Ormuz cerrado después de marzo de 2027: el pico duraría un año más.</w:t>
      </w:r>
    </w:p>
    <w:p>
      <w:pPr>
        <w:pStyle w:val="ListParagraph"/>
        <w:numPr>
          <w:ilvl w:val="0"/>
          <w:numId w:val="2"/>
        </w:numPr>
        <w:spacing w:after="60"/>
      </w:pPr>
      <w:r>
        <w:t xml:space="preserve">Recompra de 2027 por encima de 5.000 M: más BPA por acción en 2028.</w:t>
      </w:r>
    </w:p>
    <w:p>
      <w:pPr>
        <w:pStyle w:val="Heading2"/>
      </w:pPr>
      <w:r>
        <w:t xml:space="preserve">Dónde discrepamos del mercado</w:t>
      </w:r>
    </w:p>
    <w:p>
      <w:pPr>
        <w:keepNext/>
        <w:spacing w:after="100"/>
      </w:pPr>
      <w:r>
        <w:rPr>
          <w:b/>
          <w:bCs/>
        </w:rPr>
        <w:t xml:space="preserve">Lo que descuenta el precio.</w:t>
      </w:r>
    </w:p>
    <w:p>
      <w:pPr>
        <w:spacing w:after="100"/>
      </w:pPr>
      <w:r>
        <w:t xml:space="preserve">Que el beneficio extraordinario del gas dura: a 429 NOK la acción cotiza a 7,4 veces nuestro BPA de 2027e, y la subida de los objetivos de los analistas (de 33 a 51 USD) persigue el precio.</w:t>
      </w:r>
    </w:p>
    <w:p>
      <w:pPr>
        <w:keepNext/>
        <w:spacing w:after="100"/>
      </w:pPr>
      <w:r>
        <w:rPr>
          <w:b/>
          <w:bCs/>
        </w:rPr>
        <w:t xml:space="preserve">Lo que creemos nosotros.</w:t>
      </w:r>
    </w:p>
    <w:p>
      <w:pPr>
        <w:spacing w:after="100"/>
      </w:pPr>
      <w:r>
        <w:t xml:space="preserve">Un BPA de 4,61 USD en 2028, con el TTF de los futuros (46 EUR/MWh) y el Brent a 77,6 USD; a 8,1 veces da 37,34 USD (≈ 355 NOK), un 14 % menos con dividendo.</w:t>
      </w:r>
    </w:p>
    <w:p>
      <w:pPr>
        <w:keepNext/>
        <w:spacing w:after="100"/>
      </w:pPr>
      <w:r>
        <w:rPr>
          <w:b/>
          <w:bCs/>
        </w:rPr>
        <w:t xml:space="preserve">Por qué podemos tener razón.</w:t>
      </w:r>
    </w:p>
    <w:p>
      <w:pPr>
        <w:spacing w:after="100"/>
      </w:pPr>
      <w:r>
        <w:t xml:space="preserve">Los choques de oferta se corrigen con más oferta: la ola de GNL de Catar y EE. UU. de 2027, la reapertura de Ormuz y la menor demanda industrial europea. La propia curva de futuros baja el gas a la mitad en dos años [19].</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45,1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Posición en Europa</w:t>
      </w:r>
      <w:r>
        <w:t xml:space="preserve">: primer proveedor de gas por gasoducto, con coste bajo y una de las menores intensidades de carbono del mundo [2].</w:t>
      </w:r>
    </w:p>
    <w:p>
      <w:pPr>
        <w:pStyle w:val="ListParagraph"/>
        <w:numPr>
          <w:ilvl w:val="0"/>
          <w:numId w:val="2"/>
        </w:numPr>
        <w:spacing w:after="60"/>
      </w:pPr>
      <w:r>
        <w:rPr>
          <w:b/>
        </w:rPr>
        <w:t xml:space="preserve">Balance</w:t>
      </w:r>
      <w:r>
        <w:t xml:space="preserve">: deuda neta ajustada del 10,4 % del capital empleado; AA− / Aa2 [5, 31].</w:t>
      </w:r>
    </w:p>
    <w:p>
      <w:pPr>
        <w:pStyle w:val="ListParagraph"/>
        <w:numPr>
          <w:ilvl w:val="0"/>
          <w:numId w:val="2"/>
        </w:numPr>
        <w:spacing w:after="60"/>
      </w:pPr>
      <w:r>
        <w:rPr>
          <w:b/>
        </w:rPr>
        <w:t xml:space="preserve">Retribución</w:t>
      </w:r>
      <w:r>
        <w:t xml:space="preserve">: recompra de 3.000 M en 2026 (antes 1.500 M) y dividendo de 0,39 USD por trimestre [8, 27].</w:t>
      </w:r>
    </w:p>
    <w:p>
      <w:pPr>
        <w:pStyle w:val="ListParagraph"/>
        <w:numPr>
          <w:ilvl w:val="0"/>
          <w:numId w:val="2"/>
        </w:numPr>
        <w:spacing w:after="60"/>
      </w:pPr>
      <w:r>
        <w:rPr>
          <w:b/>
        </w:rPr>
        <w:t xml:space="preserve">Caja</w:t>
      </w:r>
      <w:r>
        <w:t xml:space="preserve">: 13.696 M de flujo después de impuestos en el 1S26 [5].</w:t>
      </w:r>
    </w:p>
    <w:p>
      <w:pPr>
        <w:pStyle w:val="ListParagraph"/>
        <w:numPr>
          <w:ilvl w:val="0"/>
          <w:numId w:val="2"/>
        </w:numPr>
        <w:spacing w:after="60"/>
      </w:pPr>
      <w:r>
        <w:rPr>
          <w:b/>
        </w:rPr>
        <w:t xml:space="preserve">Valor a largo plazo</w:t>
      </w:r>
      <w:r>
        <w:t xml:space="preserve">: el DCF (46,00 USD) está cerca del precio; no es una burbuja, es un pico de beneficio.</w:t>
      </w:r>
    </w:p>
    <w:p>
      <w:pPr>
        <w:pStyle w:val="Heading2"/>
      </w:pPr>
      <w:r>
        <w:t xml:space="preserve">En contra</w:t>
      </w:r>
    </w:p>
    <w:p>
      <w:pPr>
        <w:pStyle w:val="ListParagraph"/>
        <w:numPr>
          <w:ilvl w:val="0"/>
          <w:numId w:val="2"/>
        </w:numPr>
        <w:spacing w:after="60"/>
      </w:pPr>
      <w:r>
        <w:rPr>
          <w:b/>
        </w:rPr>
        <w:t xml:space="preserve">Beneficio de pico</w:t>
      </w:r>
      <w:r>
        <w:t xml:space="preserve">: nuestro BPA de 2026e (6,60 USD) triplica el de 2025 (1,94) [2].</w:t>
      </w:r>
    </w:p>
    <w:p>
      <w:pPr>
        <w:pStyle w:val="ListParagraph"/>
        <w:numPr>
          <w:ilvl w:val="0"/>
          <w:numId w:val="2"/>
        </w:numPr>
        <w:spacing w:after="60"/>
      </w:pPr>
      <w:r>
        <w:rPr>
          <w:b/>
        </w:rPr>
        <w:t xml:space="preserve">Curva de futuros</w:t>
      </w:r>
      <w:r>
        <w:t xml:space="preserve">: TTF de 2028 a 46 EUR/MWh frente a 86,5 hoy [19].</w:t>
      </w:r>
    </w:p>
    <w:p>
      <w:pPr>
        <w:pStyle w:val="ListParagraph"/>
        <w:numPr>
          <w:ilvl w:val="0"/>
          <w:numId w:val="2"/>
        </w:numPr>
        <w:spacing w:after="60"/>
      </w:pPr>
      <w:r>
        <w:rPr>
          <w:b/>
        </w:rPr>
        <w:t xml:space="preserve">Calidad justa</w:t>
      </w:r>
      <w:r>
        <w:t xml:space="preserve">: ROIC real del 9,9 % frente a un WACC del 9,35 %; no pasa el requisito de calidad.</w:t>
      </w:r>
    </w:p>
    <w:p>
      <w:pPr>
        <w:pStyle w:val="ListParagraph"/>
        <w:numPr>
          <w:ilvl w:val="0"/>
          <w:numId w:val="2"/>
        </w:numPr>
        <w:spacing w:after="60"/>
      </w:pPr>
      <w:r>
        <w:rPr>
          <w:b/>
        </w:rPr>
        <w:t xml:space="preserve">Riesgo político</w:t>
      </w:r>
      <w:r>
        <w:t xml:space="preserve">: el Estado (67 %) y la UE pueden presionar sobre el precio del gas o los impuestos [28].</w:t>
      </w:r>
    </w:p>
    <w:p>
      <w:pPr>
        <w:pStyle w:val="ListParagraph"/>
        <w:numPr>
          <w:ilvl w:val="0"/>
          <w:numId w:val="2"/>
        </w:numPr>
        <w:spacing w:after="60"/>
      </w:pPr>
      <w:r>
        <w:rPr>
          <w:b/>
        </w:rPr>
        <w:t xml:space="preserve">Renovables</w:t>
      </w:r>
      <w:r>
        <w:t xml:space="preserve">: deterioros repetidos en eólica marina (Empire Wind, Ørsted) [2].</w:t>
      </w:r>
    </w:p>
    <w:p>
      <w:pPr>
        <w:pStyle w:val="Heading2"/>
      </w:pPr>
      <w:r>
        <w:t xml:space="preserve">Qué tiene que pasar para que la tesis funcione</w:t>
      </w:r>
    </w:p>
    <w:p>
      <w:pPr>
        <w:spacing w:after="100"/>
      </w:pPr>
      <w:r>
        <w:t xml:space="preserve">La tesis depende de que el gas europeo vuelva a 40-50 EUR/MWh en 2027-2028. La señal de que no se cumple: el futuro del TTF de 2028 por encima de 60 EUR/MWh, Ormuz cerrado al acabar el invierno de 2026-27 o el almacenamiento europeo por debajo del 80 % en noviembre de 2027.</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TTF calendario 2028</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EUR/MWh</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60 EUR/MWh</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normalización que supone la tesis [19].</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 europeo realizado por Equinor</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USD/MMBtu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14 USD/MMBtu en el 2T27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que llega a la cuenta [5].</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Producción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2.165 kbep/d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2.050 kbep/d</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y caída de los campos noruegos [5].</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ajustada / capital empleado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20 %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Recompras pagadas con deuda en el pico [5].</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Recompra anual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3.000 M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1.500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 que la empresa cree del precio [8].</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12,2x / 8,9x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(2020-2025)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0,2x · 0,3x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 (5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Equinor nace en 1972 como Statoil, la petrolera del Estado noruego creada para gestionar sus intereses en la plataforma continental. Salió a bolsa en 2001 en Oslo y Nueva York, se fusionó en 2007 con la división de petróleo y gas de Norsk Hydro y en 2018 cambió su nombre a Equinor para acompañar una estrategia de renovables. El Estado conserva el 67 %. Desde 2022, con la guerra de Ucrania y la caída del gas ruso, es el primer proveedor de gas por gasoducto de Europa, y en 2026 el cierre de Ormuz le ha dado otro pico de precios.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de Statoil por el Parlamento noruego.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Oslo y Nueva York; el Estado conserva la mayoría.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con el negocio de petróleo y gas de Norsk Hydro.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Cambio de nombre a Equinor y estrategia de renovables.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Crisis del gas europeo: beneficio récord de 28.746 M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del 10 % de Ørsted por 2.500 M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Aporta su negocio británico a Adura (empresa conjunta, 5.600 M en participadas)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Guerra con Irán y cierre de Ormuz: gas europeo de 15,8 USD/MMBtu en el 2T26; recompra de 2026 subida a 3.000 M [5, 8].</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Equinor produce petróleo y gas (2,165 Mbep/d en el 2T26), dos tercios en la plataforma continental noruega, donde opera los grandes campos de gas (Troll) y de crudo (Johan Sverdrup), y el resto en EE. UU., Brasil, Reino Unido y otros [5]. Vende el gas noruego por gasoducto a Europa (es el primer proveedor de gas por gasoducto de la UE) y comercializa crudo, gas y GNL de terceros (segmento MMP). Tiene un negocio eléctrico (Power: renovables y gas, 1,19 TWh en el 2T26) [5]. Segmentos: E&amp;P Noruega, E&amp;P Internacional, E&amp;P EE. UU., MMP y Power.</w:t>
      </w:r>
    </w:p>
    <w:p>
      <w:pPr>
        <w:pStyle w:val="Heading2"/>
      </w:pPr>
      <w:r>
        <w:t xml:space="preserve">Cómo gana dinero</w:t>
      </w:r>
    </w:p>
    <w:p>
      <w:pPr>
        <w:spacing w:after="100"/>
      </w:pPr>
      <w:r>
        <w:t xml:space="preserve">El beneficio depende del precio: Equinor vende casi todo su gas noruego a precio de mercado europeo (TTF, NBP), así que cada 1 USD/MMBtu de gas mueve unos 1.700 M de ingresos al año (estimación propia: 0,8 Mbep/d de gas noruego × 5,8 MMBtu por barril) y cada 10 USD/b de crudo, unos 4.000 M. Pero el Estado se queda el 78 % del resultado noruego en impuestos, así que el beneficio neto se mueve mucho menos que el EBITDA. Lo que controla la empresa es el coste unitario (primer cuartil) y el volumen (+3,4 % en 2025) [2, 5].</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16"/>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E&amp;P Noruega</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E&amp;P Internacional</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E&amp;P EE. UU.</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MMP</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Power y otros</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E&amp;P Noruega</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E&amp;P Internacional</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E&amp;P EE. UU.</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MMP</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Power y otros</w:t>
            </w:r>
          </w:p>
        </w:tc>
      </w:tr>
    </w:tbl>
    <w:p>
      <w:pPr>
        <w:spacing w:after="160" w:before="0"/>
      </w:pPr>
    </w:p>
    <w:p>
      <w:pPr>
        <w:pStyle w:val="Heading2"/>
      </w:pPr>
      <w:r>
        <w:t xml:space="preserve">Clientes, recurrencia y poder de precios</w:t>
      </w:r>
    </w:p>
    <w:p>
      <w:pPr>
        <w:spacing w:after="100"/>
      </w:pPr>
      <w:r>
        <w:t xml:space="preserve">Sin concentración de clientes publicada: el gas se vende a utilities e industria europeas y en los mercados spot, y el crudo, en mercados líquidos. El poder de precios es nulo (precio de mercado). Lo que sí tiene es contratos a largo plazo de gas por gasoducto con utilities europeas (Eneco, Uniper, PPC y otros firmados en 2026) [28], a precio indexado, que dan volumen, no precio.</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Producción (kbep/d)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2.109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2.239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 europeo realizado (USD/MMBtu)</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TTF de 87 EUR/MWh en octubre [2, 5, 18].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Líquidos realizados (USD/b)</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87,9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orgánica (M)</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13.100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≈13.000 (guía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ajustada / capital empleado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 (dic-25)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ROACE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Objetivo &gt; 15 % en 2026-2030 [2, 8].</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producción de petróleo y gas con venta a precio internacional, con el gas europeo (TTF) como variable principal para Equinor. No se da un tamaño en USD comparable con los ingresos (ver huecos). El gas europeo se forma con el gas noruego por gasoducto, el GNL (EE. UU., Catar) y el almacenamiento; en 2026 el cierre de Ormuz quitó el GNL de Catar, cerca de una quinta parte del mercado mundial.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 (en el gas europeo por gasoducto, Equinor es el primer proveedor)</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del gas europeo (TTF)</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28 EUR/MWh en diciembre de 2025, 87 en octubre de 2026; futuros de 72 en 2027 y 46 en 2028 [18, 19].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del crudo (Brent)</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69,1 USD en 2025, 104,5 en el 2T26, 106 en octubre; futuro de diciembre de 2028 a 77,6 [2, 5, 18].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Oferta mundial de GNL (Catar,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vuelta de Catar y los nuevos trenes de 2027-2028 son lo que normaliza el TTF [25].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Seguridad de suministro en Europa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Contratos de gas a largo plazo firmados en 2026 y almacenamiento al 53 % en julio [22, 28].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Transición energética y regulación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Rechazos de proyectos en el Reino Unido (Rosebank, Jackdaw) y medidas de emergencia de la UE posibles [28].</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gas noruego tiene ventaja de coste y de transporte frente al GNL; el precio lo pone el mercado.</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Compran a precio de mercado, pero los Gobiernos europeos pueden intervenir (topes, impuestos) como en 2022.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Estado noruego se queda el 78 % del resultado y es el accionista de control.</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Gasoductos y campos de décadas y miles de millones.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Renovables, bombas de calor y GNL a largo plazo.</w:t>
            </w:r>
          </w:p>
        </w:tc>
      </w:tr>
    </w:tbl>
    <w:p>
      <w:pPr>
        <w:spacing w:after="160" w:before="0"/>
      </w:pPr>
    </w:p>
    <w:p>
      <w:pPr>
        <w:pStyle w:val="Heading2"/>
      </w:pPr>
      <w:r>
        <w:t xml:space="preserve">Ciclo</w:t>
      </w:r>
    </w:p>
    <w:p>
      <w:pPr>
        <w:spacing w:after="100"/>
      </w:pPr>
      <w:r>
        <w:t xml:space="preserve">Estamos en un pico de precios por un choque de oferta (Ormuz), no por demanda: TTF de 87 EUR/MWh y Brent de 106 USD [18]. La curva ya descuenta la bajada (TTF de 46 EUR/MWh en 2028). En 2022 el pico del gas (beneficio de 28.746 M) duró un año y en tres años el beneficio cayó a 5.043 M [1]; en 2020 Equinor perdió 5.510 M con el Brent a 42 USD.</w:t>
      </w:r>
    </w:p>
    <w:p>
      <w:pPr>
        <w:pStyle w:val="Heading2"/>
      </w:pPr>
      <w:r>
        <w:t xml:space="preserve">Regulación</w:t>
      </w:r>
    </w:p>
    <w:p>
      <w:pPr>
        <w:spacing w:after="100"/>
      </w:pPr>
      <w:r>
        <w:t xml:space="preserve">El régimen fiscal noruego (22 % más 56 % especial sobre la plataforma continental) es estable y se aplica a todos [5]. El riesgo regulatorio está en la UE: con el gas caro vuelven a discutirse topes de precio o impuestos extraordinarios como la contribución de solidaridad de 2022 [28]. En el Reino Unido, la aprobación de Rosebank y Jackdaw sigue pendiente [28].</w:t>
      </w:r>
    </w:p>
    <w:p>
      <w:pPr>
        <w:pStyle w:val="Heading2"/>
      </w:pPr>
      <w:r>
        <w:t xml:space="preserve">Tendencias y disrupción</w:t>
      </w:r>
    </w:p>
    <w:p>
      <w:pPr>
        <w:spacing w:after="100"/>
      </w:pPr>
      <w:r>
        <w:t xml:space="preserve">La demanda de gas en Europa baja a largo plazo con la electrificación, pero la de seguridad de suministro sube: Equinor firma contratos a diez años con utilities europeas [28]. La oleada de GNL de 2027-2028 (EE. UU., Catar) es la principal amenaza para el precio. Equinor recorta renovables y se centra en petróleo, gas y una electricidad más selectiva [8].</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Primer proveedor de gas por gasoducto de la UE y primer operador de la plataforma noruega; coste unitario en el primer cuartil del sector (objetivo de la empresa) [5].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847"/>
        <w:gridCol w:w="953"/>
        <w:gridCol w:w="1059"/>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Aker BP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Noruega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AKRBP</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12.392</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Productor noruego, sobre todo crudo; PER de 13,2 veces [23].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TotalEnergies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TTE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196.382</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con GNL; socia de Equinor en Noruega [24].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Shell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SHEL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296.600</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comerciante de GNL; socia en Bay du Nord [24, 28].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Eni</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102.740</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 y GNL en África [24].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ExxonMobil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XOM</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361.060</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Exportador de GNL desde EE. UU. [24].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4" name="Gráfico 4"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 a una productora de materias primas.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Contratos de gas a largo plazo, a precio de mercado [P28].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Licencias de los grandes campos noruegos (Troll, Johan Sverdrup).</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unitario en el primer cuartil y gas a pocos kilómetros de su mercado por gasoducto propio [P5].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 de gasoductos y plantas de la plataforma noruega que nadie más puede replicar.</w:t>
            </w:r>
          </w:p>
        </w:tc>
      </w:tr>
    </w:tbl>
    <w:p>
      <w:pPr>
        <w:spacing w:after="160" w:before="0"/>
      </w:pPr>
    </w:p>
    <w:p>
      <w:pPr>
        <w:pStyle w:val="Heading2"/>
      </w:pPr>
      <w:r>
        <w:t xml:space="preserve">Amenazas</w:t>
      </w:r>
    </w:p>
    <w:p>
      <w:pPr>
        <w:spacing w:after="100"/>
      </w:pPr>
      <w:r>
        <w:t xml:space="preserve">Lo que erosiona el beneficio no es un competidor sino el precio: la vuelta del GNL de Catar y la oleada de GNL estadounidense en 2027-2028 (probabilidad alta), las medidas de emergencia de la UE sobre el gas (media) y el declive natural de los campos noruegos, que obliga a invertir 11.000-13.000 M al año para mantener la producción (alta) [8].</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tras aprov.</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45.765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11.747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88.744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43.202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31.483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8.563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149.004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83.400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77.009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28.746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106.848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46.078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35.444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11.885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102.502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39.490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29.655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105.828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37.036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24.718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5.043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r>
    </w:tbl>
    <w:p>
      <w:pPr>
        <w:spacing w:after="160" w:before="0"/>
      </w:pPr>
    </w:p>
    <w:p>
      <w:pPr>
        <w:spacing w:after="100"/>
      </w:pPr>
      <w:r>
        <w:t xml:space="preserve">Crecimiento anual compuesto 2020-2025: ingresos </w:t>
      </w:r>
      <w:r>
        <w:rPr>
          <w:b/>
          <w:bCs/>
        </w:rPr>
        <w:t xml:space="preserve">18,3 %</w:t>
      </w:r>
      <w:r>
        <w:t xml:space="preserve">, EBITDA </w:t>
      </w:r>
      <w:r>
        <w:rPr>
          <w:b/>
          <w:bCs/>
        </w:rPr>
        <w:t xml:space="preserve">25,8 %</w:t>
      </w:r>
      <w:r>
        <w:t xml:space="preserve">, BPA </w:t>
      </w:r>
      <w:r>
        <w:rPr>
          <w:b/>
          <w:bCs/>
        </w:rPr>
        <w:t xml:space="preserve">n.d.</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spacing w:after="100"/>
      </w:pPr>
      <w:r>
        <w:t xml:space="preserve">Los ingresos siguen al precio del gas europeo y del crudo: 45.765 M en 2020 (Brent de 42 USD), 149.004 M en 2022 (crisis del gas: el gas europeo superó los 30 USD/MMBtu) y 105.828 M en 2025 con el Brent a 69,1 USD y el gas realizado en 10-12 USD/MMBtu [1, 2]. El margen EBITDA (sin otros ingresos) fue del 25,7 % en 2020, del 56,8 % en 2022 y del 35,0 % en 2025: la variación es casi entera de precio, porque la producción solo creció un 3,4 % en 2025 hasta 2,137 Mbep/d [2]. En 2026 la guerra con Irán y el cierre de Ormuz (Catar fuera del mercado de GNL) cambiaron la cuenta: en el 2T26 el líquido realizado fue de 97,9 USD/b y el gas europeo de 15,8 USD/MMBtu, el resultado operativo de 12.993 M y el beneficio de 4.848 M (1,99 USD por acción) [5, 7]. Los deterioros van dentro de las amortizaciones (5.720 M en 2020, 2.481 M en 2025) y las reversiones también (−2.487 M en 2022) [1].</w:t>
      </w:r>
    </w:p>
    <w:p>
      <w:pPr>
        <w:pStyle w:val="Heading2"/>
      </w:pPr>
      <w:r>
        <w:t xml:space="preserve">Ajustes y partidas no recurrentes</w:t>
      </w:r>
    </w:p>
    <w:p>
      <w:pPr>
        <w:spacing w:after="100"/>
      </w:pPr>
      <w:r>
        <w:t xml:space="preserve">Equinor publica un resultado operativo ajustado (sin deterioros, plusvalías, efectos de derivados y de inventario): 27.591 M en 2025 frente a 25.352 M NIIF, y 11.482 M frente a 12.993 M en el 2T26 [2, 5]. El BPA ajustado fue de 1,33 USD en el 2T26 frente a 1,99 NIIF, por los derivados y la venta de activos en Argentina [5, 7]. El informe trabaja con las cifras NIIF; los otros ingresos (616 M en 2025, sobre todo plusvalías) se sacan del EBITDA como no recurrentes y los deterioros quedan en la amortización, que es donde los presenta la empresa.</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8"/>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29.384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11.170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8.583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25.296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8.765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27.816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34.523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15.582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En línea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Lo que dijo la dirección en las últimas presentaciones</w:t>
      </w:r>
    </w:p>
    <w:p>
      <w:pPr>
        <w:spacing w:after="100"/>
      </w:pPr>
      <w:r>
        <w:t xml:space="preserve">Resultados del 2T26 (22-jul-2026) [5, 6, 7]: resultado operativo ajustado de 11.482 M (+76 %) y ajustado después de impuestos de 3.440 M, en línea con lo esperado [22]; producción de 2.165 kbep/d (+3 %), gas europeo realizado de 15,8 USD/MMBtu y líquidos de 97,9 USD/b. La dirección subrayó el flujo de caja (7.677 M después de impuestos en el trimestre), la deuda neta ajustada del 10,4 % del capital y la subida de la recompra de 2026 de 1.500 a 3.000 M, ya anunciada en el día del mercado de capitales del 16-jun [8]. Avisó de que el almacenamiento de gas europeo estaba en torno al 53 % y de que Europa podía no llegar a sus objetivos del invierno [22]. El 7-oct adelantó que la división de comercialización superará en el 3T su guía de unos 400 M por trimestre [28]. Lo que no se cuantificó: cuánto del beneficio de 2026 es renta extraordinaria del gas que desaparece si Catar vuelve al mercado. Respecto al 4T25 (4-feb-2026), el discurso pasó de recortar la inversión de 2026-27 en 4.000 M y los costes un 10 % con el Brent a 63 USD [2, 27] a hablar de seguridad de suministro y de más recompras.</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124.809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33.709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19.492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33.873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147.120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32.677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39.010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158.021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14.305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53.988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143.580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28.226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48.490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131.141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26.584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42.342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131.727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4.449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27.810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40.424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r>
    </w:tbl>
    <w:p>
      <w:pPr>
        <w:spacing w:after="160" w:before="0"/>
      </w:pPr>
    </w:p>
    <w:p>
      <w:pPr>
        <w:pStyle w:val="Nota"/>
        <w:spacing w:after="100"/>
      </w:pPr>
      <w:r>
        <w:t xml:space="preserve">Días de inventario y de pago calculados sobre costes operativos de caja (ingresos − EBITDA), por ser una cuenta por naturaleza.</w:t>
      </w:r>
    </w:p>
    <w:p>
      <w:pPr>
        <w:keepNext w:val="false"/>
        <w:spacing w:after="160" w:before="120"/>
        <w:jc w:val="center"/>
      </w:pPr>
      <w:r>
        <w:drawing>
          <wp:inline xmlns:wp="http://schemas.openxmlformats.org/drawingml/2006/wordprocessingDrawing" distT="0" distB="0" distL="0" distR="0">
            <wp:extent cx="5760000" cy="2340000"/>
            <wp:effectExtent l="0" t="0" r="0" b="0"/>
            <wp:docPr id="1008" name="Gráfico 8"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spacing w:after="100"/>
      </w:pPr>
      <w:r>
        <w:t xml:space="preserve">El balance es muy sólido: la deuda neta ajustada bajó del 17,8 % del capital empleado a final de 2025 al 10,4 % en junio de 2026, porque el flujo de la crisis (13.696 M después de impuestos en el 1S26) pagó inversión, dividendos y recompras [5]. La caja más inversiones financieras corrientes (23.725 M) cubre casi toda la deuda financiera. El circulante comercial es pequeño (4,2 % de las ventas en 2025) y la deuda fiscal corriente actúa de financiación: los impuestos noruegos se pagan con retraso, así que en los años de precios altos la caja del balance incluye impuestos todavía por pagar.</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8.476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8.563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28.746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11.885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19.465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5.043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Acumulado 2020-2025: FCF </w:t>
      </w:r>
      <w:r>
        <w:rPr>
          <w:b/>
          <w:bCs/>
        </w:rPr>
        <w:t xml:space="preserve">72.758</w:t>
      </w:r>
      <w:r>
        <w:t xml:space="preserve">, conversión </w:t>
      </w:r>
      <w:r>
        <w:rPr>
          <w:b/>
          <w:bCs/>
        </w:rPr>
        <w:t xml:space="preserve">126 %</w:t>
      </w:r>
      <w:r>
        <w:t xml:space="preserve"> del beneficio neto; adquisiciones 6.442, dividendos 33.782, recompras 22.213.</w:t>
      </w:r>
    </w:p>
    <w:p>
      <w:pPr>
        <w:spacing w:after="100"/>
      </w:pPr>
      <w:r>
        <w:t xml:space="preserve">El flujo operativo pasó de 10.386 M en 2020 a 35.136 M en 2022 y 19.971 M en 2025 [1, 2]. La conversión es buena, pero hay que leerla después de impuestos: en 2025 la empresa pagó 20.460 M de impuestos, casi lo mismo que su flujo operativo [2]. La inversión orgánica fue de 13.100 M en 2025 y la guía es de unos 13.000 M en 2026, 12.000 M en 2027 y 11.000-13.000 M al año en 2028-2030 [5, 8]; con amortizaciones de unos 9.800 M antes de deterioros, la mitad larga es de mantenimiento (reponer la caída natural de los campos noruegos). Las compras no recurrentes: el 10 % de Ørsted (2.500 M en 2024 y 900 M en la ampliación de 2025) [2]. En 2025 devolvió 4.791 M en dividendos y 5.916 M en recompras, más que el flujo libre.</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 Aproximado: con cuenta por naturaleza, los índices de margen bruto y de gastos generales se fijan en 1.</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Las cifras son las del XBRL de los 20-F en la SEC y cuadran con el informe del 4T25 (beneficio de 5.043 M en 2025, resultado operativo de 25.352 M) [1, 2]. Tres puntos que vigilar: (1) los deterioros y reversiones son frecuentes y grandes (5.720 M en 2020, −2.487 M en 2022, 2.481 M en 2025), porque dependen de los precios a largo plazo que supone la empresa; (2) los derivados y las garantías mueven el resultado financiero y la caja (2.000 M de garantías depositadas en junio de 2026) [5]; (3) la caja del balance incluye impuestos noruegos devengados y todavía no pagados (14.326 M a junio). El Altman Z (2,70) y el Piotroski F (5) son de una empresa sana en un año de beneficio bajo; el Beneish M (−3,17) no indica manipulación.</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Deterioros y reversiones grandes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Dependen de los precios supuestos a largo plazo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Diferencia entre ajustado y NIIF</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de 1,33 ajustado frente a 1,99 NIIF en el 2T26 por derivados y la venta en Argentina [5].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Impuestos devengados en la caja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14.326 M de impuesto corriente a pagar a junio de 2026 [5].</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94"/>
        <w:gridCol w:w="985"/>
        <w:gridCol w:w="985"/>
        <w:gridCol w:w="985"/>
        <w:gridCol w:w="1095"/>
        <w:gridCol w:w="1095"/>
        <w:gridCol w:w="1095"/>
        <w:gridCol w:w="1204"/>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53.384</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46.707</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43.430</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44.916</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47.119</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51.812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9,3 %.</w:t>
      </w:r>
    </w:p>
    <w:p>
      <w:pPr>
        <w:spacing w:after="100"/>
      </w:pPr>
      <w:r>
        <w:t xml:space="preserve">El ROIC del motor (28,6 % en 2025) no sirve aquí: limita el impuesto al 40 % y Equinor paga un 70-80 %. Con el tipo real, el ROIC fue del 9,9 % en 2025 (resultado operativo de 25.334 M × 20,2 % sobre 51.812 M de capital invertido), del 18,7 % en 2024 y del 25 % en 2023 (estimación propia), y el ROACE de la empresa, del 14,5 % en 2025 y del 20,6 % en 2024 [2]. Frente a un WACC del 9,35 %, crea valor en los años de precios medios y altos y casi no en los bajos: el diferencial con el tipo real (+0,5 puntos en 2025) no pasa el requisito de 5 puntos. Lo mueve el margen (precio), no la rotación. La empresa promete un ROACE de más del 15 % en 2026-2030 [8], que con los precios de hoy es fácil y con los de 2025 no.</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8.693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5.897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14.590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Efectivo de 8.062 M e inversiones financieras corrientes de 15.664 M a 30-jun-2026 (23.725 M), frente a una deuda financiera de 28.401 M y arrendamientos de 4.018 M: deuda neta ajustada de 4.991 M, el 10,4 % del capital empleado [5]. En julio pagó 3.052 M al Estado por la amortización de sus acciones [5].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AA− (S&amp;P) y Aa2 (Moody's) a 31-mar-2026, perspectiva estable; incluyen uno y dos escalones de mejora por la participación del Estado. El objetivo propio de la empresa es estar en la categoría A sin ese apoyo [31].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1" name="Gráfico 11"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Covenants, pasivos fuera de la deuda y contingencias</w:t>
      </w:r>
    </w:p>
    <w:p>
      <w:pPr>
        <w:spacing w:after="100"/>
      </w:pPr>
      <w:r>
        <w:t xml:space="preserve">Provisiones y otros pasivos no corrientes de 14.506 M a 30-jun-2026, sobre todo abandono y desmantelamiento de campos [5]. Pensiones: pasivo de 4.335 M y activo de 2.253 M (neto de 2.082 M; 1.620 M después de impuestos en el puente) [5]. Impuesto corriente a pagar de 14.326 M, que sube con los precios (la deuda fiscal noruega se paga en plazos semestrales) [5]. Garantías de derivados de materias primas depositadas en mercados de 2.000 M [5]. Deuda con el Estado por la amortización de sus acciones de 3.052 M a junio, pagada en julio, y la parte del Estado de los tramos 2 y 3 de la recompra de 2026 (≈ 904 M, estimación propia) que se amortizará en mayo de 2027: las dos, en el puente como asimilables a deuda.</w:t>
      </w:r>
    </w:p>
    <w:p>
      <w:pPr>
        <w:pStyle w:val="Heading1"/>
      </w:pPr>
      <w:r>
        <w:t xml:space="preserve">12. Asignación de capital</w:t>
      </w:r>
    </w:p>
    <w:p>
      <w:pPr>
        <w:pStyle w:val="Confianza"/>
        <w:spacing w:after="100"/>
      </w:pPr>
      <w:r>
        <w:t xml:space="preserve">Confianza: Media</w:t>
      </w:r>
    </w:p>
    <w:p>
      <w:pPr>
        <w:spacing w:after="100"/>
      </w:pPr>
      <w:r>
        <w:t xml:space="preserve">Dividendo trimestral de 0,39 USD por acción en 2026 (0,37 en 2025) con subidas de más del 5 % al año; recompras de 3.000 M en 2026 (incluida la parte del Estado) y de 2.000-4.000 M al año desde 2027 con el crudo a 60-80 USD y el gas a 7-11 USD/MMBtu [8, 27]. El Estado mantiene su 67 % porque se le amortizan acciones en proporción en cada junta. Prioridades declaradas: inversión orgánica de 11.000-13.000 M al año, balance fuerte y retribución.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3.277,0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2.827,0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2.601,0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10 % de Ørsted</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Ørsted cayó después y Equinor puso 900 M más en su ampliación de 2025 [2]; inversión sin control, de resultado pobre hasta hoy.</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Adura (empresa conjunta del Reino Unido)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Aportación de activos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Registrada en participadas en el 4T25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Participación en una central de gas en Pensilvania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Anunciada en agosto de 2026 [28].</w:t>
            </w:r>
          </w:p>
        </w:tc>
      </w:tr>
    </w:tbl>
    <w:p>
      <w:pPr>
        <w:spacing w:after="160" w:before="0"/>
      </w:pPr>
    </w:p>
    <w:p>
      <w:pPr>
        <w:spacing w:after="100"/>
      </w:pPr>
      <w:r>
        <w:t xml:space="preserve">La dirección devuelve mucho: entre 2021 y 2025 pagó 31.452 M en dividendos y 21.154 M en recompras [1]. El problema es el momento: recompra más cuando los precios (y la acción) están altos, como en 2022-2023 y ahora en 2026, y menos en los valles (en febrero de 2026, con el Brent a 63 USD, la recompra de 2026 se fijó en 1.500 M; en junio se dobló) [8, 27]. La apuesta por las renovables (Empire Wind, Ørsted) restó valor: deterioros en 2024-2025 [2]. La disciplina de inversión sí es buena: 13.100 M orgánicos en 2025 y 4.000 M menos en 2026-27 [2].</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Anders Opedal</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Toda su carrera en Statoil/Equinor (operaciones, Brasil, tecnología); consejero delegado desde noviembre de 2020. Ha llevado la producción a récords (2,137 Mbep/d en 2025) y el giro de vuelta al petróleo y el gas [2].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Torgrim Reitan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presenta los resultados trimestrales [6].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Jarle Roth</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 el consejo y su comisión de compensación [20].</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Producción +4 %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+3,4 % (2,137 Mbep/d) [2]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Inversión orgánica de unos 13.000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13.100 M [2]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Producción +3 %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 en el 1S26 [5]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Equipo estable y cumplidor en volumen e inversión. La credibilidad se resintió con las renovables (Empire Wind, Ørsted), que forzaron deterioros y un cambio de estrategia hacia el petróleo y el gas en 2025-2026 [2, 8]. El consejo cambió de presidente y de composición en 2026 [10, 20]. Sin participaciones relevantes de los directivos leídas.</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 (5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3" name="Gráfico 13"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57"/>
        <w:gridCol w:w="1900"/>
        <w:gridCol w:w="1493"/>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Jarle Roth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Compensación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Anne Drinkwater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(presidenta); Seguridad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Haakon Bruun-Hanssen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Seguridad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Mikael Karlsson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Compensación; Seguridad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Fernanda Lopes Larsen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Dawn Summers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Seguridad y sostenibilidad (presidenta); 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Hilde Møllerstad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Frank Indreland Gundersen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Seguridad y sostenibilidad; Compensación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Geir Leon Vadheim</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Seguridad y sostenibilidad</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67 %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Independiente del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Estado noruego (Ministerio de Comercio, Industria y Pesca)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control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 se le amortizan acciones en proporción a las recompras [5].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22,3 M de acciones a 9-oct-2026, incluidas las de los planes de empleados [9].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4" name="Gráfico 14"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No se ha leído el informe de remuneración de 2025 (ver huecos). La política noruega para empresas con participación del Estado limita el variable y prohíbe opciones; el consejo tiene una comisión de compensación presidida por el presidente [20].</w:t>
      </w:r>
    </w:p>
    <w:p>
      <w:pPr>
        <w:pStyle w:val="Heading2"/>
      </w:pPr>
      <w:r>
        <w:t xml:space="preserve">Operaciones vinculadas, estructura de control y defensas</w:t>
      </w:r>
    </w:p>
    <w:p>
      <w:pPr>
        <w:spacing w:after="100"/>
      </w:pPr>
      <w:r>
        <w:t xml:space="preserve">El Estado noruego tiene el 67 % y nombra de hecho al consejo a través del comité de nombramientos; por ley debe mantener al menos dos tercios para bloquear cambios de estatutos. Una acción, un voto. Las operaciones con el Estado son relevantes: amortización de sus acciones en cada recompra (3.052 M pagados en julio de 2026) y la gestión de la participación directa del Estado en la plataforma (SDFI) [5]. El minoritario está protegido por la cotización y la gobernanza noruega, pero no decide.</w:t>
      </w:r>
    </w:p>
    <w:p>
      <w:pPr>
        <w:pStyle w:val="Heading2"/>
      </w:pPr>
      <w:r>
        <w:t xml:space="preserve">Señales de alerta</w:t>
      </w:r>
    </w:p>
    <w:p>
      <w:pPr>
        <w:pStyle w:val="ListParagraph"/>
        <w:numPr>
          <w:ilvl w:val="0"/>
          <w:numId w:val="2"/>
        </w:numPr>
        <w:spacing w:after="60"/>
      </w:pPr>
      <w:r>
        <w:t xml:space="preserve">Accionista de control estatal (67 %): las decisiones de inversión pueden responder a política energética.</w:t>
      </w:r>
    </w:p>
    <w:p>
      <w:pPr>
        <w:pStyle w:val="ListParagraph"/>
        <w:numPr>
          <w:ilvl w:val="0"/>
          <w:numId w:val="2"/>
        </w:numPr>
        <w:spacing w:after="60"/>
      </w:pPr>
      <w:r>
        <w:t xml:space="preserve">Recompras en máximos con amortización proporcional al Estado: el Estado cobra y el minoritario compra caro.</w:t>
      </w:r>
    </w:p>
    <w:p>
      <w:pPr>
        <w:pStyle w:val="ListParagraph"/>
        <w:numPr>
          <w:ilvl w:val="0"/>
          <w:numId w:val="2"/>
        </w:numPr>
        <w:spacing w:after="60"/>
      </w:pPr>
      <w:r>
        <w:t xml:space="preserve">Cambios en el consejo en 2026 (comunicados de junio y agosto) [10].</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Para 2026 (2T26, 22-jul) [5]: inversión orgánica de unos 13.000 M (con 10 NOK por USD), producción +3 % sobre 2025, mantenimiento que resta unos 35 kbep/d y coste unitario en el primer cuartil. Día del mercado de capitales (16-jun-2026) [8]: producción de 2,3 Mbep/d en 2030 (+150 kbep/d), inversión de 12.000 M en 2027 y 11.000-13.000 M al año en 2028-2030, flujo libre de más de 40.000 M en 2026-2030, ROACE por encima del 15 % cada año, dividendo trimestral +5 % al año y recompras de 2.000-4.000 M al año desde 2027 con el crudo a 60-80 USD y el gas europeo a 7-11 USD/MMBtu. Recompra de 2026 subida a 3.000 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86"/>
        <w:gridCol w:w="1302"/>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131.640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Yahoo Finance (EQNR), 6 analistas en BPA y 14 en ventas [12]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119.950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4,82</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(EQNR), 6 y 13 analistas [12]</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132.285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131.640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57.544</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128.316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119.950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56.459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40,26</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pStyle w:val="Heading2"/>
      </w:pPr>
      <w:r>
        <w:t xml:space="preserve">Revisiones de estimaciones</w:t>
      </w:r>
    </w:p>
    <w:p>
      <w:pPr>
        <w:spacing w:after="100"/>
      </w:pPr>
      <w:r>
        <w:t xml:space="preserve">Estimaciones de Yahoo Finance (6 analistas en BPA) [12]: BPA ajustado de 6,16 USD en 2026e y 4,82 en 2027e, con subidas fuertes en tres meses (desde 5,14 y 3,80 hace 90 días), porque el TTF ha pasado de 43 EUR/MWh en junio a 87 en octubre [18]. Ventas de 131.640 M en 2026e y 119.950 M en 2027e. El objetivo de 25 analistas en Oslo es de 382,66 NOK (40,26 USD, −11 %), con recomendación media de mantener [13]; el de 7 analistas sobre el ADR, 39,29 USD (33-51) [14]. Solo una fuente gratuita con estimaciones completas: confianza media.</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5" name="Gráfico 15"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-31,7 %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ha subido un 87,2 % en el año y un 90,7 % en doce meses (rentabilidad total), frente al +23,3 % y +26,7 % del índice de Oslo y el +44,5 % y +54,2 % del sector europeo [11]. La diferencia con las integradas es el gas: Equinor es el mayor vendedor de gas a Europa por gasoducto, y el TTF pasó de 28 EUR/MWh en diciembre de 2025 a 87 en octubre de 2026 con el GNL de Catar bloqueado en Ormuz [18]. En 2023-2025 la acción perdió frente al índice (−5,0 %, −7,4 % y −3,7 % anuales) mientras el gas se normalizaba: es el espejo de lo que puede volver a pasar.</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+1,9 % / +20,3 % / +30,6 % / +80,9 %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-0,6 % / +89,1 %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alcista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2026-10-28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Inicio de la guerra con Irán y cierre de Ormuz: el GNL de Catar sale del mercado y el TTF y el Brent se disparan (Brent de 114 USD en abril) [18, 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del 12-13 % en un día (8-abr) por el alto el fuego entre EE. UU. e Irán: el Brent cayó un 13 % a 95 USD; Equinor fue la que más cayó del índice de Oslo [21]. Más caídas del 7,8 % (17-abr) y del 8,7 % (6-may) con nuevas noticias de reapertura [11].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caída de un mes en seis meses (hasta el 7-may): la diplomacia sobre Ormuz bajó el Brent de 114 a 92 USD y el TTF a 46 EUR/MWh [11, 18]. Es el aviso de lo que pasa cuando se normaliza.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jul-2026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Mayor subida de un mes (hasta el 23-jul): resultados del 2T26 y TTF de 43 a 59 EUR/MWh con el almacenamiento europeo al 53 % [7, 18, 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2026-06-16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Día del mercado de capitales: producción de 2,3 Mbep/d en 2030, recompra de 2026 subida a 3.000 M y de 2.000-4.000 M al año desde 2027, dividendo +5 % al año [8].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2026-09-04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Análisis en Seeking Alpha que rebaja la recomendación por el riesgo de medidas de emergencia de la UE sobre el gas (topes o impuestos extraordinarios) [28]; Stock Analysis da a 25 analistas en Oslo con objetivo medio de 382,66 NOK, por debajo del precio [13].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Avance: la división de comercialización superará en el 3T su guía de 400 M; sube el coste de la mejora de la planta de GNL de Hammerfest [28].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7,7 M de acciones compradas en bolsa en el tramo 3 (hasta el 26-oct) a 396,52 NOK de media; el Estado (67 %) vende en proporción, por amortización, sin colocación en bolsa [5, 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del 30 % de Bay du Nord (Canadá) a Shell; Equinor se queda el 70 % [28].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2026-10-28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3T26 el 28-oct-2026 (consenso de BPA ajustado de 1,49 USD) [10, 12, 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acción está a un 0,6 % de su máximo histórico, un 24,4 % por encima de la media de 200 sesiones, con tendencia alcista y el aviso P2 (cerca de máximos tras subir un 20 % en tres meses) [11]. El movimiento lo explica el precio del gas europeo por el bloqueo del GNL de Catar, que es justo lo que la tesis normaliza con la curva de futuros. No hay colocaciones (el Estado vende en proporción a las recompras, por amortización), ampliaciones, ventas de directivos conocidas ni ofertas. El riesgo político (medidas de emergencia de la UE sobre el gas) no tiene fecha ni propuesta concreta. Veredicto: no cambia; la señal la da la valoración.</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6" name="Gráfico 16"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spacing w:after="100"/>
      </w:pPr>
      <w:r>
        <w:t xml:space="preserve">Con el BPA del año siguiente, Equinor ha cotizado entre 3,6 y 12,1 veces (mediana de cinco años de 9,1): barata en los picos y cara en los valles, porque el mercado no paga el beneficio extraordinario. Se excluye 2021 (3,0 veces sobre el BPA de 2022, el año de la crisis del gas, atípico: menos de un tercio de la mediana del resto). El último cierre (2025) da 3,6 veces sobre nuestro BPA de 2026e: el mercado de entonces no esperaba la guerra. Hoy cotiza a 7,4 veces nuestro BPA de 2027e, un PER de beneficio todavía alto: con el BPA de 2025 serían 23 veces.</w:t>
      </w:r>
    </w:p>
    <w:p>
      <w:pPr>
        <w:pStyle w:val="Heading1"/>
      </w:pPr>
      <w:r>
        <w:t xml:space="preserve">18. Comparables cotizados</w:t>
      </w:r>
    </w:p>
    <w:p>
      <w:pPr>
        <w:pStyle w:val="Confianza"/>
        <w:spacing w:after="100"/>
      </w:pPr>
      <w:r>
        <w:t xml:space="preserve">Confianza: Media</w:t>
      </w:r>
    </w:p>
    <w:p>
      <w:pPr>
        <w:spacing w:after="100"/>
      </w:pPr>
      <w:r>
        <w:t xml:space="preserve">Aker BP (el otro gran productor noruego, mismo régimen fiscal del 78 %) y las grandes integradas: TotalEnergies, Shell, BP, Eni, ExxonMobil y Chevron [23, 24]. Todas con cifras de Stock Analysis del 15-oct-2026. El PER es el múltiplo comparable; el EV/EBITDA de Equinor y Aker BP sale muy bajo (2,6-3,0 veces) porque su EBITDA es antes de un impuesto del 78 %, y no se debe usar contra las integradas.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2"/>
        <w:gridCol w:w="504"/>
        <w:gridCol w:w="908"/>
        <w:gridCol w:w="706"/>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Equinor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106.466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Aker BP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24.324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TotalEnergies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200.477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Shell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295.100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124.520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83.670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ExxonMobil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718.680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Chevron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431.510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92"/>
        <w:gridCol w:w="1056"/>
        <w:gridCol w:w="1188"/>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43.596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4,9x / 5,8x / 8,3x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88,26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105,27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151,24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 / 9,3x / 12,7x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113.653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 / 1,1x / 2,2x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50,54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51,74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100,93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+14,5 %</w:t>
            </w:r>
          </w:p>
        </w:tc>
      </w:tr>
    </w:tbl>
    <w:p>
      <w:pPr>
        <w:spacing w:after="160" w:before="0"/>
      </w:pPr>
    </w:p>
    <w:p>
      <w:pPr>
        <w:spacing w:after="100"/>
      </w:pPr>
      <w:r>
        <w:t xml:space="preserve">Equinor cotiza a 8,9 veces el beneficio de los próximos doce meses, en la zona de las europeas (TotalEnergies 8,1, Shell 9,1, Eni 9,4, BP 7,6) y por debajo de ExxonMobil (13,4) y Chevron (12,2) [24]; Aker BP, a 13,2 [23]. El descuento frente a las estadounidenses se explica por la exposición al gas europeo (el beneficio más volátil del grupo) y por el control del Estado. Los múltiplos de los próximos doce meses incluyen el pico de precios de 2026-27, así que los valores implícitos por comparables (44-65 USD por PER) sobrestiman el valor normalizado; se ponderan al 20 %.</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Año base 2025: 105.828 M con el Brent a 69,1 USD y el gas realizado en 10-12 USD/MMBtu [2]. 2026e: +25 % (fijo: el 1S26 ya da 62.339 M, +14 %, y el 3T y el 4T van con el TTF en 59-87 EUR/MWh y el Brent en 90-106 USD; el consenso de ventas es de 131.640 M) [5, 12, 18]. 2027e: −3 % (el TTF de 2027 cotiza a 72 EUR/MWh y el Brent de diciembre de 2027 a 85,6 USD) [18, 19]. 2028e: −9 % (TTF de 46 EUR/MWh y Brent de 77,6 USD). 2029e: −3 % hacia gas de 11-12 USD/MMBtu y Brent de 70 USD; después, +1,5 % y luego +0,5-1 %, con la producción plana tras 2030 (la plataforma noruega baja de 1,35 a 1,30 Mbep/d entre 2030 y 2035) [8].</w:t>
      </w:r>
    </w:p>
    <w:p>
      <w:pPr>
        <w:keepNext/>
        <w:spacing w:after="100"/>
      </w:pPr>
      <w:r>
        <w:rPr>
          <w:b/>
          <w:bCs/>
        </w:rPr>
        <w:t xml:space="preserve">Márgenes.</w:t>
      </w:r>
    </w:p>
    <w:p>
      <w:pPr>
        <w:spacing w:after="100"/>
      </w:pPr>
      <w:r>
        <w:t xml:space="preserve">Margen EBITDA del 43,5 % en 2026e (43,2 % en el 1S26 y un 2S con más gas caro) [5], 44,0 % en 2027e (gas más caro que la media de 2026), 40,5 % en 2028e y 37 % a largo plazo, entre el 35,0 % de 2025 y el 39,7 % de 2024 y por debajo del 43,4 % de 2023 [1]. El margen de Equinor depende del precio del gas noruego, que vende sobre todo a precio de mercado (TTF y NBP).</w:t>
      </w:r>
    </w:p>
    <w:p>
      <w:pPr>
        <w:keepNext/>
        <w:spacing w:after="100"/>
      </w:pPr>
      <w:r>
        <w:rPr>
          <w:b/>
          <w:bCs/>
        </w:rPr>
        <w:t xml:space="preserve">Inversión y circulante.</w:t>
      </w:r>
    </w:p>
    <w:p>
      <w:pPr>
        <w:spacing w:after="100"/>
      </w:pPr>
      <w:r>
        <w:t xml:space="preserve">Capex del 9,8 % de las ventas en 2026e (13.000 M de guía) y del 10,0-10,7 % después (12.000 M en 2027 y 11.000-13.000 M al año en 2028-2030) [5, 8], por encima de la amortización (8,3-10 %), que es lo que exige mantener la producción con campos que declinan. Circulante del 4 % de las ventas (4,2 % en 2025). Tipo impositivo del 66 % en 2026e, 68 % en 2027e y 70 % después: más alto con más peso del gas noruego (78 %) [5].</w:t>
      </w:r>
    </w:p>
    <w:p>
      <w:pPr>
        <w:keepNext/>
        <w:spacing w:after="100"/>
      </w:pPr>
      <w:r>
        <w:rPr>
          <w:b/>
          <w:bCs/>
        </w:rPr>
        <w:t xml:space="preserve">Coste del capital.</w:t>
      </w:r>
    </w:p>
    <w:p>
      <w:pPr>
        <w:spacing w:after="100"/>
      </w:pPr>
      <w:r>
        <w:t xml:space="preserve">Flujos en USD: tasa libre del bono del Tesoro de EE. UU. a 10 años, 5,21 % el 13-oct-2026 [17]. Beta de 0,85: la de la acción frente al índice de Oslo (1,42-1,63 ajustada y sin ajustar) [11] no sirve, porque Equinor y las petroleras pesan mucho en ese índice; usamos la de las integradas frente al mercado mundial. Prima de mercado del 5,5 % más 0,5 puntos por riesgo de precio de las materias primas y regulatorio. Coste de la deuda del 4,5 % antes de impuestos (gastos por intereses de 1.037 M sobre 27.810 M de deuda: 3,7 %) y peso de la deuda del 15 %. WACC del 9,35 %.</w:t>
      </w:r>
    </w:p>
    <w:p>
      <w:pPr>
        <w:keepNext/>
        <w:spacing w:after="100"/>
      </w:pPr>
      <w:r>
        <w:rPr>
          <w:b/>
          <w:bCs/>
        </w:rPr>
        <w:t xml:space="preserve">Valor terminal.</w:t>
      </w:r>
    </w:p>
    <w:p>
      <w:pPr>
        <w:spacing w:after="100"/>
      </w:pPr>
      <w:r>
        <w:t xml:space="preserve">Gordon con un crecimiento del 1,0 % en USD, por debajo de la inflación esperada: la producción noruega baja desde 2030 y el valor depende de reponer reservas. El valor terminal pesa el 45 % del valor. El múltiplo implícito se compara con el EV/EBITDA de 2,6 veces de hoy.</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8,41 %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132.285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30.732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128.316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30.714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12.139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116.768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25.257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8.582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113.265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22.596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114.964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22.533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116.688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22.463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117.855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22.275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119.034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22.497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119.629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22.610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120.227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44.484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22.723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4.455</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117.452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133.452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63.339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51.546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114.885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-8.693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108.417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2.357,0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46,00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42,30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43,54</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52,68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56,11</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7.027 M (6 %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32,3 % (reinvierte el 113 %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 frente al 1,6 %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La proyección apenas necesita inversión neta de la amortización (reinversión acumulada de 7.027 M, el 6 % del NOPAT, con un capex bruto medio del 10,2 % de las ventas). En un negocio de activos ligeros, el crecimiento medio del 1,6 %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+3 % (guía de producción) [5]; precio +22 %: líquidos de 87,9 USD/b en el 1S26 frente a 64,2 en 2025 y gas europeo de 15,8 USD/MMBtu en el 2T26 y por encima de 20 en el 2S [5, 18].</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+2 % (proyectos del plan a 2030) [8]; precio −5 %: Brent hacia 86 USD y TTF de 72 EUR/MWh según los futuros [18, 19].</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+2 % [8]; precio −11 %: Brent de 77,6 USD y TTF de 46 EUR/MWh (15 USD/MMBtu) en los futuros [18, 19].</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+1,5 %; precio −4,5 %: gas hacia 11-12 USD/MMBtu y Brent de 70 USD, el centro del rango que usa la empresa para su retribución [8].</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+1 % (2,3 Mbep/d en 2030) [8]; precio +0,5 %.</w:t>
            </w:r>
          </w:p>
        </w:tc>
      </w:tr>
    </w:tbl>
    <w:p>
      <w:pPr>
        <w:spacing w:after="160" w:before="0"/>
      </w:pPr>
    </w:p>
    <w:p>
      <w:pPr>
        <w:spacing w:after="100"/>
      </w:pPr>
      <w:r>
        <w:t xml:space="preserve">La proyección no crece: tras el pico de 2026 los ingresos bajan tres años y luego suben un 0,5-1,5 % por volumen, que es lo que da la cartera ya aprobada (2,3 Mbep/d en 2030 y la plataforma noruega a la baja después) [8], con una inversión que ya está en la guía y un capex por encima de la amortización. El motor no hace la prueba de reinversión porque la reinversión neta es pequeña (6 % del NOPAT), y la de cuota no aplica (empresa que vende a precio de mercado). Sostenibilidad «Sí»: la calidad de los activos (coste unitario en el primer cuartil, gas de bajo coste junto a su mercado) sostiene una proyección que es sobre todo de precios a la baja, no de crecimiento.</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-1,3 % (base: -1,0 %)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36,5 % (base: 37,0 %)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9,5 % (WACC: 9,3 %)</w:t>
            </w:r>
          </w:p>
        </w:tc>
      </w:tr>
    </w:tbl>
    <w:p>
      <w:pPr>
        <w:spacing w:after="160" w:before="0"/>
      </w:pPr>
    </w:p>
    <w:p>
      <w:pPr>
        <w:spacing w:after="100"/>
      </w:pPr>
      <w:r>
        <w:t xml:space="preserve">El DCF da 46,00 USD por acción (437 NOK), un 1,8 % por encima del precio, con un WACC del 9,35 % y un valor terminal que pesa el 45 %. El DCF inverso dice que el precio de 45,17 USD descuenta un crecimiento de los ingresos del −1,3 % anual en los años no fijos, frente al −1,0 % de nuestro caso base: el mercado ya cuenta con que el gas y el crudo bajen como dicen los futuros, y no paga más. La diferencia con el objetivo a 12 meses (35,82 USD) es de horizonte: el DCF suma los flujos de 2026-2027 a precios de crisis, que se cobran ya; el objetivo a 12 meses mira el beneficio de 2028, cuando la curva pone el gas en 46 EUR/MWh, y le aplica un múltiplo de 8,1 veces. Es un valor razonable, no barato.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Ormuz se reabre del todo en 2027, Catar recupera su GNL y la ola de oferta de EE. UU. y Catar hunde el TTF a 25-30 EUR/MWh (8-10 USD/MMBtu), como en 2024-25; el Brent vuelve a 60-65 USD. Margen EBITDA 4 puntos por debajo del base y crecimiento 2,5 puntos menor cada año. BPA 2028e de 2,89 USD, el de 2025 más las recompras.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crisis se normaliza como dicen los futuros: TTF de 72 EUR/MWh en 2027 y 46 en 2028, Brent de 86 y 78 USD; producción +2 % al año hasta 2030. Beneficio de 2028e de unos 10.700 M (BPA de 4,61 USD), entre el de 2023 y el de 2024.</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60,08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Europa no recupera el GNL de Catar hasta 2028 y su almacenamiento queda bajo: gas de 20-22 USD/MMBtu en 2028 y Brent de 85-90 USD. Margen 4 puntos por encima del base y crecimiento 2 puntos mayor. BPA 2028e de 6,19 USD.</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9" name="Gráfico 19" descr="Valor por acción por escenario (USD) · precio actual 45,1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spacing w:after="100"/>
      </w:pPr>
      <w:r>
        <w:rPr>
          <w:b/>
          <w:bCs/>
        </w:rPr>
        <w:t xml:space="preserve">Valor ponderado por probabilidad:</w:t>
      </w:r>
      <w:r>
        <w:t xml:space="preserve"> 46,16 USD (+2,2 %).</w:t>
      </w:r>
    </w:p>
    <w:p>
      <w:pPr>
        <w:spacing w:after="100"/>
      </w:pPr>
      <w:r>
        <w:t xml:space="preserve">El DCF da 32,57 USD en el bajista (−27,9 %), 46,00 en el base (+1,8 %) y 60,08 en el alcista (+33,0 %): la asimetría del valor intrínseco es neutra (1,18 veces), pero a 12 meses no: con el beneficio de 2028 y la regla común el bajista vale 10,40 USD (−73,6 %), porque el mínimo de cinco años del PER (3,6 veces) es el de un pico, y el alcista 58,19 (+32,2 %). El bajista es verosímil: es lo que pasó entre 2022 y 2025 (beneficio de 28.746 M a 5.043 M en tres años) [1].</w:t>
      </w:r>
    </w:p>
    <w:p>
      <w:pPr>
        <w:pStyle w:val="Heading1"/>
      </w:pPr>
      <w:r>
        <w:t xml:space="preserve">22. Suma de partes</w:t>
      </w:r>
    </w:p>
    <w:p>
      <w:pPr>
        <w:pStyle w:val="Confianza"/>
        <w:spacing w:after="100"/>
      </w:pPr>
      <w:r>
        <w:t xml:space="preserve">Confianza: Media</w:t>
      </w:r>
    </w:p>
    <w:p>
      <w:pPr>
        <w:spacing w:after="100"/>
      </w:pPr>
      <w:r>
        <w:t xml:space="preserve">No se hace: el resultado lo explica el precio del gas y del crudo, común a los segmentos; la parte de electricidad (renovables, Power) tiene un resultado ajustado negativo en 2025 [2] y no cambia el valor. La participación del 10 % en Ørsted y las participadas (8.191 M en libros) van en el puente.</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0" name="Gráfico 20" descr="Valor por acción según cada método (USD) · precio actual 45,1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45,17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45,40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46,41 USD (+2,7 % sobre 45,17).</w:t>
      </w:r>
    </w:p>
    <w:p>
      <w:pPr>
        <w:spacing w:after="100"/>
      </w:pPr>
      <w:r>
        <w:t xml:space="preserve">Pesos: DCF 40 %, escenarios 40 % y comparables 20 %. El DCF y los escenarios recogen la normalización de precios, que es la clave; los comparables se ponderan poco porque sus PER de los próximos doce meses incluyen el pico de 2026-27. Sin transacciones: no hay compras de productoras comparables con múltiplo publicado leído. El valor intrínseco queda en 46,41 USD (441 NOK), un 2,7 % sobre el precio; la dispersión entre métodos es grande (de 32,57 a 60,08 en los escenarios), como corresponde a una productora de materias primas.</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(7.4x) × 1.1 (tope: la mediana de 5 años, 9.1x,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mediana de los comparables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58,19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+32,2 %</w:t>
            </w:r>
          </w:p>
        </w:tc>
      </w:tr>
    </w:tbl>
    <w:p>
      <w:pPr>
        <w:spacing w:after="160" w:before="0"/>
      </w:pPr>
    </w:p>
    <w:p>
      <w:pPr>
        <w:spacing w:after="100"/>
      </w:pPr>
      <w:r>
        <w:rPr>
          <w:b/>
          <w:bCs/>
        </w:rPr>
        <w:t xml:space="preserve">Objetivo a 12 meses (ponderado):</w:t>
      </w:r>
      <w:r>
        <w:t xml:space="preserve"> 35,82 USD (340,43 NOK) · rentabilidad -17,3 % (base -14,0 %) · señal Vender.</w:t>
      </w:r>
    </w:p>
    <w:p>
      <w:pPr>
        <w:spacing w:after="100"/>
      </w:pPr>
      <w:r>
        <w:t xml:space="preserve">Para comparar, con el tope anterior del base (×1,3, 14-oct mediodía): -16,8 % Vender. Decide la regla vigente (v3 con tope ×1,1; METODO-VIGENTE.md).</w:t>
      </w:r>
    </w:p>
    <w:p>
      <w:pPr>
        <w:keepNext/>
        <w:spacing w:after="100"/>
      </w:pPr>
      <w:r>
        <w:rPr>
          <w:b/>
          <w:bCs/>
        </w:rPr>
        <w:t xml:space="preserve">Frente al consenso (solo contraste).</w:t>
      </w:r>
    </w:p>
    <w:p>
      <w:pPr>
        <w:spacing w:after="100"/>
      </w:pPr>
      <w:r>
        <w:t xml:space="preserve">Nuestro BPA de 2027e (6,13 USD) queda un 27 % por encima del consenso (4,82, ajustado) [12]: usamos la curva de futuros del TTF (72 EUR/MWh en 2027) y el consenso, que sube cada mes (3,80 hace 90 días), parece suponer una normalización más rápida. Nuestro objetivo base (37,34 USD) queda un 7 % por debajo del objetivo medio de los analistas (40,26 USD) [13] porque mira a 2028, cuando los futuros ya ponen el gas en 46 EUR/MWh. Con el BPA de consenso el resultado sería peor, no mejor.</w:t>
      </w:r>
    </w:p>
    <w:p>
      <w:pPr>
        <w:keepNext/>
        <w:spacing w:after="100"/>
      </w:pPr>
      <w:r>
        <w:rPr>
          <w:b/>
          <w:bCs/>
        </w:rPr>
        <w:t xml:space="preserve">Del valor intrínseco al objetivo a 12 meses.</w:t>
      </w:r>
    </w:p>
    <w:p>
      <w:pPr>
        <w:spacing w:after="100"/>
      </w:pPr>
      <w:r>
        <w:t xml:space="preserve">El objetivo a 12 meses es de 35,82 USD (340 NOK) y el valor intrínseco de 46,41 USD (441 NOK), frente a un precio de 45,17 USD (429,30 NOK). La regla común pone el PER base en 8,1 veces (el actual de 7,4 subido un 10 %, el tope, hacia la mediana de 9,1) sobre un BPA de 2028e de 4,61 USD. El BPA base supone un 33 % anual desde 2025 porque el de 2025 (1,94) estaba deprimido por 2.481 M de deterioros y precios bajos (ajustado 2,47) y porque 2028 todavía lleva gas a 15 USD/MMBtu: no es crecimiento del negocio. La distancia con el valor intrínseco (23 %) es de horizonte: el DCF cobra los flujos de crisis de 2026-27, que la empresa devuelve con dividendos y recompras; para cerrarla haría falta que los futuros del gas de 2028 subieran, es decir, que Catar tarde en volver.</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28-oct-2026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alto por el gas (TTF de 59-72 EUR/MWh en el trimestre) y la comercialización por encima de la guía [26, 28]; el mercado ya lo espera (consenso 1,49 USD) [12].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Invierno 2026-27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Nivel del almacenamiento de gas europeo y frío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invierno frío con almacenamiento bajo mantendría el TTF por encima de 80 EUR/MWh.</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Reapertura de Ormuz y vuelta del GNL de Catar</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del TTF hacia la curva (46 EUR/MWh en 2028) o más.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recompra de 2027 (2.000-4.000 M)</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 la retribución; el tamaño dependerá del precio [8].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Medidas de emergencia de la UE sobre el gas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Topes o impuestos extraordinarios restarían beneficio [28].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Normalización del gas europeo al volver el GNL de Catar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−30 % (escenario bajista: 32,57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Balance sólido y coste bajo.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TTF de 2027 por debajo de 50 EUR/MWh.</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del crudo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gas pesa más que el crudo en el beneficio noruego.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Brent por debajo de 70 USD.</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Intervención de la UE (topes o impuestos extraordinarios)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Noruega no está en la UE; en 2022 la contribución recayó en empresas de la UE.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Propuesta de la Comisión.</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 en máximos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Tramos trimestrales flexibles.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de 2027 en lo alto del rango con la acción por encima de 400 NOK.</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Inversiones en electricidad con rentabilidad baja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Recorte del capex de renovables [8].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Nuevos deterioros en Power o en Ørsted.</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Declive de los campos noruegos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6-8 nuevos proyectos de enlace al año [8].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Producción noruega por debajo de 1,3 Mbep/d antes de 2030.</w:t>
            </w:r>
          </w:p>
        </w:tc>
      </w:tr>
    </w:tbl>
    <w:p>
      <w:pPr>
        <w:spacing w:after="160" w:before="0"/>
      </w:pPr>
    </w:p>
    <w:p>
      <w:pPr>
        <w:pStyle w:val="Heading2"/>
      </w:pPr>
      <w:r>
        <w:t xml:space="preserve">Pre-mortem</w:t>
      </w:r>
    </w:p>
    <w:p>
      <w:pPr>
        <w:spacing w:after="100"/>
      </w:pPr>
      <w:r>
        <w:t xml:space="preserve">Octubre de 2029: la acción vale 26 USD (unos 250 NOK), un 40 % menos. Qué pasó: en la primavera de 2027 se firmó un acuerdo sobre Ormuz y Catar volvió a exportar GNL en tres meses; al mismo tiempo arrancaron los nuevos trenes de Catar y de la costa del Golfo de EE. UU. y el TTF cayó a 28 EUR/MWh, el nivel de diciembre de 2025. El Brent volvió a 65 USD con la OPEP+ recuperando cuota. El beneficio de Equinor cayó de unos 16.000 M en 2026 a 6.500 M en 2028, la recompra de 2028 se recortó al mínimo del rango y el mercado volvió a pagar el PER de 2024 (12 veces) sobre un BPA de 2,9 USD: 35 USD con dividendos, pero antes cayó más por el pánico. El indicador que lo habría anticipado: los futuros del TTF de 2028 por debajo de 35 EUR/MWh y el almacenamiento europeo por encima del 90 % al empezar el invierno de 2027.</w:t>
      </w:r>
    </w:p>
    <w:p>
      <w:pPr>
        <w:pStyle w:val="Heading2"/>
      </w:pPr>
      <w:r>
        <w:t xml:space="preserve">Riesgo de inteligencia artificial</w:t>
      </w:r>
    </w:p>
    <w:p>
      <w:pPr>
        <w:spacing w:after="100"/>
      </w:pPr>
      <w:r>
        <w:rPr>
          <w:b/>
          <w:bCs/>
        </w:rPr>
        <w:t xml:space="preserve">Exposición:</w:t>
      </w:r>
      <w:r>
        <w:t xml:space="preserve"> Baja · </w:t>
      </w:r>
      <w:r>
        <w:rPr>
          <w:b/>
          <w:bCs/>
        </w:rPr>
        <w:t xml:space="preserve">Sentido:</w:t>
      </w:r>
      <w:r>
        <w:t xml:space="preserve"> Oportunidad · </w:t>
      </w:r>
      <w:r>
        <w:rPr>
          <w:b/>
          <w:bCs/>
        </w:rPr>
        <w:t xml:space="preserve">Efecto en valor (3-5 años):</w:t>
      </w:r>
      <w:r>
        <w:t xml:space="preserve"> +2 %</w:t>
      </w:r>
    </w:p>
    <w:p>
      <w:pPr>
        <w:spacing w:after="100"/>
      </w:pPr>
      <w:r>
        <w:t xml:space="preserve">La IA no sustituye lo que vende Equinor (gas, crudo, electricidad) y le da dos ventajas: más demanda de electricidad, y de gas para generarla, por los centros de datos (la compra de una central de gas en Pensilvania, de agosto de 2026, va en esa línea) [28], y menos coste en exploración, mantenimiento predictivo y operación remota de plataformas. La parte de comercialización (MMP) usa modelos cuantitativos, donde la IA iguala a los competidores más que dar ventaja. Señal: contratos de suministro de gas o electricidad con centros de datos.</w:t>
      </w:r>
    </w:p>
    <w:p>
      <w:pPr>
        <w:pStyle w:val="Heading1"/>
      </w:pPr>
      <w:r>
        <w:t xml:space="preserve">26. ESG y controversias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Sustainalytics (riesgo ESG, vía KnowESG)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34,9: riesgo alto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2025-11</w:t>
            </w:r>
          </w:p>
        </w:tc>
      </w:tr>
    </w:tbl>
    <w:p>
      <w:pPr>
        <w:spacing w:after="160" w:before="0"/>
      </w:pPr>
    </w:p>
    <w:p>
      <w:pPr>
        <w:pStyle w:val="Heading2"/>
      </w:pPr>
      <w:r>
        <w:t xml:space="preserve">Asuntos materiales</w:t>
      </w:r>
    </w:p>
    <w:p>
      <w:pPr>
        <w:spacing w:after="100"/>
      </w:pPr>
      <w:r>
        <w:t xml:space="preserve">Lo material es el CO₂ y el metano: la empresa promete reducir un 50 % las emisiones operadas hacia 2030 y la intensidad neta de carbono un 15-30 % hacia 2035 [8]. Noruega grava el CO₂ de la plataforma (impuesto más derechos de la UE), lo que encarece producir, pero el gas noruego tiene una de las intensidades de carbono más bajas del mundo y eso ayuda a vender en Europa. La retirada parcial de las renovables (recorte del capex en Power) reduce la exposición a la taxonomía europea.</w:t>
      </w:r>
    </w:p>
    <w:p>
      <w:pPr>
        <w:pStyle w:val="Heading2"/>
      </w:pPr>
      <w:r>
        <w:t xml:space="preserve">Controversias</w:t>
      </w:r>
    </w:p>
    <w:p>
      <w:pPr>
        <w:spacing w:after="100"/>
      </w:pPr>
      <w:r>
        <w:t xml:space="preserve">Proyectos británicos (Rosebank, Jackdaw) pendientes de aprobación tras sentencias sobre el alcance 3 [28]. Electrificación de Troll recortada en octubre de 2026 [28]. No se han buscado sanciones recientes en fuentes primarias (ver huecos).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normalizado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beneficio da la empresa con el gas a 10 USD/MMBtu y el Brent a 70 USD con la producción de 2028?</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diferencia entre nuestro BPA de 2028 (4,61) y el de 2025 (1,94).</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doblar la recompra en junio de 2026 con la acción un 60 % más cara que en febrero?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Comprar en el pico destruye valor para el minoritario que se queda.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Contratos de gas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gas de 2027-2028 está vendida a plazo y a qué precio?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vendió a plazo, el beneficio de 2027 no seguirá a la curva.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Power y Ørsted</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rentabilidad espera de Ørsted y de Empire Wind tras los deterioros?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3.400 M invertidos en Ørsted con resultado negativo hasta hoy [2].</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Impuestos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 la caja de junio (23.725 M) es impuesto noruego devengado y no pagado?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14.326 M de impuesto corriente a pagar [5].</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Regulación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medidas de emergencia de la UE sobre el gas afectarían al gas noruego vendido por gasoducto?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Riesgo político con el TTF en 87 EUR/MWh.</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Positivo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 ($EQNR)</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Casi todo alcista y sin matices: descubrimientos en el mar del Norte, recompras, «máximos históricos pronto» y objetivos técnicos de 46-50 USD; ninguno habla de la normalización del gas [29].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Seeking Alpha (análisis y noticias)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análisis favorable («oportunidad en máximos de varios años») y otro que rebaja la recomendación por el riesgo de medidas de emergencia de la UE; noticias de contratos de gas y descubrimientos [28].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 y dividendo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3.000 M en 2026 y dividendo +5 % al año [8]; pero el tamaño depende del precio del gas.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Equinor como proveedor de Europa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primer proveedor por gasoducto; pero vende a precio de mercado, así que gana con la crisis y pierde con su fin.</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Intervención de la UE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Riesgo real pero sin propuesta concreta [28].</w:t>
            </w:r>
          </w:p>
        </w:tc>
      </w:tr>
    </w:tbl>
    <w:p>
      <w:pPr>
        <w:spacing w:after="160" w:before="0"/>
      </w:pPr>
    </w:p>
    <w:p>
      <w:pPr>
        <w:spacing w:after="100"/>
      </w:pPr>
      <w:r>
        <w:t xml:space="preserve">El sentimiento de los particulares es eufórico en máximos históricos y va por delante de los analistas (objetivo medio de 40,26 USD, por debajo del precio) [13]. Esa euforia sin dudas es un aviso, no un dato: la caída del 17,7 % de mayo, cuando pareció que Ormuz se reabría, muestra lo rápido que se da la vuelta.</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24 controles correctos y 6 explicados. Fuentes: 32 (17 primarias); citas distintas en el texto: 30.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68,6 %: explica la causa (créditos fiscales, regularizaciones, mezcla de países) y no lo proyectes en el DCF. Explicación: El 78 % es el tipo legal sobre el resultado de la plataforma continental noruega (22 % general más 56 % especial); el tipo efectivo del grupo fue del 63-80 % en 2022-2025 y del 65,1 % en el 1S26 [5]. 2025 (79,8 %) sube por deterioros sin efecto fiscal (2.481 M) [2]. Se proyecta el 66-70 %.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71,5 %: explica la causa (créditos fiscales, regularizaciones, mezcla de países) y no lo proyectes en el DCF. Explicación: El 78 % es el tipo legal sobre el resultado de la plataforma continental noruega (22 % general más 56 % especial); el tipo efectivo del grupo fue del 63-80 % en 2022-2025 y del 65,1 % en el 1S26 [5]. 2025 (79,8 %) sube por deterioros sin efecto fiscal (2.481 M) [2]. Se proyecta el 66-70 %.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Tipo impositivo efectivo razonable (2025)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79,8 %: explica la causa (créditos fiscales, regularizaciones, mezcla de países) y no lo proyectes en el DCF. Explicación: El 78 % es el tipo legal sobre el resultado de la plataforma continental noruega (22 % general más 56 % especial); el tipo efectivo del grupo fue del 63-80 % en 2022-2025 y del 65,1 % en el 1S26 [5]. 2025 (79,8 %) sube por deterioros sin efecto fiscal (2.481 M) [2]. Se proyecta el 66-70 %.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Segmentos suman los ingresos (2024)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Segmentos 0 frente a ingresos 102.502 (-100,0 %). Si hay eliminaciones entre segmentos, explícalo. Explicación: Equinor no publica ventas externas por segmento comparables con los ingresos del grupo (las ventas de cada segmento llevan las transferencias internas a MMP, que comercializa casi toda la producción) [2]: los segmentos se dan solo con su resultado operativo ajustado, que sí suma el del grupo.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Segmentos suman los ingresos (2025)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Segmentos 0 frente a ingresos 105.828 (-100,0 %). Si hay eliminaciones entre segmentos, explícalo. Explicación: Equinor no publica ventas externas por segmento comparables con los ingresos del grupo (las ventas de cada segmento llevan las transferencias internas a MMP, que comercializa casi toda la producción) [2]: los segmentos se dan solo con su resultado operativo ajustado, que sí suma el del grupo.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4,0 % frente a 4,2 % real: genera una variación de circulante de 842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BPA base de 2028e (4,61) supone un 33,4 % anual desde 1,94 (2025): explícalo en valoracion.objetivo_12m.comentario o la confianza es baja. Explicación: El BPA de 2025 (1,94 USD) está deprimido por 2.481 M de deterioros y por precios bajos (Brent de 69,1 USD y gas europeo de 10-12 USD/MMBtu) [2]; el ajustado fue de 2,47 USD [12]. El BPA base de 2028e (4,61) sale de la curva de futuros (Brent de 77,6 USD y TTF de 46 EUR/MWh en 2028) [18, 19] y de un 9 % menos de acciones por las recompras: es un BPA de precios todavía altos, no de crecimiento del negocio; con los precios de 2025 sería de unos 2,9 USD (escenario bajista).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«Baja» (las reglas discrepan (absoluta Mantener, relativa Comprar)) y el análisis pone «Media»: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32 fuentes (17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3, 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de Equinor: compras sin múltiplo publicado (Ørsted, central de Pensilvania); 2) prensa de 2026: venta del 30 % de Bay du Nord sin precio leído; 3) operaciones del sector (Chevron-Hess) de perímetro distinto.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tamano y serie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Documentos de la empresa: dan precios y volúmenes, no tamaño en USD; 2) Eurostat: cuotas de importación, no un mercado comparable; 3) un tamaño del gas europeo en USD cambia por tres con el precio y no sirve para la prueba de cuota.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remuneracion_ceo, votos y fechas de nombramiento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Web del consejo: composición y comisiones sin fechas; 2) comunicados de la junta en MFN: sin cuerpo legible; 3) informe anual integrado no leído por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vencimientos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del 2T26: sin calendario de vencimientos; 2) informe del 4T25: igual; 3) página de deuda y calificaciones de la empresa: da el rating, no el calendario [31].</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(MSCI, ISS, CDP)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Documentos leídos de la empresa: no las citan; 2) búsqueda web «Equinor ESG rating MSCI Sustainalytics 2026»: solo el agregador KnowESG con Sustainalytics de nov-2025 [32]; 3) la misma búsqueda no dio la letra de MSCI ni el CDP.</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Parcial: solo Sustainalytics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geografias e ingresos por segmento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del 4T25: resultado por segmento, ventas por segmento con transferencias internas; 2) XBRL de la SEC: dimensiones no extraídas; 3) informe del 2T26: igual.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Equinor ASA: XBRL de los informes 20-F 2017-2025 (API companyfacts, taxonomía ifrs-full)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Equinor ASA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https://data.sec.gov/api/xbrl/companyfacts/CIK0001140625.json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Fourth quarter 2025: Financial statements and review (cuentas 2024-2025)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Equinor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https://cdn.sanity.io/files/h61q9gi9/global/a16ada304291bf3d03e3a5dba0ddd68031b143da.pdf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Q4 and FY2025 results: presentación del consejero delegado y del director financiero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Equinor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https://cdn.sanity.io/files/h61q9gi9/global/74368cc3c5227cb39c30d700443c4b37fd49b2cb.pdf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First quarter 2026: Financial statements and review</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Equinor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https://cdn.sanity.io/files/h61q9gi9/global/53aaf7c1ee7944aea232befdf1c95d6c872a6a76.pdf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Second quarter 2026: Financial statements and review</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Equinor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https://cdn.sanity.io/files/h61q9gi9/global/c0440c05d52a88d521781730b795e0bb635703ba.pdf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Second quarter 2026 results: presentación del director financiero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Equinor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https://cdn.sanity.io/files/h61q9gi9/global/634ef1d232840f68e2393caf4bd400efc9f200eb.pdf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Equinor second quarter 2026 results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Equinor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https://www.equinor.com/en/news/equinor-second-quarter-2026-results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Equinor’s Capital Markets Day 2026 (comunicado)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Equinor ASA /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https://mfn.se/one/a/equinor/equinors-capital-markets-day-2026-6fa5d9f5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Equinor ASA: Share buy-back – third tranche for 2026 (5-9 de octubre)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Equinor ASA /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https://mfn.se/one/a/equinor/equinor-asa-share-buy-back-third-tranche-for-2026-86c9a59b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Comunicados de Equinor ASA y calendario financiero (dividendos, junta, resultados del 3T26 el 28-oct-2026)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https://mfn.se/all/a/equinor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EQNR.OL, Oslo Børs Benchmark (OSEBX.OL) e iShares STOXX Europe 600 Oil &amp; Gas (EXH1.DE)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(herramientas/bolsa.mjs y movimiento.mjs)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https://finance.yahoo.com/quote/EQNR.OL/history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Equinor ASA (EQNR): Analysis (estimaciones de BPA y ventas, tendencia)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https://finance.yahoo.com/quote/EQNR/analysis/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Equinor ASA (OSL: EQNR): statistics (capitalización, acciones, objetivo de 25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https://stockanalysis.com/quote/osl/EQNR/statistics/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Equinor ASA (EQNR): analyst forecast (7 analistas, S&amp;P Global)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https://stockanalysis.com/stocks/eqnr/forecast/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(15-oct-2026) e histórico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Yield on U.S. Treasury Securities at 10-Year Constant Maturity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FRED, Reserva Federal de St. Louis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Futuros del Brent (BZ=F, BZZ27.NYM, BZZ28.NYM) y del TTF holandés (TTF=F)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https://finance.yahoo.com/quote/BZ%3DF/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Natural gas: online prices (TTF mes siguiente y calendarios 2027 y 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oEnergetice.cz</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https://oenergetice.cz/en/energostat/online-prices/natural-gas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Board of directors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Equinor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https://www.equinor.com/about-us/board-of-directors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Shell, BP, TotalEnergies fall as oil slumps on Iran ceasefire (Equinor −13 %)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Invezz</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https://invezz.com/news/2026/04/08/shell-bp-totalenergies-fall-as-oil-slumps-on-iran-ceasefire/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Equinor Profit Jumps on Wartime Energy Prices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Offshore Engineer (Reuters)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https://www.oedigital.com/amp/news/541398-equinor-profit-jumps-on-wartime-energy-prices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Aker BP ASA (OSL: AKRBP):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https://stockanalysis.com/quote/osl/AKRBP/statistics/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del sector (ExxonMobil, Chevron, Shell, BP, Eni) de Stock Analysis y múltiplos de TotalEnergies, recogidos el 15-oct-2026 en el informe de TotalEnergies del repositorio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 informes/totalenergies-2026-10-15</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https://stockanalysis.com/stocks/xom/statistics/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Goldman Sachs conferma la previsione di 60 euro/MWh sul gas al TTF nel terzo trimestre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Teleborsa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https://www.teleborsa.it/News/2026/08/06/goldman-sachs-conferma-la-previsione-di-60-euro-mwh-sul-gas-al-ttf-nel-terzo-trimestre-2026-165.html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Invitation to consensus 3Q 2026 (resultados del 3T26 el 28-oct-2026)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Equinor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https://www.equinor.com/news/20261007-invitation-to-consensus-3q-2026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Equinor fourth quarter and full year 2025 results (nota de prensa: dividendo de 0,39 USD, recompra de 1.500 M para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Equinor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https://equinor.com/news/equinor-fourth-quarter-and-full-year-2025-results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Equinor ASA: News and Analysis (titulares de septiembre y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(RSS)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https://seekingalpha.com/api/sa/combined/EQNR.xml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Stream $EQNR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(API pública)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https://api.stocktwits.com/api/2/streams/symbol/EQNR.json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 anuales ESEF 2021-2024 (contraste del XBRL de la SEC)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Equinor ASA / filings.xbrl.org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https://filings.xbrl.org/2138003319Y7NM75FG53/2024-12-31/ESEF/NO/0/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Our debt and credit ratings (AA− S&amp;P, Aa2 Moody's, a 31-mar-2026)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Equinor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https://www.equinor.com/investors/debt-and-credit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Equinor ASA ESG Ratings &amp; Risk Scores (Sustainalytics 34,9)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KnowESG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https://www.knowesg.com/esg-ratings/equinor-asa</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80,3 %</w:t>
      </w:r>
      <w:r>
        <w:t xml:space="preserve"> · Secciones con menos del 60 % de campos cubiertos: </w:t>
      </w:r>
      <w:r>
        <w:rPr>
          <w:b/>
          <w:bCs/>
        </w:rPr>
        <w:t xml:space="preserve">gobierno, transacciones, calidad, consenso</w:t>
      </w:r>
      <w:r>
        <w:t xml:space="preserve"> · Generado el 15 oct 2026.</w:t>
      </w:r>
    </w:p>
    <w:p>
      <w:pPr>
        <w:pStyle w:val="Nota"/>
        <w:spacing w:after="100"/>
      </w:pPr>
      <w:r>
        <w:t xml:space="preserve">Cuentas en USD, la divisa en la que publica Equinor; la acción cotiza en NOK en Oslo y el precio (429,30 NOK, cierre del 15-oct-2026) se pasa a USD con el tipo cruzado del BCE de ese día (1,1208 USD/EUR y 10,6520 NOK/EUR: 0,10522 USD por NOK) [16]. Los cierres de cada ejercicio, con el tipo cruzado del BCE del último día hábil. Las series 2020-2025 salen del XBRL de los 20-F en la SEC (taxonomía NIIF) [1], contrastadas con el informe del 4T25 [2] y con el ESEF de 2021-2024 [30]; 2023-2025 incluyen la reexpresión de las garantías de derivados del 1T25 (caja y flujo operativo). Los ingresos son la línea «Revenues», sin participadas ni otros ingresos; el EBITDA es el resultado operativo más amortizaciones y deterioros, sin participadas, y los otros ingresos (plusvalías por venta de activos) van como no recurrentes. El DPA es el reconocido en cada año (cuarto trimestre del anterior y tres primeros del año), no el declarado por ejercicio. Las acciones (2.357 M) son una estimación propia: 2.379 M en circulación tras las compras del tramo 3 [9] menos las del Estado que se amortizarán en mayo de 2027. Sin lectura del informe anual integrado completo: gobierno, remuneración y accionariado con menos detalle. Los comparables, de Stock Analysis del 15-oct, recogidos en parte en el informe de TotalEnergies del mismo día [24].</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15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Equinor ASA (EQNR)</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45,17</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Cotización 52 semanas (23,82 – 45,70)</c:v>
                </c:pt>
                <c:pt idx="1">
                  <c:v>Comparables: PER NTM (43,88 – 64,80)</c:v>
                </c:pt>
                <c:pt idx="2">
                  <c:v>DCF (WACC y g ± 0,5) (42,31 – 50,64)</c:v>
                </c:pt>
                <c:pt idx="3">
                  <c:v>Escenarios (bajista – alcista) (32,57 – 60,08)</c:v>
                </c:pt>
                <c:pt idx="4">
                  <c:v>DCF con la prima implícita del mercado (4,2 %)</c:v>
                </c:pt>
                <c:pt idx="5">
                  <c:v>Precio actual (45,17)</c:v>
                </c:pt>
              </c:strCache>
            </c:strRef>
          </c:cat>
          <c:val>
            <c:numRef>
              <c:f>Hoja1!$B$2:$B$7</c:f>
              <c:numCache>
                <c:formatCode>#,##0.0</c:formatCode>
                <c:ptCount val="6"/>
                <c:pt idx="0">
                  <c:v>23.82</c:v>
                </c:pt>
                <c:pt idx="1">
                  <c:v>43.88</c:v>
                </c:pt>
                <c:pt idx="2">
                  <c:v>42.31</c:v>
                </c:pt>
                <c:pt idx="3">
                  <c:v>32.57</c:v>
                </c:pt>
                <c:pt idx="4">
                  <c:v>48.5</c:v>
                </c:pt>
                <c:pt idx="5">
                  <c:v>44.94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Cotización 52 semanas (23,82 – 45,70)</c:v>
                </c:pt>
                <c:pt idx="1">
                  <c:v>Comparables: PER NTM (43,88 – 64,80)</c:v>
                </c:pt>
                <c:pt idx="2">
                  <c:v>DCF (WACC y g ± 0,5) (42,31 – 50,64)</c:v>
                </c:pt>
                <c:pt idx="3">
                  <c:v>Escenarios (bajista – alcista) (32,57 – 60,08)</c:v>
                </c:pt>
                <c:pt idx="4">
                  <c:v>DCF con la prima implícita del mercado (4,2 %)</c:v>
                </c:pt>
                <c:pt idx="5">
                  <c:v>Precio actual (45,17)</c:v>
                </c:pt>
              </c:strCache>
            </c:strRef>
          </c:cat>
          <c:val>
            <c:numRef>
              <c:f>Hoja1!$C$2:$C$7</c:f>
              <c:numCache>
                <c:formatCode>#,##0.0</c:formatCode>
                <c:ptCount val="6"/>
                <c:pt idx="0">
                  <c:v>21.880000000000003</c:v>
                </c:pt>
                <c:pt idx="1">
                  <c:v>20.919999999999995</c:v>
                </c:pt>
                <c:pt idx="2">
                  <c:v>8.329999999999998</c:v>
                </c:pt>
                <c:pt idx="3">
                  <c:v>27.509999999999998</c:v>
                </c:pt>
                <c:pt idx="4">
                  <c:v>6.869999999999997</c:v>
                </c:pt>
                <c:pt idx="5">
                  <c:v>0.46000000000000085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3</c:v>
                </c:pt>
                <c:pt idx="2">
                  <c:v>4</c:v>
                </c:pt>
                <c:pt idx="3">
                  <c:v>1</c:v>
                </c:pt>
                <c:pt idx="4">
                  <c:v>4</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Equinor</c:v>
                </c:pt>
                <c:pt idx="1">
                  <c:v>Aker BP</c:v>
                </c:pt>
                <c:pt idx="2">
                  <c:v>TotalEnergies</c:v>
                </c:pt>
                <c:pt idx="3">
                  <c:v>Shell</c:v>
                </c:pt>
                <c:pt idx="4">
                  <c:v>Eni</c:v>
                </c:pt>
                <c:pt idx="5">
                  <c:v>ExxonMobil</c:v>
                </c:pt>
              </c:strCache>
            </c:strRef>
          </c:cat>
          <c:val>
            <c:numRef>
              <c:f>Hoja1!$B$2:$B$7</c:f>
              <c:numCache>
                <c:formatCode>0.0"%"</c:formatCode>
                <c:ptCount val="6"/>
                <c:pt idx="0">
                  <c:v>23.4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1</c:v>
                </c:pt>
                <c:pt idx="2">
                  <c:v>2</c:v>
                </c:pt>
                <c:pt idx="3">
                  <c:v>3</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Hoja1!$A$2:$A$17</c:f>
              <c:strCache>
                <c:ptCount val="16"/>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pt idx="14">
                  <c:v>2034e</c:v>
                </c:pt>
                <c:pt idx="15">
                  <c:v>2035e</c:v>
                </c:pt>
              </c:strCache>
            </c:strRef>
          </c:cat>
          <c:val>
            <c:numRef>
              <c:f>Hoja1!$B$2:$B$17</c:f>
              <c:numCache>
                <c:formatCode>#,##0</c:formatCode>
                <c:ptCount val="16"/>
                <c:pt idx="0">
                  <c:v>45765</c:v>
                </c:pt>
                <c:pt idx="1">
                  <c:v>88744</c:v>
                </c:pt>
                <c:pt idx="2">
                  <c:v>149004</c:v>
                </c:pt>
                <c:pt idx="3">
                  <c:v>106848</c:v>
                </c:pt>
                <c:pt idx="4">
                  <c:v>102502</c:v>
                </c:pt>
                <c:pt idx="5">
                  <c:v>105828</c:v>
                </c:pt>
                <c:pt idx="6">
                  <c:v>132285</c:v>
                </c:pt>
                <c:pt idx="7">
                  <c:v>128316</c:v>
                </c:pt>
                <c:pt idx="8">
                  <c:v>116768</c:v>
                </c:pt>
                <c:pt idx="9">
                  <c:v>113265</c:v>
                </c:pt>
                <c:pt idx="10">
                  <c:v>114964</c:v>
                </c:pt>
                <c:pt idx="11">
                  <c:v>116688</c:v>
                </c:pt>
                <c:pt idx="12">
                  <c:v>117855</c:v>
                </c:pt>
                <c:pt idx="13">
                  <c:v>119034</c:v>
                </c:pt>
                <c:pt idx="14">
                  <c:v>119629</c:v>
                </c:pt>
                <c:pt idx="15">
                  <c:v>120227</c:v>
                </c:pt>
              </c:numCache>
            </c:numRef>
          </c:val>
        </c:ser>
        <c:ser>
          <c:idx val="1"/>
          <c:order val="1"/>
          <c:tx>
            <c:strRef>
              <c:f>Hoja1!$C$1</c:f>
              <c:strCache>
                <c:ptCount val="1"/>
                <c:pt idx="0">
                  <c:v>EBITDA</c:v>
                </c:pt>
              </c:strCache>
            </c:strRef>
          </c:tx>
          <c:spPr>
            <a:solidFill>
              <a:srgbClr val="EB6834"/>
            </a:solidFill>
            <a:ln w="9525">
              <a:noFill/>
            </a:ln>
          </c:spPr>
          <c:invertIfNegative val="0"/>
          <c:cat>
            <c:strRef>
              <c:f>Hoja1!$A$2:$A$17</c:f>
              <c:strCache>
                <c:ptCount val="16"/>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pt idx="14">
                  <c:v>2034e</c:v>
                </c:pt>
                <c:pt idx="15">
                  <c:v>2035e</c:v>
                </c:pt>
              </c:strCache>
            </c:strRef>
          </c:cat>
          <c:val>
            <c:numRef>
              <c:f>Hoja1!$C$2:$C$17</c:f>
              <c:numCache>
                <c:formatCode>#,##0</c:formatCode>
                <c:ptCount val="16"/>
                <c:pt idx="0">
                  <c:v>11747</c:v>
                </c:pt>
                <c:pt idx="1">
                  <c:v>43202</c:v>
                </c:pt>
                <c:pt idx="2">
                  <c:v>83400</c:v>
                </c:pt>
                <c:pt idx="3">
                  <c:v>46078</c:v>
                </c:pt>
                <c:pt idx="4">
                  <c:v>39490</c:v>
                </c:pt>
                <c:pt idx="5">
                  <c:v>37036</c:v>
                </c:pt>
                <c:pt idx="6">
                  <c:v>57544</c:v>
                </c:pt>
                <c:pt idx="7">
                  <c:v>56459</c:v>
                </c:pt>
                <c:pt idx="8">
                  <c:v>47291</c:v>
                </c:pt>
                <c:pt idx="9">
                  <c:v>43607</c:v>
                </c:pt>
                <c:pt idx="10">
                  <c:v>43686</c:v>
                </c:pt>
                <c:pt idx="11">
                  <c:v>43758</c:v>
                </c:pt>
                <c:pt idx="12">
                  <c:v>43606</c:v>
                </c:pt>
                <c:pt idx="13">
                  <c:v>44043</c:v>
                </c:pt>
                <c:pt idx="14">
                  <c:v>44263</c:v>
                </c:pt>
                <c:pt idx="15">
                  <c:v>44484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54.1</c:v>
                </c:pt>
                <c:pt idx="1">
                  <c:v>60.4</c:v>
                </c:pt>
                <c:pt idx="2">
                  <c:v>63.9</c:v>
                </c:pt>
                <c:pt idx="3">
                  <c:v>54.9</c:v>
                </c:pt>
                <c:pt idx="4">
                  <c:v>51.2</c:v>
                </c:pt>
                <c:pt idx="5">
                  <c:v>47.9</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25.7</c:v>
                </c:pt>
                <c:pt idx="1">
                  <c:v>48.7</c:v>
                </c:pt>
                <c:pt idx="2">
                  <c:v>56</c:v>
                </c:pt>
                <c:pt idx="3">
                  <c:v>43.1</c:v>
                </c:pt>
                <c:pt idx="4">
                  <c:v>38.5</c:v>
                </c:pt>
                <c:pt idx="5">
                  <c:v>35</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-7.6</c:v>
                </c:pt>
                <c:pt idx="1">
                  <c:v>35.5</c:v>
                </c:pt>
                <c:pt idx="2">
                  <c:v>51.7</c:v>
                </c:pt>
                <c:pt idx="3">
                  <c:v>33.2</c:v>
                </c:pt>
                <c:pt idx="4">
                  <c:v>28.9</c:v>
                </c:pt>
                <c:pt idx="5">
                  <c:v>23.4</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Hoja1!$E$2:$E$7</c:f>
              <c:numCache>
                <c:formatCode>0"%"</c:formatCode>
                <c:ptCount val="6"/>
                <c:pt idx="0">
                  <c:v>-12</c:v>
                </c:pt>
                <c:pt idx="1">
                  <c:v>9.6</c:v>
                </c:pt>
                <c:pt idx="2">
                  <c:v>19.3</c:v>
                </c:pt>
                <c:pt idx="3">
                  <c:v>11.1</c:v>
                </c:pt>
                <c:pt idx="4">
                  <c:v>8.6</c:v>
                </c:pt>
                <c:pt idx="5">
                  <c:v>4.8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Hoja1!$A$2:$A$7</c:f>
              <c:strCache>
                <c:ptCount val="6"/>
                <c:pt idx="0">
                  <c:v>1T25</c:v>
                </c:pt>
                <c:pt idx="1">
                  <c:v>2T25</c:v>
                </c:pt>
                <c:pt idx="2">
                  <c:v>3T25</c:v>
                </c:pt>
                <c:pt idx="3">
                  <c:v>4T25</c:v>
                </c:pt>
                <c:pt idx="4">
                  <c:v>1T26</c:v>
                </c:pt>
                <c:pt idx="5">
                  <c:v>2T26</c:v>
                </c:pt>
              </c:strCache>
            </c:strRef>
          </c:cat>
          <c:val>
            <c:numRef>
              <c:f>Hoja1!$B$2:$B$7</c:f>
              <c:numCache>
                <c:formatCode>0.0"%"</c:formatCode>
                <c:ptCount val="6"/>
                <c:pt idx="3">
                  <c:v>-4.7</c:v>
                </c:pt>
                <c:pt idx="4">
                  <c:v>-5.3</c:v>
                </c:pt>
                <c:pt idx="5">
                  <c:v>37.4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66</c:v>
                </c:pt>
                <c:pt idx="1">
                  <c:v>74</c:v>
                </c:pt>
                <c:pt idx="2">
                  <c:v>55</c:v>
                </c:pt>
                <c:pt idx="3">
                  <c:v>45</c:v>
                </c:pt>
                <c:pt idx="4">
                  <c:v>48</c:v>
                </c:pt>
                <c:pt idx="5">
                  <c:v>37</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33</c:v>
                </c:pt>
                <c:pt idx="1">
                  <c:v>27</c:v>
                </c:pt>
                <c:pt idx="2">
                  <c:v>29</c:v>
                </c:pt>
                <c:pt idx="3">
                  <c:v>23</c:v>
                </c:pt>
                <c:pt idx="4">
                  <c:v>23</c:v>
                </c:pt>
                <c:pt idx="5">
                  <c:v>18</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113</c:v>
                </c:pt>
                <c:pt idx="1">
                  <c:v>115</c:v>
                </c:pt>
                <c:pt idx="2">
                  <c:v>74</c:v>
                </c:pt>
                <c:pt idx="3">
                  <c:v>71</c:v>
                </c:pt>
                <c:pt idx="4">
                  <c:v>64</c:v>
                </c:pt>
                <c:pt idx="5">
                  <c:v>51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633</c:v>
                </c:pt>
                <c:pt idx="1">
                  <c:v>19538</c:v>
                </c:pt>
                <c:pt idx="2">
                  <c:v>25012</c:v>
                </c:pt>
                <c:pt idx="3">
                  <c:v>17260</c:v>
                </c:pt>
                <c:pt idx="4">
                  <c:v>5797</c:v>
                </c:pt>
                <c:pt idx="5">
                  <c:v>4518</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-5510</c:v>
                </c:pt>
                <c:pt idx="1">
                  <c:v>8563</c:v>
                </c:pt>
                <c:pt idx="2">
                  <c:v>28746</c:v>
                </c:pt>
                <c:pt idx="3">
                  <c:v>11885</c:v>
                </c:pt>
                <c:pt idx="4">
                  <c:v>8806</c:v>
                </c:pt>
                <c:pt idx="5">
                  <c:v>5043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-4.9</c:v>
                </c:pt>
                <c:pt idx="1">
                  <c:v>40.4</c:v>
                </c:pt>
                <c:pt idx="2">
                  <c:v>106.4</c:v>
                </c:pt>
                <c:pt idx="3">
                  <c:v>47.3</c:v>
                </c:pt>
                <c:pt idx="4">
                  <c:v>37.8</c:v>
                </c:pt>
                <c:pt idx="5">
                  <c:v>28.6</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9.4</c:v>
                </c:pt>
                <c:pt idx="1">
                  <c:v>9.4</c:v>
                </c:pt>
                <c:pt idx="2">
                  <c:v>9.4</c:v>
                </c:pt>
                <c:pt idx="3">
                  <c:v>9.4</c:v>
                </c:pt>
                <c:pt idx="4">
                  <c:v>9.4</c:v>
                </c:pt>
                <c:pt idx="5">
                  <c:v>9.4</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-16.3</c:v>
                </c:pt>
                <c:pt idx="1">
                  <c:v>23.5</c:v>
                </c:pt>
                <c:pt idx="2">
                  <c:v>61.8</c:v>
                </c:pt>
                <c:pt idx="3">
                  <c:v>23.2</c:v>
                </c:pt>
                <c:pt idx="4">
                  <c:v>19.4</c:v>
                </c:pt>
                <c:pt idx="5">
                  <c:v>12.2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1.66</c:v>
                </c:pt>
                <c:pt idx="1">
                  <c:v>0.02</c:v>
                </c:pt>
                <c:pt idx="2">
                  <c:v>-0.09</c:v>
                </c:pt>
                <c:pt idx="3">
                  <c:v>-0.12</c:v>
                </c:pt>
                <c:pt idx="4">
                  <c:v>0.22</c:v>
                </c:pt>
                <c:pt idx="5">
                  <c:v>0.32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0</c:v>
                </c:pt>
                <c:pt idx="1">
                  <c:v>111</c:v>
                </c:pt>
                <c:pt idx="2">
                  <c:v>0</c:v>
                </c:pt>
                <c:pt idx="3">
                  <c:v>1195</c:v>
                </c:pt>
                <c:pt idx="4">
                  <c:v>4210</c:v>
                </c:pt>
                <c:pt idx="5">
                  <c:v>926</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2330</c:v>
                </c:pt>
                <c:pt idx="1">
                  <c:v>1797</c:v>
                </c:pt>
                <c:pt idx="2">
                  <c:v>5380</c:v>
                </c:pt>
                <c:pt idx="3">
                  <c:v>10906</c:v>
                </c:pt>
                <c:pt idx="4">
                  <c:v>8578</c:v>
                </c:pt>
                <c:pt idx="5">
                  <c:v>4791</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1059</c:v>
                </c:pt>
                <c:pt idx="1">
                  <c:v>321</c:v>
                </c:pt>
                <c:pt idx="2">
                  <c:v>3315</c:v>
                </c:pt>
                <c:pt idx="3">
                  <c:v>5589</c:v>
                </c:pt>
                <c:pt idx="4">
                  <c:v>6013</c:v>
                </c:pt>
                <c:pt idx="5">
                  <c:v>5916</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Otro externo</c:v>
                </c:pt>
              </c:strCache>
            </c:strRef>
          </c:cat>
          <c:val>
            <c:numRef>
              <c:f>Hoja1!$B$2:$B$3</c:f>
              <c:numCache>
                <c:formatCode>0</c:formatCode>
                <c:ptCount val="2"/>
                <c:pt idx="0">
                  <c:v>6</c:v>
                </c:pt>
                <c:pt idx="1">
                  <c:v>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Estado noruego (Ministerio de Comercio, Industria y Pesca)</c:v>
                </c:pt>
                <c:pt idx="1">
                  <c:v>Autocartera</c:v>
                </c:pt>
              </c:strCache>
            </c:strRef>
          </c:cat>
          <c:val>
            <c:numRef>
              <c:f>Hoja1!$B$2:$B$3</c:f>
              <c:numCache>
                <c:formatCode>0.0"%"</c:formatCode>
                <c:ptCount val="2"/>
                <c:pt idx="0">
                  <c:v>67</c:v>
                </c:pt>
                <c:pt idx="1">
                  <c:v>0.93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35.5</c:v>
                </c:pt>
                <c:pt idx="1">
                  <c:v>15.9</c:v>
                </c:pt>
                <c:pt idx="2">
                  <c:v>8.8</c:v>
                </c:pt>
                <c:pt idx="3">
                  <c:v>0.6</c:v>
                </c:pt>
                <c:pt idx="4">
                  <c:v>-13.5</c:v>
                </c:pt>
                <c:pt idx="5">
                  <c:v>66</c:v>
                </c:pt>
                <c:pt idx="6">
                  <c:v>55.8</c:v>
                </c:pt>
                <c:pt idx="7">
                  <c:v>-5</c:v>
                </c:pt>
                <c:pt idx="8">
                  <c:v>-7.4</c:v>
                </c:pt>
                <c:pt idx="9">
                  <c:v>-3.7</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12.1</c:v>
                </c:pt>
                <c:pt idx="1">
                  <c:v>19.1</c:v>
                </c:pt>
                <c:pt idx="2">
                  <c:v>-1.8</c:v>
                </c:pt>
                <c:pt idx="3">
                  <c:v>16.5</c:v>
                </c:pt>
                <c:pt idx="4">
                  <c:v>4.6</c:v>
                </c:pt>
                <c:pt idx="5">
                  <c:v>23.4</c:v>
                </c:pt>
                <c:pt idx="6">
                  <c:v>-1</c:v>
                </c:pt>
                <c:pt idx="7">
                  <c:v>9.9</c:v>
                </c:pt>
                <c:pt idx="8">
                  <c:v>9.1</c:v>
                </c:pt>
                <c:pt idx="9">
                  <c:v>18.4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6.4</c:v>
                </c:pt>
                <c:pt idx="1">
                  <c:v>2</c:v>
                </c:pt>
                <c:pt idx="2">
                  <c:v>1.3</c:v>
                </c:pt>
                <c:pt idx="3">
                  <c:v>2</c:v>
                </c:pt>
                <c:pt idx="4">
                  <c:v>1.9</c:v>
                </c:pt>
                <c:pt idx="5">
                  <c:v>2</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0.0"x"</c:formatCode>
                <c:ptCount val="6"/>
                <c:pt idx="0">
                  <c:v>2</c:v>
                </c:pt>
                <c:pt idx="1">
                  <c:v>2</c:v>
                </c:pt>
                <c:pt idx="2">
                  <c:v>2</c:v>
                </c:pt>
                <c:pt idx="3">
                  <c:v>2</c:v>
                </c:pt>
                <c:pt idx="4">
                  <c:v>2</c:v>
                </c:pt>
                <c:pt idx="5">
                  <c:v>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13005</c:v>
                </c:pt>
                <c:pt idx="1">
                  <c:v>12944</c:v>
                </c:pt>
                <c:pt idx="2">
                  <c:v>10002</c:v>
                </c:pt>
                <c:pt idx="3">
                  <c:v>9258</c:v>
                </c:pt>
                <c:pt idx="4">
                  <c:v>9129</c:v>
                </c:pt>
                <c:pt idx="5">
                  <c:v>9208</c:v>
                </c:pt>
                <c:pt idx="6">
                  <c:v>9264</c:v>
                </c:pt>
                <c:pt idx="7">
                  <c:v>9476</c:v>
                </c:pt>
                <c:pt idx="8">
                  <c:v>9666</c:v>
                </c:pt>
                <c:pt idx="9">
                  <c:v>9714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63339</c:v>
                </c:pt>
                <c:pt idx="1">
                  <c:v>51546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45,17</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32.57</c:v>
                </c:pt>
                <c:pt idx="1">
                  <c:v>46</c:v>
                </c:pt>
                <c:pt idx="2">
                  <c:v>60.08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45,17</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Cotización 52 semanas (23,82 – 45,70)</c:v>
                </c:pt>
                <c:pt idx="1">
                  <c:v>Comparables: PER NTM (43,88 – 64,80)</c:v>
                </c:pt>
                <c:pt idx="2">
                  <c:v>DCF (WACC y g ± 0,5) (42,31 – 50,64)</c:v>
                </c:pt>
                <c:pt idx="3">
                  <c:v>Escenarios (bajista – alcista) (32,57 – 60,08)</c:v>
                </c:pt>
                <c:pt idx="4">
                  <c:v>DCF con la prima implícita del mercado (4,2 %)</c:v>
                </c:pt>
                <c:pt idx="5">
                  <c:v>Precio actual (45,17)</c:v>
                </c:pt>
              </c:strCache>
            </c:strRef>
          </c:cat>
          <c:val>
            <c:numRef>
              <c:f>Hoja1!$B$2:$B$7</c:f>
              <c:numCache>
                <c:formatCode>#,##0.0</c:formatCode>
                <c:ptCount val="6"/>
                <c:pt idx="0">
                  <c:v>23.82</c:v>
                </c:pt>
                <c:pt idx="1">
                  <c:v>43.88</c:v>
                </c:pt>
                <c:pt idx="2">
                  <c:v>42.31</c:v>
                </c:pt>
                <c:pt idx="3">
                  <c:v>32.57</c:v>
                </c:pt>
                <c:pt idx="4">
                  <c:v>48.5</c:v>
                </c:pt>
                <c:pt idx="5">
                  <c:v>44.94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Cotización 52 semanas (23,82 – 45,70)</c:v>
                </c:pt>
                <c:pt idx="1">
                  <c:v>Comparables: PER NTM (43,88 – 64,80)</c:v>
                </c:pt>
                <c:pt idx="2">
                  <c:v>DCF (WACC y g ± 0,5) (42,31 – 50,64)</c:v>
                </c:pt>
                <c:pt idx="3">
                  <c:v>Escenarios (bajista – alcista) (32,57 – 60,08)</c:v>
                </c:pt>
                <c:pt idx="4">
                  <c:v>DCF con la prima implícita del mercado (4,2 %)</c:v>
                </c:pt>
                <c:pt idx="5">
                  <c:v>Precio actual (45,17)</c:v>
                </c:pt>
              </c:strCache>
            </c:strRef>
          </c:cat>
          <c:val>
            <c:numRef>
              <c:f>Hoja1!$C$2:$C$7</c:f>
              <c:numCache>
                <c:formatCode>#,##0.0</c:formatCode>
                <c:ptCount val="6"/>
                <c:pt idx="0">
                  <c:v>21.880000000000003</c:v>
                </c:pt>
                <c:pt idx="1">
                  <c:v>20.919999999999995</c:v>
                </c:pt>
                <c:pt idx="2">
                  <c:v>8.329999999999998</c:v>
                </c:pt>
                <c:pt idx="3">
                  <c:v>27.509999999999998</c:v>
                </c:pt>
                <c:pt idx="4">
                  <c:v>6.869999999999997</c:v>
                </c:pt>
                <c:pt idx="5">
                  <c:v>0.46000000000000085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