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Everpure, Inc. (antes Pure Storage, Inc.)</w:t>
      </w:r>
    </w:p>
    <w:p>
      <w:pPr>
        <w:spacing w:after="60"/>
        <w:rPr>
          <w:color w:val="52514E"/>
          <w:sz w:val="22"/>
          <w:szCs w:val="22"/>
        </w:rPr>
      </w:pPr>
      <w:r>
        <w:rPr>
          <w:color w:val="52514E"/>
          <w:sz w:val="22"/>
          <w:szCs w:val="22"/>
        </w:rPr>
        <w:t xml:space="preserve">P · Bolsa de Nueva York (NYSE) · ISIN US74624M1027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141,49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220,26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+55,7 % (base +48,1 %)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40,62 USD · mercado 49,77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48.899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55,5x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Everpure, Inc. (antes Pure Storage,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 / US74624M1027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Nueva York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Hardware y almacenamiento de datos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Santa Clara (California) · 2009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https://www.everpuredata.com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141,49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56,78 – 157,57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48.899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47.891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512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220,26 USD</w:t>
      </w:r>
      <w:r>
        <w:t xml:space="preserve"> frente a 141,49 · Rentabilidad a 12 meses </w:t>
      </w:r>
      <w:r>
        <w:rPr>
          <w:b/>
          <w:bCs/>
        </w:rPr>
        <w:t xml:space="preserve">+55,7 % (base +48,1 %)</w:t>
      </w:r>
      <w:r>
        <w:t xml:space="preserve"> · Valor intrínseco 40,62 USD · con la prima implícita del mercado: 49,77 (-64,8 %) · Alcista / bajista -60,0 % / -84,0 %</w:t>
      </w:r>
    </w:p>
    <w:p>
      <w:pPr>
        <w:spacing w:after="100"/>
      </w:pPr>
      <w:r>
        <w:rPr>
          <w:b/>
        </w:rPr>
        <w:t xml:space="preserve">La recomendación y por qué.</w:t>
      </w:r>
      <w:r>
        <w:t xml:space="preserve"> Mantener con convicción media, que en la práctica es «no comprar»: el valor intrínseco es de 40,62 USD, un 71,3 % por debajo del precio de 141,49 USD, y la calidad no llega al umbral. La regla de múltiplos da un objetivo a 12 meses de 220,26 USD (+55,7 % ponderada; +48,1 % en el base), muy por encima del objetivo medio de 20 analistas (151,11 USD), pero esa cifra sale de mantener un PER de 66-74 veces sobre un beneficio que se triplica, no de lo que vale el negocio. La convicción es media porque las dos reglas coinciden y el valor intrínseco está lejos del precio; subiría a alta si el precio bajara hacia 40,62 USD con márgenes GAAP al alza, y bajaría si el margen bruto cayera por debajo del 66 %.</w:t>
      </w:r>
    </w:p>
    <w:p>
      <w:pPr>
        <w:spacing w:after="100"/>
      </w:pPr>
      <w:r>
        <w:rPr>
          <w:b/>
        </w:rPr>
        <w:t xml:space="preserve">El negocio.</w:t>
      </w:r>
      <w:r>
        <w:t xml:space="preserve"> Everpure vende almacenamiento 100 % flash a grandes empresas y, desde 2024, licencia su tecnología DirectFlash a hiperescaladores: dos de los cinco mayores ya la usan [3]. Crece un 38 % y la RPO un 44 % [3]. Pero en GAAP apenas gana dinero: margen operativo del 3,1 % en FY2026, pagos en acciones del 13,2 % de las ventas y un ROIC operativo del 10,7 % frente a un WACC del 13,46 % [2]. La sostenibilidad del crecimiento es «En parte»: el crecimiento no necesita capital (circulante negativo), pero la rentabilidad que debería sostenerlo aún no existe y parte del +38 % es precio de la flash.</w:t>
      </w:r>
    </w:p>
    <w:p>
      <w:pPr>
        <w:spacing w:after="100"/>
      </w:pPr>
      <w:r>
        <w:rPr>
          <w:b/>
        </w:rPr>
        <w:t xml:space="preserve">Finanzas.</w:t>
      </w:r>
      <w:r>
        <w:t xml:space="preserve"> Sin deuda y con 1.007,9 M USD de caja y valores [3]. El flujo libre, alto hasta FY2026, se ha ido a recompras que solo compensan la dilución y, en 2026, a ≈700 M USD de anticipos a proveedores de memoria, que dejaron el flujo libre del 2T FY27 en −237,6 M [3].</w:t>
      </w:r>
    </w:p>
    <w:p>
      <w:pPr>
        <w:spacing w:after="100"/>
      </w:pPr>
      <w:r>
        <w:rPr>
          <w:b/>
        </w:rPr>
        <w:t xml:space="preserve">Equipo y gobierno.</w:t>
      </w:r>
      <w:r>
        <w:t xml:space="preserve"> Giancarlo cumple en ingresos y falla en márgenes; preside el consejo, que es escalonado y sin consejero coordinador. La dirección ha vendido 338,8 M USD en 12 meses y no ha comprado nada [22]. La remuneración premia ingresos y margen ajustado, no la rentabilidad del capital.</w:t>
      </w:r>
    </w:p>
    <w:p>
      <w:pPr>
        <w:spacing w:after="100"/>
      </w:pPr>
      <w:r>
        <w:rPr>
          <w:b/>
        </w:rPr>
        <w:t xml:space="preserve">Valoración.</w:t>
      </w:r>
      <w:r>
        <w:t xml:space="preserve"> El DCF da 40,88 USD; el precio descuenta un crecimiento del 35,3 % anual en los años no fijos frente al 13,1 % de nuestro base, o una rentabilidad implícita del 6,0 %, por debajo del bono. Ni el alcista (56,55 USD) se acerca. Nuestro BPA coincide casi con el consenso (2,87 frente a 3,06 en FY2029e): la discrepancia con el mercado es de precio, no de cifras.</w:t>
      </w:r>
    </w:p>
    <w:p>
      <w:pPr>
        <w:spacing w:after="100"/>
      </w:pPr>
      <w:r>
        <w:rPr>
          <w:b/>
        </w:rPr>
        <w:t xml:space="preserve">Riesgos y catalizadores.</w:t>
      </w:r>
      <w:r>
        <w:t xml:space="preserve"> El mayor es el ciclo de la NAND: si la flash se abarata, se pierde la parte de precio del crecimiento y los anticipos se consumen caros (bajista 22,65 USD). El segundo, la concentración en dos hiperescaladores. Riesgo de IA para el negocio: bajo (la IA es su demanda, no su sustituto); riesgo de expectativas ligadas a la IA: alto. Próximos resultados estimados para el 18-nov-2026. Los foros pasan de la euforia a la recogida de beneficios.</w:t>
      </w:r>
    </w:p>
    <w:p>
      <w:pPr>
        <w:spacing w:after="100"/>
      </w:pPr>
      <w:r>
        <w:rPr>
          <w:b/>
        </w:rPr>
        <w:t xml:space="preserve">Qué cambiaría la decisión.</w:t>
      </w:r>
      <w:r>
        <w:t xml:space="preserve"> Comprar por debajo de 40,62 USD (límite robusto 40,61) si además el ROIC operativo supera el 18,5 %; vender por encima de 244,73 USD. Lo que haría revisar la tesis: guía FY2028 por debajo de 6.000 M USD, pagos en acciones por debajo del 8 % de las ventas o un tercer hiperescalador.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220,26 USD</w:t>
      </w:r>
      <w:r>
        <w:t xml:space="preserve"> (rentabilidad +55,7 % (base +48,1 %)) · Valor intrínseco: 40,62 USD (-71,3 % sobre 141,49) · con la prima implícita del mercado: 49,77 (-64,8 %)</w:t>
      </w:r>
    </w:p>
    <w:p>
      <w:pPr>
        <w:spacing w:after="100"/>
      </w:pPr>
      <w:r>
        <w:t xml:space="preserve">Everpure (antes Pure Storage) es la empresa de almacenamiento flash que más crece: ingresos +38 % en el 2T FY27, dos hiperescaladores de los cinco mayores y una guía subida dos veces en 2026 [3]. La IA convierte el almacenamiento en un cuello de botella de energía y espacio, y su tecnología DirectFlash lo resuelve [1].</w:t>
      </w:r>
    </w:p>
    <w:p>
      <w:pPr>
        <w:spacing w:after="100"/>
      </w:pPr>
      <w:r>
        <w:t xml:space="preserve">El precio, 141,49 USD, descuenta un crecimiento del 35,3 % anual durante años con nuestros márgenes, o una rentabilidad implícita del 6,0 %; a 66 veces nuestro BPA FY2028e y 55,5 veces el EBITDA NTM, ya paga el éxito del objetivo FY2028 [28].</w:t>
      </w:r>
    </w:p>
    <w:p>
      <w:pPr>
        <w:spacing w:after="100"/>
      </w:pPr>
      <w:r>
        <w:t xml:space="preserve">Para invertir hay que creer que el margen GAAP pasará del 3 % al 25-30 % y que el ciclo de la flash y la hiperescala no se darán la vuelta. Los pagos en acciones (13 % de las ventas) y un ROIC operativo por debajo del WACC dicen que la calidad aún no lo demuestra.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58,4x × 2,12 = 123,81 · 73,0x × 2,87 = 209,51 · 98,6x × 3,43 = 338,20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55,7 % / 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151,11 (nuestro base +38,6 %)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 / -84,0 %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frente a 13,5 % y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(16,2 %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40,62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40,62 y 244,73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244,73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40,62 USD (valor intrínseco) con la calidad intacta.</w:t>
      </w:r>
    </w:p>
    <w:p>
      <w:pPr>
        <w:pStyle w:val="ListParagraph"/>
        <w:numPr>
          <w:ilvl w:val="0"/>
          <w:numId w:val="2"/>
        </w:numPr>
        <w:spacing w:after="60"/>
      </w:pPr>
      <w:r>
        <w:t xml:space="preserve">ROIC operativo GAAP por encima del 18,5 % (WACC + 5) durante dos ejercicios.</w:t>
      </w:r>
    </w:p>
    <w:p>
      <w:pPr>
        <w:pStyle w:val="ListParagraph"/>
        <w:numPr>
          <w:ilvl w:val="0"/>
          <w:numId w:val="2"/>
        </w:numPr>
        <w:spacing w:after="60"/>
      </w:pPr>
      <w:r>
        <w:t xml:space="preserve">Guía FY2028 por debajo de 6.000 M USD: rebaja del objetivo a 12 meses.</w:t>
      </w:r>
    </w:p>
    <w:p>
      <w:pPr>
        <w:pStyle w:val="ListParagraph"/>
        <w:numPr>
          <w:ilvl w:val="0"/>
          <w:numId w:val="2"/>
        </w:numPr>
        <w:spacing w:after="60"/>
      </w:pPr>
      <w:r>
        <w:t xml:space="preserve">Pagos en acciones por debajo del 8 % de las ventas.</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Everpure es un ganador estructural de la IA y que el beneficio GAAP se triplicará de aquí a FY2029 (consenso 3,06 USD por acción) sin que el ciclo de la flash lo estropee.</w:t>
      </w:r>
    </w:p>
    <w:p>
      <w:pPr>
        <w:keepNext/>
        <w:spacing w:after="100"/>
      </w:pPr>
      <w:r>
        <w:rPr>
          <w:b/>
          <w:bCs/>
        </w:rPr>
        <w:t xml:space="preserve">Lo que creemos nosotros.</w:t>
      </w:r>
    </w:p>
    <w:p>
      <w:pPr>
        <w:spacing w:after="100"/>
      </w:pPr>
      <w:r>
        <w:t xml:space="preserve">Compartimos el crecimiento (nuestro BPA FY2029e es 2,87), no el precio: con un coste de capital del 13,46 % y los pagos en acciones como coste, el negocio vale 40,62 USD.</w:t>
      </w:r>
    </w:p>
    <w:p>
      <w:pPr>
        <w:keepNext/>
        <w:spacing w:after="100"/>
      </w:pPr>
      <w:r>
        <w:rPr>
          <w:b/>
          <w:bCs/>
        </w:rPr>
        <w:t xml:space="preserve">Por qué podemos tener razón.</w:t>
      </w:r>
    </w:p>
    <w:p>
      <w:pPr>
        <w:spacing w:after="100"/>
      </w:pPr>
      <w:r>
        <w:t xml:space="preserve">Parte del crecimiento es precio de la NAND, la concentración en dos clientes es alta y la dirección vende.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41,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acelerado</w:t>
      </w:r>
      <w:r>
        <w:t xml:space="preserve">: ingresos +38 % y RPO +44 % en el 2T FY27 [3].</w:t>
      </w:r>
    </w:p>
    <w:p>
      <w:pPr>
        <w:pStyle w:val="ListParagraph"/>
        <w:numPr>
          <w:ilvl w:val="0"/>
          <w:numId w:val="2"/>
        </w:numPr>
        <w:spacing w:after="60"/>
      </w:pPr>
      <w:r>
        <w:rPr>
          <w:b/>
        </w:rPr>
        <w:t xml:space="preserve">Hiperescala</w:t>
      </w:r>
      <w:r>
        <w:t xml:space="preserve">: dos de los cinco mayores hiperescaladores con DirectFlash [3].</w:t>
      </w:r>
    </w:p>
    <w:p>
      <w:pPr>
        <w:pStyle w:val="ListParagraph"/>
        <w:numPr>
          <w:ilvl w:val="0"/>
          <w:numId w:val="2"/>
        </w:numPr>
        <w:spacing w:after="60"/>
      </w:pPr>
      <w:r>
        <w:rPr>
          <w:b/>
        </w:rPr>
        <w:t xml:space="preserve">Balance sin deuda</w:t>
      </w:r>
      <w:r>
        <w:t xml:space="preserve">: 1.007,9 M USD de caja y valores negociables [3].</w:t>
      </w:r>
    </w:p>
    <w:p>
      <w:pPr>
        <w:pStyle w:val="ListParagraph"/>
        <w:numPr>
          <w:ilvl w:val="0"/>
          <w:numId w:val="2"/>
        </w:numPr>
        <w:spacing w:after="60"/>
      </w:pPr>
      <w:r>
        <w:rPr>
          <w:b/>
        </w:rPr>
        <w:t xml:space="preserve">Suscripción recurrente</w:t>
      </w:r>
      <w:r>
        <w:t xml:space="preserve">: ARR de 2.100 M USD (+20 %) [3].</w:t>
      </w:r>
    </w:p>
    <w:p>
      <w:pPr>
        <w:pStyle w:val="Heading2"/>
      </w:pPr>
      <w:r>
        <w:t xml:space="preserve">En contra</w:t>
      </w:r>
    </w:p>
    <w:p>
      <w:pPr>
        <w:pStyle w:val="ListParagraph"/>
        <w:numPr>
          <w:ilvl w:val="0"/>
          <w:numId w:val="2"/>
        </w:numPr>
        <w:spacing w:after="60"/>
      </w:pPr>
      <w:r>
        <w:rPr>
          <w:b/>
        </w:rPr>
        <w:t xml:space="preserve">Valor intrínseco muy por debajo</w:t>
      </w:r>
      <w:r>
        <w:t xml:space="preserve">: 40,62 USD, un 71 % menos que el precio.</w:t>
      </w:r>
    </w:p>
    <w:p>
      <w:pPr>
        <w:pStyle w:val="ListParagraph"/>
        <w:numPr>
          <w:ilvl w:val="0"/>
          <w:numId w:val="2"/>
        </w:numPr>
        <w:spacing w:after="60"/>
      </w:pPr>
      <w:r>
        <w:rPr>
          <w:b/>
        </w:rPr>
        <w:t xml:space="preserve">Calidad insuficiente</w:t>
      </w:r>
      <w:r>
        <w:t xml:space="preserve">: ROIC operativo del 10,7 % frente a un WACC del 13,46 %.</w:t>
      </w:r>
    </w:p>
    <w:p>
      <w:pPr>
        <w:pStyle w:val="ListParagraph"/>
        <w:numPr>
          <w:ilvl w:val="0"/>
          <w:numId w:val="2"/>
        </w:numPr>
        <w:spacing w:after="60"/>
      </w:pPr>
      <w:r>
        <w:rPr>
          <w:b/>
        </w:rPr>
        <w:t xml:space="preserve">Pagos en acciones</w:t>
      </w:r>
      <w:r>
        <w:t xml:space="preserve">: 13,2 % de las ventas en FY2026 [2].</w:t>
      </w:r>
    </w:p>
    <w:p>
      <w:pPr>
        <w:pStyle w:val="ListParagraph"/>
        <w:numPr>
          <w:ilvl w:val="0"/>
          <w:numId w:val="2"/>
        </w:numPr>
        <w:spacing w:after="60"/>
      </w:pPr>
      <w:r>
        <w:rPr>
          <w:b/>
        </w:rPr>
        <w:t xml:space="preserve">Ventas de la dirección</w:t>
      </w:r>
      <w:r>
        <w:t xml:space="preserve">: 338,8 M USD en 12 meses [22].</w:t>
      </w:r>
    </w:p>
    <w:p>
      <w:pPr>
        <w:pStyle w:val="ListParagraph"/>
        <w:numPr>
          <w:ilvl w:val="0"/>
          <w:numId w:val="2"/>
        </w:numPr>
        <w:spacing w:after="60"/>
      </w:pPr>
      <w:r>
        <w:rPr>
          <w:b/>
        </w:rPr>
        <w:t xml:space="preserve">Ciclo de la flash</w:t>
      </w:r>
      <w:r>
        <w:t xml:space="preserve">: ≈700 M USD adelantados a proveedores en el 1S FY27 [3].</w:t>
      </w:r>
    </w:p>
    <w:p>
      <w:pPr>
        <w:pStyle w:val="Heading2"/>
      </w:pPr>
      <w:r>
        <w:t xml:space="preserve">Qué tiene que pasar para que la tesis funcione</w:t>
      </w:r>
    </w:p>
    <w:p>
      <w:pPr>
        <w:spacing w:after="100"/>
      </w:pPr>
      <w:r>
        <w:t xml:space="preserve">La tesis depende de que el margen bruto de producto aguante con la flash cara y de que la hiperescala siga creciendo. La señal de que no se cumple: margen bruto total por debajo del 66 %, RPO estancada o anticipos a proveedores que no bajan en dos trimestres.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 (2T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flash</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 M USD (+44 %)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futuros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 (1S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de caja libre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 M USD (2T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Negativo dos trimestres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124,7x / 55,5x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193,8x / 75,9x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Pure Storage nació en 2009 para sustituir los discos duros de las cabinas empresariales por memoria flash con su propio software (Purity) y sus propios módulos (DirectFlash). Salió a bolsa en 2015 y perdió dinero hasta FY2022, financiando el crecimiento con caja de la salida a bolsa y convertibles. Con Charles Giancarlo (desde 2017) pasó al modelo de suscripción Evergreen, compró Portworx (2020) y en 2024 logró su primer contrato con un hiperescalador (Meta) para sustituir discos duros en centros de datos. En enero de 2026 cambió su nombre a Everpure y su símbolo a «P» [19]; en agosto de 2026 anunció un segundo hiperescalador de los cinco mayores [3] y en septiembre entró en el S&amp;P 500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Mountain View por John Colgrove y John Hayes con la idea de cabinas solo de memoria flash para empresas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Nueva York como Pure Storage (PSTG)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Giancarlo, ex Cisco y Silver Lake, sustituye a Scott Dietzen como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Portworx (almacenamiento para contenedores Kubernetes) por unos 370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victoria de diseño con un hiperescalador (Meta): sus discos DirectFlash sustituyen a discos duros en sus centros de datos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Enero: cambia su nombre a Everpure y su símbolo a «P» para presentarse como empresa de gestión de datos para la era de la IA [19]; agosto: segunda victoria con un hiperescalador de los cinco mayores [3].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Everpure vende sistemas de almacenamiento de datos 100 % flash: FlashArray (bloques, bases de datos y virtualización), FlashBlade (archivos y objetos; FlashBlade//EXA para entrenamiento de IA) y, desde 2024, la tecnología DirectFlash que licencia a hiperescaladores, que fabrican sus propios equipos y le pagan una regalía por capacidad enviada [1]. Encima va una capa de software y servicio: Evergreen (actualizaciones de controladoras sin cambiar el equipo), Evergreen//One (almacenamiento como servicio que se paga por uso), Pure1 y Portworx para Kubernetes [1]. Vende a través de socios a grandes empresas (≈64 % del Fortune 500), proveedores de servicios gestionados y nubes de IA; el 67 % de los ingresos de FY2026 se facturó en Estados Unidos [1].</w:t>
      </w:r>
    </w:p>
    <w:p>
      <w:pPr>
        <w:pStyle w:val="Heading2"/>
      </w:pPr>
      <w:r>
        <w:t xml:space="preserve">Cómo gana dinero</w:t>
      </w:r>
    </w:p>
    <w:p>
      <w:pPr>
        <w:spacing w:after="100"/>
      </w:pPr>
      <w:r>
        <w:t xml:space="preserve">Dos fuentes: el producto (1.971,7 M USD en FY2026, 54 %), cobrado al entregar con márgenes brutos del 66-70 %, y la suscripción (1.691,2 M, 46 %), recurrente, con margen del ≈74 % y 2.100 M USD de ARR en el 2T FY27 (+20 %) [1, 3]. El margen depende sobre todo del precio de la memoria flash, que Everpure compra a fabricantes como cualquier rival: en el 1S FY27 la subida histórica del NAND bajó el margen de producto y obligó a adelantar ≈700 M USD a proveedores [3]. Los gastos operativos absorben el 41 % de las ventas y los pagos en acciones el 12-13 %, así que el margen operativo GAAP es de solo el 3,1 % en FY2026 frente al ≈17 % ajustado [1, 6]. Fuerte estacionalidad: el 1T es el trimestre más flojo y el 4T el mejor [1].</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de suscripción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 de suscripción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cliente de más del 10 % de los ingresos en FY2025 y FY2026; en FY2024 uno superó el 10 % (un distribuidor) [1]. La concentración nueva está en la hiperescala: dos clientes de los cinco mayores del mundo, contratos que dependen de pedidos muy grandes y con un periodo de diseño largo [1, 3]. La renovación de la base instalada es alta (NPS certificado de 84) y la suscripción crece por encima del 15 % desde hace años [1]. Poder de precio: en el 1S FY27 la empresa subió precios para trasladar el coste de la flash y aun así la demanda creció (+54 % en producto en el 2T) [3], pero el margen bruto bajó 1,8 puntos: traslada el coste, no lo mejora.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suscripción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M USD (2T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M USD (2T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desde el +16 % del 4T FY26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desempeño pendientes (RPO)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contratos plurianuales de hiperescala y Evergreen//One [3,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producto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686,8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Hiperescala, IA y subidas de precio por el coste de la memoria flash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70,2 % (2T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 (2T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producto del 66,3 % al 65,3 % por el encarecimiento de la flash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 de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 (FY2026); 12,6 % en el 1S FY27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481,7 M USD en FY2026 y 281,9 M en el 1S FY27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del Fortune 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NPS certificado de 84 a dic-2025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almacenamiento externo empresarial (cabinas para centros de datos de empresas y proveedores de servicios), que IDC mide en ≈33.000 M USD en 2025 (+3,9 %) [12, 13]. Dentro, las cabinas solo flash crecen a doble dígito (+18,1 % en el 4T25) a costa de las híbridas (−6,7 %) [13]. No incluye el almacenamiento que construyen los hiperescaladores con discos duros y SSD propios, el mercado nuevo al que Everpure entra con regalías: su tamaño no se publica de forma gratuita. Usamos IDC porque es la única serie con los mismos proveedores que compiten con Everpure.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≈33.000 M USD en 2025 (almacenamiento externo empresarial, mundial, IDC) [12,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para la IA (entrenamiento e inferencia)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IDC vincula el crecimiento de la flash a la IA; FlashBlade//EXA y la plataforma de datos para GPU [1,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discos duros por flash en hiperescala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hiperescaladores de los cinco mayores con DirectFlash; ahorro de energía y espacio en el centro de datos [1,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memoria NAND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histórica en el 1S FY27: más ingresos por unidad pero menor margen bruto y anticipos a proveedores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 clientes de VMware tras su compra por Broadcom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Portworx y la integración con OpenShift de Red Hat captan cargas virtualizadas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Nube pública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grandes proveedores de nube ofrecen almacenamiento propio como alternativa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 NetApp, HPE, Hitachi, IBM y Huawei compiten en el mismo cliente; Dell y HPE empaquetan el almacenamiento con servidores de IA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negocian contratos enormes y fabrican el equipo; las empresas grandes compran por concurso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fabricantes de NAND; la subida de 2026 obligó a pagar por adelantado ≈700 M USD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años de software y certificaciones; los nuevos entran en nichos (VAST Data en 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Almacenamiento de la nube pública y sistemas que diseñan los propios hiperescaladores [1].</w:t>
            </w:r>
          </w:p>
        </w:tc>
      </w:tr>
    </w:tbl>
    <w:p>
      <w:pPr>
        <w:spacing w:after="160" w:before="0"/>
      </w:pPr>
    </w:p>
    <w:p>
      <w:pPr>
        <w:pStyle w:val="Heading2"/>
      </w:pPr>
      <w:r>
        <w:t xml:space="preserve">Ciclo</w:t>
      </w:r>
    </w:p>
    <w:p>
      <w:pPr>
        <w:spacing w:after="100"/>
      </w:pPr>
      <w:r>
        <w:t xml:space="preserve">El almacenamiento empresarial solo creció un 3,9 % en 2025, pero la flash crece a doble dígito y el gasto en centros de datos de IA está en máximos [12, 13]. El sector es cíclico: en 2008-09 y en 2023 (exceso de inventario y digestión de la nube) los pedidos cayeron y los precios de la flash se hundieron; Everpure creció en 2020 y 2023 con márgenes débiles. Hoy la combinación de NAND cara y pedidos de IA se parece a un pico de ciclo.</w:t>
      </w:r>
    </w:p>
    <w:p>
      <w:pPr>
        <w:pStyle w:val="Heading2"/>
      </w:pPr>
      <w:r>
        <w:t xml:space="preserve">Regulación</w:t>
      </w:r>
    </w:p>
    <w:p>
      <w:pPr>
        <w:spacing w:after="100"/>
      </w:pPr>
      <w:r>
        <w:t xml:space="preserve">Pocas normas sectoriales: controles de exportación de tecnología y cifrado de EE. UU., aranceles sobre componentes fabricados en Asia (incluida China) y normas de residencia y protección de datos que favorecen el almacenamiento en las propias instalaciones [1]. La empresa avisa de que los cambios rápidos de política comercial desde 2025 pueden encarecer componentes [1].</w:t>
      </w:r>
    </w:p>
    <w:p>
      <w:pPr>
        <w:pStyle w:val="Heading2"/>
      </w:pPr>
      <w:r>
        <w:t xml:space="preserve">Tendencias y disrupción</w:t>
      </w:r>
    </w:p>
    <w:p>
      <w:pPr>
        <w:spacing w:after="100"/>
      </w:pPr>
      <w:r>
        <w:t xml:space="preserve">La IA convierte el almacenamiento en un cuello de botella del centro de datos (energía y espacio por terabyte), lo que favorece la flash densa de Everpure frente a los discos duros [1, 3]. Everpure se reposiciona como «gestión de datos» (Data Intelligence, Data Stream, compra de 1touch) para no ser solo un proveedor de cajas [3, 4]. El riesgo es que los hiperescaladores, que ya diseñan sus equipos, internalicen también el software.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cinco mayores en almacenamiento externo empresarial y el que más rápido crece según IDC (con Huawei) [14]; cuota estimada del 11,1 % (estimación propia: ingresos de FY2026 sobre el mercado de IDC de 2025, que incluye solo cabinas, así que la cifra mezcla perímetros) [12]. Líder del cuadrante de Gartner en almacenamiento empresarial dos años seguidos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Dell Technologies (Dell EMC: PowerStore, PowerMax, PowerScale)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151.200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almacenamiento externo; el almacenamiento es una parte pequeña de un grupo que vive de servidores de IA (margen EBITDA del grupo 11,7 %) [1,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NetApp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NTAP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más parecido (flash y nube); crece ≈10 % al año con margen EBITDA del 28,4 %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Hewlett Packard Enterprise (Alletra)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HPE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Almacenamiento dentro de un grupo de servidores y redes (margen EBITDA 16,5 %)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 (OceanStor)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deprisa fuera de EE. UU. según IDC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IBM y Hitachi Vantara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IBM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tradicionales de cabinas para grandes cuentas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Nutanix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NTNX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Hiperconvergencia: compite en virtualización tras la compra de VMware por Broadcom [1,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efectos de red: cada cliente compra su propio equipo.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Evergreen ata al cliente a la base instalada y la suscripción crece ≥15 % al año; migrar datos es caro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DirectFlash y Purity: la regalía de los hiperescaladores paga por esa tecnología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densidad y menos energía por terabyte, pero compra la flash al mismo precio que los rivales [A3].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 y HPE son mucho mayores y empaquetan el almacenamiento con servidores [B6, B7].</w:t>
            </w:r>
          </w:p>
        </w:tc>
      </w:tr>
    </w:tbl>
    <w:p>
      <w:pPr>
        <w:spacing w:after="160" w:before="0"/>
      </w:pPr>
    </w:p>
    <w:p>
      <w:pPr>
        <w:pStyle w:val="Heading2"/>
      </w:pPr>
      <w:r>
        <w:t xml:space="preserve">Amenazas</w:t>
      </w:r>
    </w:p>
    <w:p>
      <w:pPr>
        <w:spacing w:after="100"/>
      </w:pPr>
      <w:r>
        <w:t xml:space="preserve">Tres: que Dell y HPE regalen almacenamiento dentro de sus paquetes de servidores de IA (probabilidad media); que los hiperescaladores reduzcan la regalía o internalicen el diseño cuando el volumen sea grande (media, a 3-5 años); y que la flash barata vuelva y haga caer el ingreso por unidad (alta en un ciclo normal). El foso es de producto y de base instalada, no de coste: el margen operativo GAAP del 3 % no lo demuestra todavía.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FY2021-FY2026: ingresos </w:t>
      </w:r>
      <w:r>
        <w:rPr>
          <w:b/>
          <w:bCs/>
        </w:rPr>
        <w:t xml:space="preserve">16,8 %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1.684 M USD en FY2021 a 3.663 M en FY2026 (16,8 % anual, casi todo orgánico: Portworx es la única compra relevante) y se aceleran al +37 % en el 1S FY27 por la hiperescala, la IA y las subidas de precio [1, 3]. El margen EBITDA contable sigue bajo (6,9 % en FY2026) porque los pagos en acciones (481,7 M, 13,2 % de las ventas) y una estructura comercial pesada se comen el margen bruto del 70 % [2]. El beneficio neto de FY2026 (188,2 M) se apoya en 109,5 M de resultado financiero (intereses de la caja y una plusvalía de una inversión), más de la mitad del beneficio antes de impuestos [1]. Margen operativo GAAP: −15,5 % en FY2021, 3,0 % en FY2023 y 3,1 % en FY2026.</w:t>
      </w:r>
    </w:p>
    <w:p>
      <w:pPr>
        <w:pStyle w:val="Heading2"/>
      </w:pPr>
      <w:r>
        <w:t xml:space="preserve">Ajustes y partidas no recurrentes</w:t>
      </w:r>
    </w:p>
    <w:p>
      <w:pPr>
        <w:spacing w:after="100"/>
      </w:pPr>
      <w:r>
        <w:t xml:space="preserve">La empresa publica un resultado operativo ajustado que suma los pagos en acciones, las cargas sociales de esas acciones y la amortización de intangibles comprados: 229,6 M USD en el 2T FY27 frente a 63,2 M en GAAP (19,4 % frente a 5,3 % de margen) [3]. Usamos las cifras GAAP: los pagos en acciones se repiten todos los años y la empresa gasta en recompras y retenciones fiscales (613,5 M en FY2026) más que lo que generan para evitar la dilución [2]. En FY2026 hubo una ganancia por valoración de una inversión estratégica (30,4 M en el 1S), no recurrente [8].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 FY27 (26-ago-2026) la dirección habló de «ocho trimestres seguidos de aceleración»: ingresos de 1.185,9 M (+38 %), producto +54 % y una segunda victoria de diseño con un hiperescalador de los cinco mayores; subió la guía del año de 4.410-4.510 M a 5.030-5.070 M USD y el resultado operativo ajustado a 940-960 M [3]. El director financiero admitió «subidas de precio históricas del sector» en el 1S: el margen bruto bajó al 68,4 % y el flujo de caja libre fue de −237,6 M por los anticipos a proveedores de flash (577 M en el trimestre) [3]. En el 1T (27-may) el mensaje fue el mismo, pero la guía del 2T decepcionó y la acción cayó un 14,8 % ese día [31]. Lo que la dirección no cuantifica: el margen de la regalía de hiperescala, cuánto del crecimiento es precio y cuándo se recuperan los anticipos. En la reunión con analistas del 23-sep fijó un objetivo para FY2028 de 7.000-7.300 M USD de ingresos y 1.700-1.900 M de resultado operativo ajustado [28].</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negativo (−37 % de las ventas en FY2026) porque los clientes pagan la suscripción por adelantado: el crecimiento se financia solo [1]. En el 1S FY27 eso cambió de signo por los anticipos a proveedores: la caja y los valores negociables bajaron de 1.547 a 1.008 M USD en seis meses [3]. La caja neta sigue siendo holgada, pero la empresa usa ahora su balance para asegurarse la flash: si el ciclo se da la vuelta, el riesgo es de inventario y de anticipos, no de deuda.</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2.614</w:t>
      </w:r>
      <w:r>
        <w:t xml:space="preserve">, conversión </w:t>
      </w:r>
      <w:r>
        <w:rPr>
          <w:b/>
          <w:bCs/>
        </w:rPr>
        <w:t xml:space="preserve">67.023 %</w:t>
      </w:r>
      <w:r>
        <w:t xml:space="preserve"> del beneficio neto; adquisiciones 346, dividendos 0, recompras 1.953.</w:t>
      </w:r>
    </w:p>
    <w:p>
      <w:pPr>
        <w:spacing w:after="100"/>
      </w:pPr>
      <w:r>
        <w:t xml:space="preserve">Hasta FY2026 la conversión en caja fue alta: flujo operativo de 880 M USD frente a un beneficio de 188 M, por los pagos en acciones (que no son caja) y los ingresos diferidos [2]. Pero ese flujo libre no queda para el accionista: en FY2026 se gastaron 613,5 M en recompras y retenciones fiscales de acciones de empleados, más que el flujo libre (615,8 M) [2]. En los últimos doce meses a agosto de 2026 el flujo libre baja a ≈128 M por los anticipos de flash [3]. El capex (264 M en FY2026, 7,2 % de las ventas) incluye equipos de Evergreen//One y de pruebas; estimamos que la mitad es mantenimiento (estimación propia).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1-feb-2026)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942,64x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firma sin salvedades las cuentas y el control interno de FY2026 [1]. Indicadores del motor: Altman Z de 9,89 (sin riesgo de quiebra), Piotroski F de 7 y Beneish M de −2,88 (sin señal de manipulación). Lo que pesa no es la contabilidad sino la diferencia entre lo publicado y lo ajustado: los pagos en acciones son el 13 % de las ventas y el 256 % del beneficio neto de FY2026 [2]. El ingreso por suscripción se reconoce a lo largo del contrato y el producto al entregar; la regalía de hiperescala se reconoce cuando el hiperescalador envía sus equipos, lo que hace los trimestres más irregulares [1]. Los anticipos a proveedores (≈700 M en el 1S FY27) y el aumento de existencias (+30 M) son el punto a vigilar [3].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del 13 %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481,7 M USD en FY2026; las recompras solo compensan la dilución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a proveedores de flash (≈700 M en seis meses)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de caja libre negativo en el 2T FY27; riesgo si baja el precio de la NAND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apoyado en ingresos financieros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de 109,5 M en FY2026, la mitad del beneficio antes de impuestos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365 M en FY2026; ha subido más de un 5 % en 0 de 5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13,5 %.</w:t>
      </w:r>
    </w:p>
    <w:p>
      <w:pPr>
        <w:spacing w:after="100"/>
      </w:pPr>
      <w:r>
        <w:t xml:space="preserve">Con la contabilidad GAAP, Everpure todavía no crea valor: el capital invertido del motor sale negativo (la caja y los ingresos diferidos superan al patrimonio), así que el ROIC estándar no tiene sentido. Sobre el capital fijo (inmovilizado, intangibles y fondo de comercio: 901 M USD) el ROIC operativo de FY2026 es del 10,7 %, por debajo de un WACC del 13,46 % (−2,8 puntos). Con el ajustado (sumando los pagos en acciones) pasaría del 50 %, que es la cifra que circula en los proveedores (Stock Analysis da 43,9 %) [27]; no la usamos porque los pagos en acciones son un coste recurrente. El ROE de FY2026 es del 13,7 % y viene de los intereses de la caja más que del negocio. Para FY2027e, con nuestra proyección, el ROIC sobre capital fijo subiría al ≈25 %, pero el capital incluiría además ≈1.000 M de anticipos.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385,7 M USD + valores negociables 622,2 M = 1.007,9 M USD a 2-ago-2026; sin deuda financiera; línea de crédito de 500 M USD sin disponer hasta junio de 2030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desde FY2026 (los convertibles se convirtieron en 2023 y el préstamo de 100 M se amortizó en el 2T FY26) y una línea de 500 M USD sin disponer hasta junio de 2030, con cláusulas habituales [1, 3]. Los pasivos que importan son operativos: 2.521 M USD de ingresos diferidos (servicio ya cobrado que hay que prestar) y arrendamientos operativos de 225 M, que en US GAAP no van al puente [3]. En el activo, 1.026 M USD de gastos anticipados y otros activos corrientes, casi todo anticipos a proveedores de memoria flash: una exposición a que el precio de la NAND baje antes de consumirlos [3].</w:t>
      </w:r>
    </w:p>
    <w:p>
      <w:pPr>
        <w:pStyle w:val="Heading1"/>
      </w:pPr>
      <w:r>
        <w:t xml:space="preserve">12. Asignación de capital</w:t>
      </w:r>
    </w:p>
    <w:p>
      <w:pPr>
        <w:pStyle w:val="Confianza"/>
        <w:spacing w:after="100"/>
      </w:pPr>
      <w:r>
        <w:t xml:space="preserve">Confianza: Alta</w:t>
      </w:r>
    </w:p>
    <w:p>
      <w:pPr>
        <w:spacing w:after="100"/>
      </w:pPr>
      <w:r>
        <w:t xml:space="preserve">Sin dividendo. Recompras continuas: el consejo amplió en FY2026 la autorización en 650 M USD y quedaban 329 M al cierre del ejercicio, sin fecha de vencimiento [1]. Las retenciones fiscales de las acciones que se entregan a empleados (270,9 M en FY2026) son otra forma de recompra [2]. Prioridades declaradas: invertir en crecimiento (hiperescala, IA, plataforma de datos) y compensar la dilución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Portworx (almacenamiento para Kubernetes)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como Portworx by Everpure; sin deterioro del fondo de comercio (365 M en FY2026)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1touch (descubrimiento y gobierno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el 2T FY27; base de Everpure Data Intelligence; fondo de comercio +101 M [3, 4].</w:t>
            </w:r>
          </w:p>
        </w:tc>
      </w:tr>
    </w:tbl>
    <w:p>
      <w:pPr>
        <w:spacing w:after="160" w:before="0"/>
      </w:pPr>
    </w:p>
    <w:p>
      <w:pPr>
        <w:spacing w:after="100"/>
      </w:pPr>
      <w:r>
        <w:t xml:space="preserve">Asignadora de capital correcta pero no brillante: compra poco y caro de forma prudente, y su principal uso de caja es devolver a los empleados la dilución de las acciones que les paga. En FY2025-FY2026 recompras y retenciones (1.193 M USD) superaron el flujo libre acumulado (1.143 M), y aun así las acciones diluidas apenas bajaron de 343 a 343 M [2]. En 2026 la empresa ha preferido usar la caja para asegurarse la flash; mientras dure el ciclo de la NAND, la recompra queda en segundo plano.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Giancarlo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Cisco (director de desarrollo) y Silver Lake. Desde 2017 los ingresos han pasado de 1.025 a 3.663 M USD (FY2018-FY2026) y la empresa ha pasado a ganar dinero en GAAP desde FY2023 [1,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Tarek Robbiati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junio de 2025 desde Lumen y antes HPE; sustituye a Kevan Krysler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Colgrove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Chief Visionary Officer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arquitecto de la tecnología DirectFlash; ha vendido 240 M USD en acciones en 12 meses con plan 10b5-1 [20,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Ajay Singh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cartera FlashArray, FlashBlade y de la plataforma de datos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Patrick Finn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comercial (CRO)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Fichado en FY2026 con prima de entrada de 1 M USD en efectivo [20].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3.515 M USD (guía inicial)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3.168 M USD (la guía se rehízo por el paso a suscripción)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3.515 M USD (+11 %) en mayo de 2025; 3.600-3.630 M en diciembre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3.662,8 M USD (+16 %)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4.300-4.400 M USD en febrero; 4.410-4.510 M en mayo; 5.030-5.070 M en agosto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 2.238,8 M USD (+37 %)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Giancarlo lleva nueve años y ha llevado a la empresa de pérdidas a beneficios GAAP y a la hiperescala; su credibilidad es alta en ingresos (la guía de FY2026 y FY2027 se ha subido varias veces) y baja en márgenes (diciembre de 2025: la acción cayó un 27 % en un día por el gasto) [3, 30]. Cambio reciente de director financiero (Robbiati, junio de 2025) y de director comercial; sin plan de sucesión público para el consejero delegado, que también preside el consejo. Señal en contra: el fundador y el consejero delegado venden fuerte en 2026.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Giancarlo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Dietzen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del consejo (ex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Colgrove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(fundador, Chief Visionary Officer)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Roxanne 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Murphy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Greg Tomb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 Rothschild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Mallun Yen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Scott Dietzen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1-feb-2026)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337,81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13G/A de febrero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13G/A de diciembre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Colgrove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≈2,43 M de acciones en 12 meses (plan 10b5-1)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(14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por ventas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Colgrove (fundador)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2.434.265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Giancarlo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Ajay Singh (director de producto)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Mallun Yen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Mona Chu (directora contable)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Andrew Brown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18,43 M USD en FY2026: 0,85 M de fijo, 1,57 M de variable anual y 16,01 M en acciones, casi todas ligadas a objetivos (ingresos, margen operativo ajustado y ARR de suscripción; dos pasos: primero se ganan y después vencen en varios años) [20]. Ninguna métrica mide la rentabilidad del capital ni el beneficio GAAP: premia crecer y el margen ajustado, que excluye los pagos en acciones. En 2024 los accionistas rechazaron la remuneración (algo más del 40 % a favor) por un paquete extraordinario de 36,65 M USD; en 2025 la aprobaron con más del 73 % y en 2026 con el 88,7 % [20, 21]. Ratio salarial de 90 a 1 [20].</w:t>
      </w:r>
    </w:p>
    <w:p>
      <w:pPr>
        <w:pStyle w:val="Heading2"/>
      </w:pPr>
      <w:r>
        <w:t xml:space="preserve">Operaciones vinculadas, estructura de control y defensas</w:t>
      </w:r>
    </w:p>
    <w:p>
      <w:pPr>
        <w:spacing w:after="100"/>
      </w:pPr>
      <w:r>
        <w:t xml:space="preserve">Sin accionista de control: Fidelity (14,1 %) y BlackRock (10,0 %) son los mayores; consejeros y directivos tienen el 5,1 %, sobre todo el fundador Colgrove (3,8 %) [20]. Una acción, un voto. Defensas: consejo escalonado en tres clases con mandatos de tres años y elección por mayoría simple (pluralidad), lo que dificulta un cambio de control; presidente ejecutivo y sin consejero independiente coordinador [20, 21]. Sin operaciones vinculadas relevantes en el proxy.</w:t>
      </w:r>
    </w:p>
    <w:p>
      <w:pPr>
        <w:pStyle w:val="Heading2"/>
      </w:pPr>
      <w:r>
        <w:t xml:space="preserve">Señales de alerta</w:t>
      </w:r>
    </w:p>
    <w:p>
      <w:pPr>
        <w:pStyle w:val="ListParagraph"/>
        <w:numPr>
          <w:ilvl w:val="0"/>
          <w:numId w:val="2"/>
        </w:numPr>
        <w:spacing w:after="60"/>
      </w:pPr>
      <w:r>
        <w:t xml:space="preserve">Ventas de la dirección por 338,8 M USD en 12 meses y ninguna compra; el 97 % con plan 10b5-1. Colgrove (240,5 M) y Giancarlo (86,4 M, 930.000 acciones desde mayo de 2026) son los mayores [22].</w:t>
      </w:r>
    </w:p>
    <w:p>
      <w:pPr>
        <w:pStyle w:val="ListParagraph"/>
        <w:numPr>
          <w:ilvl w:val="0"/>
          <w:numId w:val="2"/>
        </w:numPr>
        <w:spacing w:after="60"/>
      </w:pPr>
      <w:r>
        <w:t xml:space="preserve">La junta de 2024 rechazó la remuneración de la dirección (solo algo más del 40 % a favor); en 2025 la aprobó con más del 73 % y en 2026 con el 88,7 % de los votos emitidos [20, 21].</w:t>
      </w:r>
    </w:p>
    <w:p>
      <w:pPr>
        <w:pStyle w:val="ListParagraph"/>
        <w:numPr>
          <w:ilvl w:val="0"/>
          <w:numId w:val="2"/>
        </w:numPr>
        <w:spacing w:after="60"/>
      </w:pPr>
      <w:r>
        <w:t xml:space="preserve">Roxanne Taylor fue reelegida en 2026 con solo el 54,5 % de los votos emitidos (119,2 M de votos retenidos) [21].</w:t>
      </w:r>
    </w:p>
    <w:p>
      <w:pPr>
        <w:pStyle w:val="ListParagraph"/>
        <w:numPr>
          <w:ilvl w:val="0"/>
          <w:numId w:val="2"/>
        </w:numPr>
        <w:spacing w:after="60"/>
      </w:pPr>
      <w:r>
        <w:t xml:space="preserve">Consejo escalonado en tres clases y sin consejero independiente coordinador, con presidente ejecutivo [20].</w:t>
      </w:r>
    </w:p>
    <w:p>
      <w:pPr>
        <w:pStyle w:val="ListParagraph"/>
        <w:numPr>
          <w:ilvl w:val="0"/>
          <w:numId w:val="2"/>
        </w:numPr>
        <w:spacing w:after="60"/>
      </w:pPr>
      <w:r>
        <w:t xml:space="preserve">Pagos en acciones del 13 % de los ingresos: diluyen ≈1,5 % al año antes de recompras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(26-ago-2026): ingresos de 5.030-5.070 M USD (+37-38 %) y resultado operativo ajustado de 940-960 M (+48-51 %); 3T de 1.325-1.335 M y 265-275 M [3]. La guía inicial de febrero era de 4.300-4.400 M: se ha subido dos veces [3]. Objetivo FY2028 de la reunión con analistas (23-sep-2026): 7.000-7.300 M de ingresos y 1.700-1.900 M de resultado operativo ajustado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(20 analistas; EBITDA y EBIT ajustados, sin pagos en acciones; BPA GAAP)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151,11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Fuerte revisión al alza en tres meses: el consenso de ventas FY2028 está ya en 7.026 M USD (en el objetivo de la empresa) y el BPA GAAP en 2,24 [24]. Tras la reunión de septiembre y el inicio de octubre subieron objetivo Needham (a 185), Guggenheim (a 215), Evercore (a 155), Piper Sandler (a 162) y BofA (a 180) [29]. Solo hay estimaciones completas de MarketScreener; el objetivo medio (151,11 USD con 20 analistas) se contrasta con Gotrade (≈139 USD, tabla anterior a las subidas) [24].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bl>
    <w:p>
      <w:pPr>
        <w:spacing w:after="160" w:before="0"/>
      </w:pPr>
    </w:p>
    <w:p>
      <w:pPr>
        <w:spacing w:after="100"/>
      </w:pPr>
      <w:r>
        <w:t xml:space="preserve">La acción ha ganado un 111,1 % en el año y un 53 % en doce meses frente al 17,5 % del S&amp;P 500, con una volatilidad del 71 % [23]. El recorrido es de montaña rusa: máximo de ≈100 USD en noviembre de 2025, −27 % el 3-dic por los márgenes, mínimo de 56,78 USD en marzo de 2026, y desde ahí +177 % hasta 157,57 USD el 13-oct gracias a la guía del 2T, el segundo hiperescalador, la entrada en el S&amp;P 500 y el objetivo FY2028 [23, 28, 29]. La beta semanal de dos años (2,14) es muy superior a la mensual de cinco (1,41): el riesgo ha subido con la tesis de la IA.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+34,7 % / +89,5 % / +93,9 % / +42,1 %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 / +130,7 %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FY26: el gasto operativo subió un 23 % y la empresa dijo que reinvertiría el negocio de hiperescala en I+D y ventas; JP Morgan y Citi bajan objetivo y Susquehanna rebaja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 FY27, la guía del 2T quedó por debajo de lo que esperaban los analistas (un día; −23,8 % en el mes hasta el 10-jun)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hiperescalador de los cinco mayores (10-ago) y resultados del 2T con la guía del año subida un 13 %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−9,9 % el 14-oct y ≈−7 % el 15-oct sin noticia propia identificada: caída del S&amp;P 500 y de los valores de IA, recogida de beneficios tras +35 % en un mes y ventas de consejeros [23,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dirección por 338,8 M USD en 12 meses (Colgrove 240,5 M y Giancarlo 86,4 M, con plan 10b5-1), la última el 13-oct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Needham sube objetivo a 185 USD y Guggenheim a 215; Evercore a 155 (5-oct)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Reunión con analistas: objetivo FY2028 de 7.000-7.300 M USD de ingresos y 1.700-1.900 M de resultado operativo ajustado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S&amp;P 500 (anunciada el 4-sep)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 FY27 (fecha estimada por Stock Analysis; en 2025 fueron el 2-dic)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precio se ha más que doblado en seis meses con la tesis de la IA y la hiperescala, y ahora corrige (−16 % desde el máximo del 13-oct) sin noticia propia. No hay colocaciones, ampliaciones ni litigios pendientes. Las ventas de la dirección son grandes pero con planes programados. Ninguna noticia cambia la conclusión, que no depende del momento: el valor intrínseco está muy por debajo del precio y la calidad no llega al umbral.</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Everpure siempre ha cotizado a múltiplos de beneficio GAAP altísimos porque ese beneficio ha sido mínimo: PER adelantado de 115-129 veces en FY2022-FY2025 y 76 veces al cierre de FY2026. Hoy, a 66 veces el BPA FY2028e propio, está por debajo de su historia, pero esa historia no es un ancla útil: la mejora de margen que el mercado ya paga es la misma que justificaría el descuento. Excluimos FY2021 y FY2022 de la comparación de EV/EBITDA por EBITDA negativo.</w:t>
      </w:r>
    </w:p>
    <w:p>
      <w:pPr>
        <w:pStyle w:val="Heading1"/>
      </w:pPr>
      <w:r>
        <w:t xml:space="preserve">18. Comparables cotizados</w:t>
      </w:r>
    </w:p>
    <w:p>
      <w:pPr>
        <w:pStyle w:val="Confianza"/>
        <w:spacing w:after="100"/>
      </w:pPr>
      <w:r>
        <w:t xml:space="preserve">Confianza: Baja</w:t>
      </w:r>
    </w:p>
    <w:p>
      <w:pPr>
        <w:spacing w:after="100"/>
      </w:pPr>
      <w:r>
        <w:t xml:space="preserve">Proveedores de almacenamiento e infraestructura de centros de datos cotizados en EE. UU.: NetApp (el más parecido), Dell y HPE (rivales directos dentro de grupos de servidores), Nutanix (infraestructura de software), Arista (infraestructura de red para IA, otro ganador de los centros de datos) y Seagate (discos duros, al que sustituye la flash). Sin VAST Data ni Huawei (no cotizan). Su PER adelantado de Stock Analysis es ajustado: no es comparable con el BPA GAAP de Everpure, por eso los comparables tienen peso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Everpure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NetApp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Dell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Hewlett Packard Enterprise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Nutanix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Arista Networks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Seagate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 / 28,1x / 44,5x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 / 21,0x / 28,1x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5,8x / 11,6x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Everpure cotiza a 55,5 veces el EBITDA NTM y 75,9 veces el BPA NTM, frente a una mediana de 21 veces el PER ajustado de los comparables. La prima se debe a que crece al 38 % y ellos al 5-25 %, pero su margen EBITDA contable (≈9 % LTM) es una fracción del de NetApp (28 %) o Seagate (37 %). Arista, el otro ganador de la IA en el centro de datos, cotiza a 42 veces con un margen del 44 %: Everpure pide un múltiplo de Arista sin su rentabilidad. Los valores implícitos de los múltiplos (24,62-52,39 USD) no sirven más que como suelo.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fijo en la guía (5.055 M USD, +38 %), ya con dos trimestres publicados [3]. FY2028e +32 %, por debajo del objetivo de la empresa (+39-45 %) y del consenso (7.026 M) porque parte del crecimiento de 2026 es precio de la flash [24, 28]. Después baja: 18 %, 13 %, 10 %, 8 %, 6 % y 4,5 %. El crecimiento histórico fue del 16,8 % anual en FY2021-FY2026.</w:t>
      </w:r>
    </w:p>
    <w:p>
      <w:pPr>
        <w:keepNext/>
        <w:spacing w:after="100"/>
      </w:pPr>
      <w:r>
        <w:rPr>
          <w:b/>
          <w:bCs/>
        </w:rPr>
        <w:t xml:space="preserve">Márgenes.</w:t>
      </w:r>
    </w:p>
    <w:p>
      <w:pPr>
        <w:spacing w:after="100"/>
      </w:pPr>
      <w:r>
        <w:t xml:space="preserve">Margen EBITDA contable (después de pagos en acciones) del 10 % en FY2027e (resultado operativo ajustado de 950 M menos ≈600 M de pagos en acciones, más 175 M de amortización), 16,5 % en FY2028e y hasta el 22 % al final, frente al 6,9 % de FY2026. NetApp tiene un 28,4 % [15]: suponemos que Everpure se acerca sin llegar, porque sus pagos en acciones son el doble.</w:t>
      </w:r>
    </w:p>
    <w:p>
      <w:pPr>
        <w:keepNext/>
        <w:spacing w:after="100"/>
      </w:pPr>
      <w:r>
        <w:rPr>
          <w:b/>
          <w:bCs/>
        </w:rPr>
        <w:t xml:space="preserve">Inversión y circulante.</w:t>
      </w:r>
    </w:p>
    <w:p>
      <w:pPr>
        <w:spacing w:after="100"/>
      </w:pPr>
      <w:r>
        <w:t xml:space="preserve">Capex del 6,5 % de las ventas en FY2027e (7,2 % en FY2026) que baja al 4 % porque la regalía de hiperescala no necesita fábrica; amortización del 3,5 %. Circulante del −33 % al −25 % de las ventas: los ingresos diferidos pesan menos al crecer más el producto. Los anticipos a proveedores no se proyectan: los tratamos como un pico del ciclo.</w:t>
      </w:r>
    </w:p>
    <w:p>
      <w:pPr>
        <w:keepNext/>
        <w:spacing w:after="100"/>
      </w:pPr>
      <w:r>
        <w:rPr>
          <w:b/>
          <w:bCs/>
        </w:rPr>
        <w:t xml:space="preserve">Coste del capital.</w:t>
      </w:r>
    </w:p>
    <w:p>
      <w:pPr>
        <w:spacing w:after="100"/>
      </w:pPr>
      <w:r>
        <w:t xml:space="preserve">Tasa libre del 5,21 % (bono a 10 años, FRED, 13-oct) [25]; beta 1,5 entre la mensual de cinco años (1,41) y la semanal de dos (2,14) [23]; prima del 5,5 %; sin deuda. WACC del 13,46 %. Con la prima implícita del mercado (4,20 %) el coste baja, pero no cambia la conclusión [26].</w:t>
      </w:r>
    </w:p>
    <w:p>
      <w:pPr>
        <w:keepNext/>
        <w:spacing w:after="100"/>
      </w:pPr>
      <w:r>
        <w:rPr>
          <w:b/>
          <w:bCs/>
        </w:rPr>
        <w:t xml:space="preserve">Valor terminal.</w:t>
      </w:r>
    </w:p>
    <w:p>
      <w:pPr>
        <w:spacing w:after="100"/>
      </w:pPr>
      <w:r>
        <w:t xml:space="preserve">Gordon con un 3 % (inflación más crecimiento real, por debajo de la tasa libre del 5,21 % menos medio punto). El múltiplo de salida de 18 veces EBITDA es coherente con NetApp y Dell (19,5 veces) [15].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14,5 %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 frente al 16,2 %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-861 M, con un capex bruto medio del 4,7 % de las ventas). En un negocio de activos ligeros, el crecimiento medio del 16,2 %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26 puntos (hiperescala, IA y Evergreen//One), precio 10 puntos (subidas para trasladar el coste de la flash, que la empresa reconoce) y 2 puntos de la compra de 1touch y la mezcla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28 puntos (segundo hiperescalador a pleno ritmo y nuevos clientes de IA), precio 2 puntos, otros 2 [28].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16 puntos, con la hiperescala ya en una base alta; precio y mezcla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 puntos y precio 1 punto: suscripción y renovaciones.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9 puntos y precio 1 punto.</w:t>
            </w:r>
          </w:p>
        </w:tc>
      </w:tr>
    </w:tbl>
    <w:p>
      <w:pPr>
        <w:spacing w:after="160" w:before="0"/>
      </w:pPr>
    </w:p>
    <w:p>
      <w:pPr>
        <w:spacing w:after="100"/>
      </w:pPr>
      <w:r>
        <w:t xml:space="preserve">En parte. El crecimiento no necesita capital: el circulante es negativo y la regalía de hiperescala no pide fábrica, así que la prueba de reinversión del motor sale holgada. Pero la calidad que debería sostenerlo es débil en GAAP: ROIC operativo del 10,7 % frente a un WACC del 13,46 %, margen operativo del 3 % y una parte del crecimiento de FY2027 es precio de la flash. La cuota: con ventas de ≈11.000 M USD en FY2034e, Everpure necesitaría más que doblar su peso en el almacenamiento externo (33.000 M en 2025), algo que solo cuadra si la hiperescala se cuenta como mercado nuevo, cuyo tamaño no se publica; por eso el mercado final va en blanco y la prueba de cuota se hace a mano. El foso (costes de cambio, DirectFlash) es estrecho y se amplía, pero no está demostrado en márgenes.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35,3 % (base: 13,1 %)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52 % justifica el precio (base: 22,0 %)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 (WACC: 13,5 %)</w:t>
            </w:r>
          </w:p>
        </w:tc>
      </w:tr>
    </w:tbl>
    <w:p>
      <w:pPr>
        <w:spacing w:after="160" w:before="0"/>
      </w:pPr>
    </w:p>
    <w:p>
      <w:pPr>
        <w:spacing w:after="100"/>
      </w:pPr>
      <w:r>
        <w:t xml:space="preserve">El DCF da 40,88 USD por acción, un 71 % por debajo del precio, con un 54 % del valor en el valor terminal. El DCF inverso dice que, con nuestros márgenes, el precio de 141,49 USD descuenta un crecimiento de ingresos del 35,3 % anual en los años no fijos, frente al 13,1 % de nuestro caso base; o, mirado al revés, una rentabilidad implícita del 6,0 % anual, por debajo de la tasa libre de riesgo. Es una exigencia sin precedente en la historia de la empresa (16,8 % anual en cinco años) y en el sector (el almacenamiento externo crece un 4 %). Para cuadrar el precio harían falta a la vez un crecimiento cercano al objetivo FY2028 durante varios años y márgenes GAAP del 30 % o más, el nivel de Arista. El caso alcista (56,55 USD) tampoco se acerca.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NAND se abarata en 2027, la hiperescala se frena tras los primeros despliegues y el margen se queda en el 16-19 %. Ya le pasó al sector en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FY2027 y el crecimiento baja del 32 % al 4,5 % en ocho años, con margen EBITDA contable hasta el 22 %.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un tercer hiperescalador y se cumple el objetivo FY2028; el margen sube 2 puntos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41,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40,24 USD (-71,6 %).</w:t>
      </w:r>
    </w:p>
    <w:p>
      <w:pPr>
        <w:spacing w:after="100"/>
      </w:pPr>
      <w:r>
        <w:t xml:space="preserve">Los tres escenarios quedan muy por debajo del precio (22,65, 40,88 y 56,55 USD): incluso el alcista pierde un 60 %. La asimetría del valor intrínseco es negativa (−0,71). El precio solo se explica con un crecimiento más largo y márgenes más altos que nuestro alcista, o con una tasa de descuento mucho menor (la del mercado de IA).</w:t>
      </w:r>
    </w:p>
    <w:p>
      <w:pPr>
        <w:pStyle w:val="Heading1"/>
      </w:pPr>
      <w:r>
        <w:t xml:space="preserve">22. Suma de partes</w:t>
      </w:r>
    </w:p>
    <w:p>
      <w:pPr>
        <w:pStyle w:val="Confianza"/>
        <w:spacing w:after="100"/>
      </w:pPr>
      <w:r>
        <w:t xml:space="preserve">Confianza: Alta</w:t>
      </w:r>
    </w:p>
    <w:p>
      <w:pPr>
        <w:spacing w:after="100"/>
      </w:pPr>
      <w:r>
        <w:t xml:space="preserve">No aplica: un solo negocio de almacenamiento con un mismo software (Purity) y la misma tecnología DirectFlash en empresa e hiperescala; la empresa no publica resultados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41,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40,62 USD (-71,3 % sobre 141,49).</w:t>
      </w:r>
    </w:p>
    <w:p>
      <w:pPr>
        <w:spacing w:after="100"/>
      </w:pPr>
      <w:r>
        <w:t xml:space="preserve">DCF 60 % y escenarios 40 %: es el método que recoge la dependencia de los márgenes futuros. Comparables con peso 0 porque su PER es ajustado y el nuestro es GAAP; transacciones sin datos. La dispersión es enorme: los múltiplos de los comparables dan 24-52 USD, el DCF 41 y el objetivo a 12 meses de la regla ≈221. El valor intrínseco (40,62 USD) es la referencia para comprar; el objetivo a 12 meses depende de que el mercado mantenga múltiplos de 66-74 veces.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(66.4x) × 1.1 (tope: la mediana de 5 años, 119.3x,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+139,0 %</w:t>
            </w:r>
          </w:p>
        </w:tc>
      </w:tr>
    </w:tbl>
    <w:p>
      <w:pPr>
        <w:spacing w:after="160" w:before="0"/>
      </w:pPr>
    </w:p>
    <w:p>
      <w:pPr>
        <w:spacing w:after="100"/>
      </w:pPr>
      <w:r>
        <w:rPr>
          <w:b/>
          <w:bCs/>
        </w:rPr>
        <w:t xml:space="preserve">Objetivo a 12 meses (ponderado):</w:t>
      </w:r>
      <w:r>
        <w:t xml:space="preserve"> 220,26 USD · rentabilidad +55,7 % (base +48,1 %) · señal Mantener.</w:t>
      </w:r>
    </w:p>
    <w:p>
      <w:pPr>
        <w:spacing w:after="100"/>
      </w:pPr>
      <w:r>
        <w:t xml:space="preserve">Para comparar, con la regla v2 (historia al cierre, mismo precio): 56,4x / 66,4x / 86,3x, 40,8 % Mantener; con el tope anterior del base (×1,3, 14-oct mediodía): 84,0 %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FY2028e (2,13) y FY2029e (2,87) queda un 5 % y un 6 % por debajo del consenso GAAP (2,24 y 3,06): proyectamos ventas FY2028e de 6.672 M frente a 7.026 M. La diferencia grande está en el precio: nuestro base (≈210 USD) supera en un 39 % el objetivo medio de 20 analistas (151,11 USD). Viene del múltiplo: la regla sube el PER actual (66x) un 10 % porque la historia, hecha con años de beneficio mínimo, está en 115-129x. No lo corregimos, pero es la cifra más frágil del informe.</w:t>
      </w:r>
    </w:p>
    <w:p>
      <w:pPr>
        <w:keepNext/>
        <w:spacing w:after="100"/>
      </w:pPr>
      <w:r>
        <w:rPr>
          <w:b/>
          <w:bCs/>
        </w:rPr>
        <w:t xml:space="preserve">Del valor intrínseco al objetivo a 12 meses.</w:t>
      </w:r>
    </w:p>
    <w:p>
      <w:pPr>
        <w:spacing w:after="100"/>
      </w:pPr>
      <w:r>
        <w:t xml:space="preserve">El valor intrínseco (40,62 USD) y el objetivo a 12 meses (≈221 USD) están a más de cinco veces: el DCF pide un 13,46 % de rentabilidad y paga los pagos en acciones como coste; la regla de múltiplos supone que el mercado siga pagando 66-74 veces un beneficio que se triplica en dos años. La distancia no se cierra con un catalizador: haría falta que los márgenes GAAP llegaran al 30 % o más de forma duradera. La tesis de valor real no existe a este precio; el objetivo a 12 meses depende del humor del mercado con la IA.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FY27 (guía 1.325-1.335 M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subida y del margen bruto con la flash cara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FY27 y guía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 el camino a 7.000-7.300 M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 hiperescalador o ampliación de los actuales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 el negocio de regalías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Giro del precio de la memoria NAND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Menor ingreso por unidad y riesgo sobre los anticipos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la dirección con planes 10b5-1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de oferta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flash: el ciclo de la NAND se da la vuelta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22,65 USD frente a 40,88)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Suscripción recurrente (46 %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producto por debajo del 63 % o anticipos que no bajan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dos hiperescaladores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sobre el precio de mercado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RPO de 4.100 M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 la RPO o regalías trimestrales planas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Expectativas: el precio descuenta un 35,3 % de crecimiento anual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 hasta el valor intrínseco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subida dos veces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3T o del FY2028 por debajo del consenso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y dilución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en acciones por encima del 13 %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Dell y HPE con paquetes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DirectFlash y Evergreen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IDC estancada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de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Planes programados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fuera de planes 10b5-1</w:t>
            </w:r>
          </w:p>
        </w:tc>
      </w:tr>
    </w:tbl>
    <w:p>
      <w:pPr>
        <w:spacing w:after="160" w:before="0"/>
      </w:pPr>
    </w:p>
    <w:p>
      <w:pPr>
        <w:pStyle w:val="Heading2"/>
      </w:pPr>
      <w:r>
        <w:t xml:space="preserve">Pre-mortem</w:t>
      </w:r>
    </w:p>
    <w:p>
      <w:pPr>
        <w:spacing w:after="100"/>
      </w:pPr>
      <w:r>
        <w:t xml:space="preserve">Octubre de 2029: la acción vale un 40 % menos. En 2027 los fabricantes de NAND ampliaron capacidad y el precio de la flash cayó; los ingresos de producto, inflados por las subidas de 2026, se frenaron, y los ≈1.000 M USD de anticipos se consumieron a precios por encima del mercado, hundiendo el margen bruto. A la vez, el primer hiperescalador completó su despliegue y el segundo negoció una regalía menor. La empresa siguió pagando un 12 % de las ventas en acciones y el margen GAAP no pasó del 10 %. El mercado, que pagaba 66 veces un beneficio que esperaba triplicar, pasó a pagar 30 veces uno que solo se dobló. Señales que lo habrían anticipado: el margen bruto de producto (65,3 % en el 2T FY27, bajando), los anticipos a proveedores y la RPO de hiperescala.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Oportunidad · </w:t>
      </w:r>
      <w:r>
        <w:rPr>
          <w:b/>
          <w:bCs/>
        </w:rPr>
        <w:t xml:space="preserve">Efecto en valor (3-5 años):</w:t>
      </w:r>
      <w:r>
        <w:t xml:space="preserve"> +10 % sobre el valor intrínseco a 3-5 años</w:t>
      </w:r>
    </w:p>
    <w:p>
      <w:pPr>
        <w:spacing w:after="100"/>
      </w:pPr>
      <w:r>
        <w:t xml:space="preserve">La IA es el motor de la tesis, no una amenaza: los centros de datos de IA necesitan almacenamiento rápido y denso, y la flash de Everpure ahorra energía y espacio frente a los discos duros [1, 3]. Ya se nota en las cifras: producto +54 % y dos hiperescaladores [3]. El riesgo de que la IA sustituya su producto es bajo: no vende trabajo que un modelo automatice. El riesgo real es de dependencia: que la demanda de IA sea cíclica (una burbuja de inversión) y que el valor lo capturen los hiperescaladores con su poder de compra. Riesgo de IA para el negocio: bajo; riesgo de expectativas ligadas a la IA: alto. Señal: pedidos y regalías de hiperescala trimestre a trimestre.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El asunto material es la energía: la empresa vende menor consumo y espacio por terabyte frente a los discos duros, que es parte de su argumento ante los hiperescaladores [1]. El segundo es la cadena de suministro de componentes, con proveedores en Asia (incluida China) y riesgo de aranceles y de minerales de conflicto (presenta el formulario SD cada año) [1]. El tercero es la remuneración en acciones, que diluye al accionista.</w:t>
      </w:r>
    </w:p>
    <w:p>
      <w:pPr>
        <w:pStyle w:val="Heading2"/>
      </w:pPr>
      <w:r>
        <w:t xml:space="preserve">Controversias</w:t>
      </w:r>
    </w:p>
    <w:p>
      <w:pPr>
        <w:spacing w:after="100"/>
      </w:pPr>
      <w:r>
        <w:t xml:space="preserve">Sin sanciones ni litigios relevantes en tres años en el 10-K FY2026 [1]. La única controversia de gobierno es el rechazo de la remuneración en la junta de 2024 [20].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Hiperescala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y qué ingreso por terabyte deja la regalía de hiperescala frente a la venta de cabinas?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sube o diluye el margen GAAP.</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+38 % de FY2027 es subida de precio por el coste de la flash?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el precio de la NAND baja, esa parte se pierde.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y en qué plazo se consumen los ≈700 M USD adelantados a proveedores?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margen si la flash se abarata.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bajarán los pagos en acciones del 12-13 %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margen ajustado del 19 % y el GAAP del 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venden el fundador y el consejero delegado tras la subida?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338,8 M USD vendidos en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FY2028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hiperescaladores supone el objetivo de 7.000-7.300 M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del crecimiento.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agosto, titulares de demanda «sin precedentes», victorias con hiperescaladores, entrada en el S&amp;P 500 y subidas de objetivo; el 13-oct, «podría casi doblar su beneficio, pero la valoración sigue alta»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la caída del 14-oct domina el corto plazo: cierre de huecos, «liquidez de salida» tras la subida y quejas por las ventas de consejeros; los alcistas la ven como la gran apuesta de datos para la IA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Comentarios de mercado (Trefis, TIKR)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descuenta que el negocio de hiperescala convierta a la empresa en otra de crecimiento alto; la duda es el margen y el precio de la memoria flash [35,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Everpure como ganador de la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lo apoyan en ventas (+38 %) y pedidos (RPO +44 %), no aún en beneficio GAAP (margen operativo del 5,3 %)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pide un 35,3 % anual de crecimiento: es exigente.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la dirección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Ciertas: 338,8 M USD en 12 meses, con planes programados [22].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Volatilidad y corto plazo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Volatilidad del 71 %; la acción cae y sube un 10 % en un día sin noticias.</w:t>
            </w:r>
          </w:p>
        </w:tc>
      </w:tr>
    </w:tbl>
    <w:p>
      <w:pPr>
        <w:spacing w:after="160" w:before="0"/>
      </w:pPr>
    </w:p>
    <w:p>
      <w:pPr>
        <w:spacing w:after="100"/>
      </w:pPr>
      <w:r>
        <w:t xml:space="preserve">El sentimiento es de euforia que se enfría: tras doblarse en seis meses y entrar en el S&amp;P 500, los foros pasan de «top holding» a hablar de cierre de huecos y de liquidez de salida. No anticipa ningún riesgo que el informe no recoja, pero confirma que el precio depende del flujo hacia los valores de IA más que de las cifras. Va en la misma dirección que los analistas (Comprar) y en contra de nuestra conclusión de valor.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20 controles correctos y 4 explicados. Fuentes: 36 (15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-33,0 % frente a -37,1 % real: genera una variación de circulante de -308 M en el primer año. Converge de forma gradual. Explicación: Los ingresos diferidos pesan menos sobre las ventas porque crece mucho más el producto (hiperescala, cobrado al entregar) que la suscripción; además la empresa ha adelantado ≈700 M USD a proveedores de flash en el 1S FY27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(124,7x → 55,5x): el salto implica un crecimiento del EBITDA que no cuadra con el de las ventas. ¿EBITDA de proveedores distintos, o un cambio de perímetro? Explicación: Everpure: el EBITDA contable de los últimos 12 meses (384 M) lleva restados ≈540 M de pagos en acciones y el de los próximos 12 meses sale del consenso ajustado; el salto es de definición y de crecimiento real (+38 % en ventas).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FY2029e (2,87) supone un 73,4 % anual desde 0,55 (FY2026): explícalo en valoracion.objetivo_12m.comentario o la confianza es baja. Explicación: El BPA GAAP parte de un año de márgenes mínimos (5,1 % neto en FY2026): pasar a 2,87 en FY2029e es la guía de ingresos (+38 %) más el apalancamiento operativo; el consenso está aún más arriba (3,06).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48.899, publicada 43.740: revisa acciones y precio. Explicación: Stock Analysis multiplica por 333,2 M de acciones en circulación; el informe usa 345,6 M diluidas (2T FY27) [3, 27].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7, 9, 10,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producto y suscripción de FY2021-FY2023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(solo tres ejercicios); 2) XBRL (miembros de producto sin serie descargada); 3) notas de prensa antiguas (no descargadas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del 3T FY25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del 3T FY26 (solo el trimestre del año anterior); 2) XBRL trimestral no descargado; 3) prensa sin cifra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años con el mismo 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(informe de Deloitte sin año de inicio visible en el texto extraído); 2) proxy 2026 (ratificación); 3) búsqueda en el texto «since 20..»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cuotas y serie larga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IDC Worldwide Quarterly Enterprise Storage Systems Tracker (de pago); 2) prensa que lo resume (solo totales 2025 y trimestres); 3) Gartner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(sin calificaciones); 2) MSCI ESG Ratings (requiere JavaScript); 3) Sustainalytics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en contra exacto de la junta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(solo «algo más del 40 % a favor»); 2) 8-K de la junta de 2024 (no descargado por tiempo); 3) prensa sin cifra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a favor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operaciones de almacenamiento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las operaciones (solo valor y precio por acción); 2) S&amp;P Global y prensa (sin múltiplos de EBITDA del objetivo); 3) bases de operaciones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omitida; peso de transacciones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de 151,11 USD y 20 analistas, consenso Comprar); 2) Gotrade (16 comprar, 1 mantener, 1 vender; tabla anterior a las subidas de octubre); 3) Investing (requiere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NTM y crecimiento esperado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(solo LTM y PER adelantado); 2) MarketScreener (no abre sin sesión); 3) informes del repositorio (otra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comparables con peso 0</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fiscal 2026 (cerrado el 1-feb-2026): cuentas auditadas, ingresos por producto y suscripción, geografías, competencia,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Everpure,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https://www.sec.gov/Archives/edgar/data/1474432/000147443226000027/pstg-20260201.htm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FY2017-FY2026, ingresos diferidos, pagos en acciones, retenciones fiscales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https://data.sec.gov/api/xbrl/companyfacts/CIK0001474432.json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Announces Second Quarter Fiscal 2027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https://www.sec.gov/Archives/edgar/data/1474432/000147443226000084/everpure-ex991q2fy2027xpre.htm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 FY27 (balance a 2-ago-2026; compra de 1touch; anticipos a proveedores)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https://www.sec.gov/Archives/edgar/data/1474432/000147443226000088/pstg-20260802.htm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Announces First Quarter Fiscal 2027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https://www.sec.gov/Archives/edgar/data/1474432/000147443226000046/pstg-ex991q1fy2027xpressre.htm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Fiscal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https://www.sec.gov/Archives/edgar/data/1474432/000147443226000015/pstg-ex991q4fy2026.htm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Third Quarter Fiscal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https://www.sec.gov/Archives/edgar/data/1474432/000147443225000062/pstg-ex991q3fy2026xpressre.htm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Second Quarter Fiscal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https://www.sec.gov/Archives/edgar/data/1474432/000147443225000038/pstg-ex991q2fy2026xpressre.htm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First Quarter Fiscal 2026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https://www.sec.gov/Archives/edgar/data/1474432/000162828025028151/pstg-ex991q1fy2026xpressre.htm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Fourth Quarter and Full Year Fiscal 2025 Financial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https://www.sec.gov/Archives/edgar/data/1474432/000162828025008136/pstg-ex991q4fy2025.htm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Forms 10-K FY2022-FY2024 (valores negociables al cierre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https://www.sec.gov/Archives/edgar/data/1474432/000162828024013860/0001628280-24-013860-index.htm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storage market hits record $33bn as firms upgrade systems (IDC, almacenamiento externo empresarial 2025: 33.000 M USD, +3,9 %)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Cyprus Mail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https://cyprus-mail.com/2026/03/23/global-storage-market-hits-record-33bn-as-firms-upgrade-systems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 für Enterprise-Storage wächst um 5,5 Prozent (IDC 4T25: 9.700 M USD; flash +18,1 %, híbridos −6,7 %)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 Reseller (IDC)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https://www.itreseller.ch/Artikel/105085/Markt_fuer_Enterprise-Storage_waechst_um_55_Prozent.html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 storage tracker shows Pure and Huawei growing fastest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Blocks &amp; Files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https://blocksandfiles.com/2025/12/12/idc-storage-tracker-shows-pure-and-huawei-growing-fastest/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NetApp: estadísticas (ingresos LTM 7.390 M USD, margen EBITDA 28,4 %)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https://stockanalysis.com/stocks/ntap/statistics/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 Technologies: estadísticas (ingresos LTM 151.200 M USD, margen EBITDA 11,7 %)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https://stockanalysis.com/stocks/dell/statistics/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Hewlett Packard Enterprise: estadísticas (ingresos LTM 41.870 M USD, margen EBITDA 16,5 %)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https://stockanalysis.com/stocks/hpe/statistics/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Nutanix: estadísticas (ingresos LTM 2.850 M USD, margen EBITDA 13,0 %)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https://stockanalysis.com/stocks/ntnx/statistics/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storage to data intelligence: Everpure's big AI-era rebrand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https://www.barchart.com/story/news/795029/data-storage-to-data-intelligence-everpure-s-big-ai-era-rebrand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FY2026, ratio salarial 90:1, participaciones, voto de 2024 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https://www.sec.gov/Archives/edgar/data/1474432/000147443226000041/pstg-20260430.htm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10-jun-2026 (consejeros, auditor y voto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https://www.sec.gov/Archives/edgar/data/1474432/000147443226000066/pstg-20260610.htm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https://www.sec.gov/cgi-bin/browse-edgar?action=getcompany&amp;CIK=0001474432&amp;type=4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 SPY y XLK (herramientas/bolsa.mjs y movimiento.mjs), hasta el 14/15-oct-2026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Financial data, forecasts, estimates (consenso FY2026-FY2029; EBIT ajustado, BPA GAAP; 20 analistas, objetivo medio 151,11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https://www.marketscreener.com/quote/stock/EVERPURE-INC-24203395/finances/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estadísticas (333,2 M acciones, posición corta 2,57 % del flotante, próximos resultados 18-nov-2026)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stock surges after FY28 revenue outlook (objetivos FY2028: ingresos 7.000-7.300 M USD, resultado operativo ajustado 1.700-1.900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https://parameter.io/everpure-p-stock-surges-7-following-aggressive-ai-revenue-forecast/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noticias (S&amp;P 500 desde septiembre, subidas de objetivo de Needham, Guggenheim y Evercore en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Pure Storage tumbles after Q3 results, analysts show mixed sentiment (márgenes y reinversión del negocio de hiperescala)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https://seekingalpha.com/news/4527996-pure-storage-tumbles-after-q3-results-analysts-show-mixed-sentiment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Everpure (P) shares are trading lower today (guía del 2T por debajo de lo esperado tras el 1T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https://stocks.observer-reporter.com/observerreporter/article/stockstory-2026-5-28-why-everpure-p-shares-are-trading-lower-today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look at Everpure Inc (P) after 9.9% decline (cierre de 141,49 USD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https://www.gurufocus.com/news/9124156/a-look-at-everpure-inc-p-after-99-decline-gf-value-8279-vs-price-14149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Inc.: noticias y análisis (titulares de agosto a octubre de 2026,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https://seekingalpha.com/api/sa/combined/P.xml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$P (30 mensajes, 14 y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https://api.stocktwits.com/api/2/streams/symbol/P.json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are Everpure investors betting 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Trefis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https://www.trefis.com/stock/p/articles/617930/what-are-everpure-investors-betting-on/2026-10-08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Everpure stock fell 12% after earnings. Is the selloff an opportunity?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https://www.tikr.com/blog/everpure-stock-rises-after-q1-2027-earnings-beat-what-a-129-target-means-for-investors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82,9 %</w:t>
      </w:r>
      <w:r>
        <w:t xml:space="preserve"> · Secciones con menos del 60 % de campos cubiertos: </w:t>
      </w:r>
      <w:r>
        <w:rPr>
          <w:b/>
          <w:bCs/>
        </w:rPr>
        <w:t xml:space="preserve">transacciones, consenso</w:t>
      </w:r>
      <w:r>
        <w:t xml:space="preserve"> · Generado el 15 oct 2026.</w:t>
      </w:r>
    </w:p>
    <w:p>
      <w:pPr>
        <w:pStyle w:val="Nota"/>
        <w:spacing w:after="100"/>
      </w:pPr>
      <w:r>
        <w:t xml:space="preserve">Línea cotizada: acciones ordinarias de clase A en la Bolsa de Nueva York (símbolo P desde enero de 2026; antes PSTG). ISIN de Pure Storage (US74624M1027), el que figura en los registros consultados. Ejercicio de 52/53 semanas que acaba el primer domingo después del 30 de enero: FY2026 = febrero de 2025 a 1-feb-2026 (etiqueta «fin»). Precio: cierre del 14-oct-2026 (141,49 USD); la sesión del 15-oct no había cerrado y a media sesión cotizaba en torno a 131 USD (−7 %). Caja = caja más valores negociables. Deuda: los convertibles de 2023 y el préstamo de 100 M USD ya están amortizados; arrendamientos operativos fuera de la deuda (US GAAP). Ingresos por producto y suscripción solo desde FY2024 (los anteriores no se han reexpresado en el material leído). El objetivo FY2028 de la reunión con analistas del 23-sep-2026 viene de prensa, no del documento de la empresa.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Everpure, Inc. (antes Pure Storage, Inc.) (P)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141,49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(56,78 – 157,57)</c:v>
                </c:pt>
                <c:pt idx="1">
                  <c:v>Comparables: PER NTM (34,49 – 52,39)</c:v>
                </c:pt>
                <c:pt idx="2">
                  <c:v>DCF (WACC y g ± 0,5) (38,14 – 44,18)</c:v>
                </c:pt>
                <c:pt idx="3">
                  <c:v>Escenarios (bajista – alcista) (22,65 – 56,55)</c:v>
                </c:pt>
                <c:pt idx="4">
                  <c:v>DCF con la prima implícita del mercado (4,2 %)</c:v>
                </c:pt>
                <c:pt idx="5">
                  <c:v>Precio actual (141,49)</c:v>
                </c:pt>
              </c:strCache>
            </c:strRef>
          </c:cat>
          <c:val>
            <c:numRef>
              <c:f>Hoja1!$B$2:$B$7</c:f>
              <c:numCache>
                <c:formatCode>#,##0</c:formatCode>
                <c:ptCount val="6"/>
                <c:pt idx="0">
                  <c:v>56.78</c:v>
                </c:pt>
                <c:pt idx="1">
                  <c:v>34.49</c:v>
                </c:pt>
                <c:pt idx="2">
                  <c:v>38.14</c:v>
                </c:pt>
                <c:pt idx="3">
                  <c:v>22.65</c:v>
                </c:pt>
                <c:pt idx="4">
                  <c:v>47.36</c:v>
                </c:pt>
                <c:pt idx="5">
                  <c:v>140.78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(56,78 – 157,57)</c:v>
                </c:pt>
                <c:pt idx="1">
                  <c:v>Comparables: PER NTM (34,49 – 52,39)</c:v>
                </c:pt>
                <c:pt idx="2">
                  <c:v>DCF (WACC y g ± 0,5) (38,14 – 44,18)</c:v>
                </c:pt>
                <c:pt idx="3">
                  <c:v>Escenarios (bajista – alcista) (22,65 – 56,55)</c:v>
                </c:pt>
                <c:pt idx="4">
                  <c:v>DCF con la prima implícita del mercado (4,2 %)</c:v>
                </c:pt>
                <c:pt idx="5">
                  <c:v>Precio actual (141,49)</c:v>
                </c:pt>
              </c:strCache>
            </c:strRef>
          </c:cat>
          <c:val>
            <c:numRef>
              <c:f>Hoja1!$C$2:$C$7</c:f>
              <c:numCache>
                <c:formatCode>#,##0</c:formatCode>
                <c:ptCount val="6"/>
                <c:pt idx="0">
                  <c:v>100.78999999999999</c:v>
                </c:pt>
                <c:pt idx="1">
                  <c:v>17.9</c:v>
                </c:pt>
                <c:pt idx="2">
                  <c:v>6.039999999999999</c:v>
                </c:pt>
                <c:pt idx="3">
                  <c:v>33.9</c:v>
                </c:pt>
                <c:pt idx="4">
                  <c:v>5.850000000000001</c:v>
                </c:pt>
                <c:pt idx="5">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Producto</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1622.9</c:v>
                </c:pt>
                <c:pt idx="1">
                  <c:v>1699.5</c:v>
                </c:pt>
                <c:pt idx="2">
                  <c:v>1971.7</c:v>
                </c:pt>
              </c:numCache>
            </c:numRef>
          </c:val>
        </c:ser>
        <c:ser>
          <c:idx val="1"/>
          <c:order val="1"/>
          <c:tx>
            <c:strRef>
              <c:f>Hoja1!$C$1</c:f>
              <c:strCache>
                <c:ptCount val="1"/>
                <c:pt idx="0">
                  <c:v>Servicios de suscripción</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1207.8</c:v>
                </c:pt>
                <c:pt idx="1">
                  <c:v>1468.7</c:v>
                </c:pt>
                <c:pt idx="2">
                  <c:v>1691.2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Producto</c:v>
                </c:pt>
                <c:pt idx="1">
                  <c:v>Servicios de suscripción</c:v>
                </c:pt>
              </c:strCache>
            </c:strRef>
          </c:cat>
          <c:val>
            <c:numRef>
              <c:f>Hoja1!$B$2:$B$3</c:f>
              <c:numCache>
                <c:formatCode>General</c:formatCode>
                <c:ptCount val="2"/>
                <c:pt idx="0">
                  <c:v>53.8</c:v>
                </c:pt>
                <c:pt idx="1">
                  <c:v>46.2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67.3</c:v>
                </c:pt>
                <c:pt idx="1">
                  <c:v>32.7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31760</c:v>
                </c:pt>
                <c:pt idx="1">
                  <c:v>33000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Everpure</c:v>
                </c:pt>
                <c:pt idx="1">
                  <c:v>Dell Technologies (Dell EMC: PowerStore, PowerMax, PowerScale)</c:v>
                </c:pt>
                <c:pt idx="2">
                  <c:v>NetApp</c:v>
                </c:pt>
                <c:pt idx="3">
                  <c:v>Hewlett Packard Enterprise (Alletra)</c:v>
                </c:pt>
                <c:pt idx="4">
                  <c:v>Huawei (OceanStor)</c:v>
                </c:pt>
                <c:pt idx="5">
                  <c:v>IBM y Hitachi Vantara</c:v>
                </c:pt>
                <c:pt idx="6">
                  <c:v>Nutanix</c:v>
                </c:pt>
              </c:strCache>
            </c:strRef>
          </c:cat>
          <c:val>
            <c:numRef>
              <c:f>Hoja1!$B$2:$B$8</c:f>
              <c:numCache>
                <c:formatCode>0.0"%"</c:formatCode>
                <c:ptCount val="7"/>
                <c:pt idx="0">
                  <c:v>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Hoja1!$B$2:$B$15</c:f>
              <c:numCache>
                <c:formatCode>#,##0</c:formatCode>
                <c:ptCount val="14"/>
                <c:pt idx="0">
                  <c:v>1684.2</c:v>
                </c:pt>
                <c:pt idx="1">
                  <c:v>2180.8</c:v>
                </c:pt>
                <c:pt idx="2">
                  <c:v>2753.4</c:v>
                </c:pt>
                <c:pt idx="3">
                  <c:v>2830.6</c:v>
                </c:pt>
                <c:pt idx="4">
                  <c:v>3168.2</c:v>
                </c:pt>
                <c:pt idx="5">
                  <c:v>3662.8</c:v>
                </c:pt>
                <c:pt idx="6">
                  <c:v>5055</c:v>
                </c:pt>
                <c:pt idx="7">
                  <c:v>6672</c:v>
                </c:pt>
                <c:pt idx="8">
                  <c:v>7873</c:v>
                </c:pt>
                <c:pt idx="9">
                  <c:v>8897</c:v>
                </c:pt>
                <c:pt idx="10">
                  <c:v>9786</c:v>
                </c:pt>
                <c:pt idx="11">
                  <c:v>10569</c:v>
                </c:pt>
                <c:pt idx="12">
                  <c:v>11203</c:v>
                </c:pt>
                <c:pt idx="13">
                  <c:v>11708</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strCache>
            </c:strRef>
          </c:cat>
          <c:val>
            <c:numRef>
              <c:f>Hoja1!$C$2:$C$15</c:f>
              <c:numCache>
                <c:formatCode>#,##0</c:formatCode>
                <c:ptCount val="14"/>
                <c:pt idx="0">
                  <c:v>-203.9</c:v>
                </c:pt>
                <c:pt idx="1">
                  <c:v>-32.5</c:v>
                </c:pt>
                <c:pt idx="2">
                  <c:v>170.5</c:v>
                </c:pt>
                <c:pt idx="3">
                  <c:v>166.2</c:v>
                </c:pt>
                <c:pt idx="4">
                  <c:v>199.8</c:v>
                </c:pt>
                <c:pt idx="5">
                  <c:v>251.6</c:v>
                </c:pt>
                <c:pt idx="6">
                  <c:v>505</c:v>
                </c:pt>
                <c:pt idx="7">
                  <c:v>1101</c:v>
                </c:pt>
                <c:pt idx="8">
                  <c:v>1496</c:v>
                </c:pt>
                <c:pt idx="9">
                  <c:v>1779</c:v>
                </c:pt>
                <c:pt idx="10">
                  <c:v>2055</c:v>
                </c:pt>
                <c:pt idx="11">
                  <c:v>2272</c:v>
                </c:pt>
                <c:pt idx="12">
                  <c:v>2465</c:v>
                </c:pt>
                <c:pt idx="13">
                  <c:v>2576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68.2</c:v>
                </c:pt>
                <c:pt idx="1">
                  <c:v>67.5</c:v>
                </c:pt>
                <c:pt idx="2">
                  <c:v>68.9</c:v>
                </c:pt>
                <c:pt idx="3">
                  <c:v>71.4</c:v>
                </c:pt>
                <c:pt idx="4">
                  <c:v>69.8</c:v>
                </c:pt>
                <c:pt idx="5">
                  <c:v>70.4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-12.1</c:v>
                </c:pt>
                <c:pt idx="1">
                  <c:v>-1.5</c:v>
                </c:pt>
                <c:pt idx="2">
                  <c:v>6.2</c:v>
                </c:pt>
                <c:pt idx="3">
                  <c:v>5.9</c:v>
                </c:pt>
                <c:pt idx="4">
                  <c:v>6.3</c:v>
                </c:pt>
                <c:pt idx="5">
                  <c:v>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-15.5</c:v>
                </c:pt>
                <c:pt idx="1">
                  <c:v>-4.5</c:v>
                </c:pt>
                <c:pt idx="2">
                  <c:v>3</c:v>
                </c:pt>
                <c:pt idx="3">
                  <c:v>1.9</c:v>
                </c:pt>
                <c:pt idx="4">
                  <c:v>2.7</c:v>
                </c:pt>
                <c:pt idx="5">
                  <c:v>3.1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-16.7</c:v>
                </c:pt>
                <c:pt idx="1">
                  <c:v>-6.6</c:v>
                </c:pt>
                <c:pt idx="2">
                  <c:v>2.7</c:v>
                </c:pt>
                <c:pt idx="3">
                  <c:v>2.2</c:v>
                </c:pt>
                <c:pt idx="4">
                  <c:v>3.4</c:v>
                </c:pt>
                <c:pt idx="5">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 FY25</c:v>
                </c:pt>
                <c:pt idx="1">
                  <c:v>4T FY25</c:v>
                </c:pt>
                <c:pt idx="2">
                  <c:v>1T FY26</c:v>
                </c:pt>
                <c:pt idx="3">
                  <c:v>2T FY26</c:v>
                </c:pt>
                <c:pt idx="4">
                  <c:v>3T FY26</c:v>
                </c:pt>
                <c:pt idx="5">
                  <c:v>4T FY26</c:v>
                </c:pt>
                <c:pt idx="6">
                  <c:v>1T FY27</c:v>
                </c:pt>
                <c:pt idx="7">
                  <c:v>2T FY27</c:v>
                </c:pt>
              </c:strCache>
            </c:strRef>
          </c:cat>
          <c:val>
            <c:numRef>
              <c:f>Hoja1!$B$2:$B$9</c:f>
              <c:numCache>
                <c:formatCode>0.0"%"</c:formatCode>
                <c:ptCount val="8"/>
                <c:pt idx="1">
                  <c:v>11.4</c:v>
                </c:pt>
                <c:pt idx="2">
                  <c:v>12.3</c:v>
                </c:pt>
                <c:pt idx="3">
                  <c:v>12.7</c:v>
                </c:pt>
                <c:pt idx="4">
                  <c:v>16</c:v>
                </c:pt>
                <c:pt idx="5">
                  <c:v>20.4</c:v>
                </c:pt>
                <c:pt idx="6">
                  <c:v>35.2</c:v>
                </c:pt>
                <c:pt idx="7">
                  <c:v>37.7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100</c:v>
                </c:pt>
                <c:pt idx="1">
                  <c:v>91</c:v>
                </c:pt>
                <c:pt idx="2">
                  <c:v>81</c:v>
                </c:pt>
                <c:pt idx="3">
                  <c:v>85</c:v>
                </c:pt>
                <c:pt idx="4">
                  <c:v>78</c:v>
                </c:pt>
                <c:pt idx="5">
                  <c:v>94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32</c:v>
                </c:pt>
                <c:pt idx="1">
                  <c:v>20</c:v>
                </c:pt>
                <c:pt idx="2">
                  <c:v>21</c:v>
                </c:pt>
                <c:pt idx="3">
                  <c:v>19</c:v>
                </c:pt>
                <c:pt idx="4">
                  <c:v>16</c:v>
                </c:pt>
                <c:pt idx="5">
                  <c:v>26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46</c:v>
                </c:pt>
                <c:pt idx="1">
                  <c:v>36</c:v>
                </c:pt>
                <c:pt idx="2">
                  <c:v>29</c:v>
                </c:pt>
                <c:pt idx="3">
                  <c:v>37</c:v>
                </c:pt>
                <c:pt idx="4">
                  <c:v>43</c:v>
                </c:pt>
                <c:pt idx="5">
                  <c:v>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92.6</c:v>
                </c:pt>
                <c:pt idx="1">
                  <c:v>306.8</c:v>
                </c:pt>
                <c:pt idx="2">
                  <c:v>603</c:v>
                </c:pt>
                <c:pt idx="3">
                  <c:v>475.20000000000005</c:v>
                </c:pt>
                <c:pt idx="4">
                  <c:v>521.7</c:v>
                </c:pt>
                <c:pt idx="5">
                  <c:v>614.5999999999999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-282.1</c:v>
                </c:pt>
                <c:pt idx="1">
                  <c:v>-143.3</c:v>
                </c:pt>
                <c:pt idx="2">
                  <c:v>73.1</c:v>
                </c:pt>
                <c:pt idx="3">
                  <c:v>61.3</c:v>
                </c:pt>
                <c:pt idx="4">
                  <c:v>106.7</c:v>
                </c:pt>
                <c:pt idx="5">
                  <c:v>188.2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-77.6</c:v>
                </c:pt>
                <c:pt idx="1">
                  <c:v>-38.8</c:v>
                </c:pt>
                <c:pt idx="2">
                  <c:v>217.3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13.5</c:v>
                </c:pt>
                <c:pt idx="1">
                  <c:v>13.5</c:v>
                </c:pt>
                <c:pt idx="2">
                  <c:v>13.5</c:v>
                </c:pt>
                <c:pt idx="3">
                  <c:v>13.5</c:v>
                </c:pt>
                <c:pt idx="4">
                  <c:v>13.5</c:v>
                </c:pt>
                <c:pt idx="5">
                  <c:v>13.5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-37.6</c:v>
                </c:pt>
                <c:pt idx="1">
                  <c:v>-19.1</c:v>
                </c:pt>
                <c:pt idx="2">
                  <c:v>8.6</c:v>
                </c:pt>
                <c:pt idx="3">
                  <c:v>5.5</c:v>
                </c:pt>
                <c:pt idx="4">
                  <c:v>8.3</c:v>
                </c:pt>
                <c:pt idx="5">
                  <c:v>13.7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2.44</c:v>
                </c:pt>
                <c:pt idx="1">
                  <c:v>19.28</c:v>
                </c:pt>
                <c:pt idx="2">
                  <c:v>-5.91</c:v>
                </c:pt>
                <c:pt idx="3">
                  <c:v>-8.61</c:v>
                </c:pt>
                <c:pt idx="4">
                  <c:v>-7.12</c:v>
                </c:pt>
                <c:pt idx="5">
                  <c:v>-6.15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340</c:v>
                </c:pt>
                <c:pt idx="1">
                  <c:v>0</c:v>
                </c:pt>
                <c:pt idx="2">
                  <c:v>2</c:v>
                </c:pt>
                <c:pt idx="3">
                  <c:v>0</c:v>
                </c:pt>
                <c:pt idx="4">
                  <c:v>0</c:v>
                </c:pt>
                <c:pt idx="5">
                  <c:v>4.3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143.5</c:v>
                </c:pt>
                <c:pt idx="1">
                  <c:v>211</c:v>
                </c:pt>
                <c:pt idx="2">
                  <c:v>238.7</c:v>
                </c:pt>
                <c:pt idx="3">
                  <c:v>165.8</c:v>
                </c:pt>
                <c:pt idx="4">
                  <c:v>580.6</c:v>
                </c:pt>
                <c:pt idx="5">
                  <c:v>613.5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2</c:v>
                </c:pt>
                <c:pt idx="1">
                  <c:v>1</c:v>
                </c:pt>
                <c:pt idx="2">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FMR (Fidelity)</c:v>
                </c:pt>
                <c:pt idx="1">
                  <c:v>BlackRock, Inc.</c:v>
                </c:pt>
                <c:pt idx="2">
                  <c:v>John Colgrove (fundador)</c:v>
                </c:pt>
                <c:pt idx="3">
                  <c:v>Consejeros y directivos (14 personas)</c:v>
                </c:pt>
              </c:strCache>
            </c:strRef>
          </c:cat>
          <c:val>
            <c:numRef>
              <c:f>Hoja1!$B$2:$B$5</c:f>
              <c:numCache>
                <c:formatCode>0.0"%"</c:formatCode>
                <c:ptCount val="4"/>
                <c:pt idx="0">
                  <c:v>14.1</c:v>
                </c:pt>
                <c:pt idx="1">
                  <c:v>10</c:v>
                </c:pt>
                <c:pt idx="2">
                  <c:v>3.8</c:v>
                </c:pt>
                <c:pt idx="3">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-27.4</c:v>
                </c:pt>
                <c:pt idx="1">
                  <c:v>40.2</c:v>
                </c:pt>
                <c:pt idx="2">
                  <c:v>1.4</c:v>
                </c:pt>
                <c:pt idx="3">
                  <c:v>6.4</c:v>
                </c:pt>
                <c:pt idx="4">
                  <c:v>32.1</c:v>
                </c:pt>
                <c:pt idx="5">
                  <c:v>44</c:v>
                </c:pt>
                <c:pt idx="6">
                  <c:v>-17.8</c:v>
                </c:pt>
                <c:pt idx="7">
                  <c:v>33.3</c:v>
                </c:pt>
                <c:pt idx="8">
                  <c:v>72.3</c:v>
                </c:pt>
                <c:pt idx="9">
                  <c:v>9.1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2">
                  <c:v>51.7</c:v>
                </c:pt>
                <c:pt idx="3">
                  <c:v>71.4</c:v>
                </c:pt>
                <c:pt idx="4">
                  <c:v>109.2</c:v>
                </c:pt>
                <c:pt idx="5">
                  <c:v>88.7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80.1</c:v>
                </c:pt>
                <c:pt idx="1">
                  <c:v>80.1</c:v>
                </c:pt>
                <c:pt idx="2">
                  <c:v>80.1</c:v>
                </c:pt>
                <c:pt idx="3">
                  <c:v>80.1</c:v>
                </c:pt>
                <c:pt idx="4">
                  <c:v>80.1</c:v>
                </c:pt>
                <c:pt idx="5">
                  <c:v>80.1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Everpure</c:v>
                </c:pt>
                <c:pt idx="1">
                  <c:v>NetApp</c:v>
                </c:pt>
                <c:pt idx="2">
                  <c:v>Dell Technologies</c:v>
                </c:pt>
                <c:pt idx="3">
                  <c:v>Hewlett Packard Enterprise</c:v>
                </c:pt>
                <c:pt idx="4">
                  <c:v>Nutanix</c:v>
                </c:pt>
                <c:pt idx="5">
                  <c:v>Arista Networks</c:v>
                </c:pt>
                <c:pt idx="6">
                  <c:v>Seagate Technology</c:v>
                </c:pt>
              </c:strCache>
            </c:strRef>
          </c:cat>
          <c:val>
            <c:numRef>
              <c:f>Hoja1!$B$2:$B$8</c:f>
              <c:numCache>
                <c:formatCode>0.0"x"</c:formatCode>
                <c:ptCount val="7"/>
                <c:pt idx="0">
                  <c:v>55.5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436</c:v>
                </c:pt>
                <c:pt idx="1">
                  <c:v>911</c:v>
                </c:pt>
                <c:pt idx="2">
                  <c:v>1061</c:v>
                </c:pt>
                <c:pt idx="3">
                  <c:v>1283</c:v>
                </c:pt>
                <c:pt idx="4">
                  <c:v>1463</c:v>
                </c:pt>
                <c:pt idx="5">
                  <c:v>1567</c:v>
                </c:pt>
                <c:pt idx="6">
                  <c:v>1761</c:v>
                </c:pt>
                <c:pt idx="7">
                  <c:v>1800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6066</c:v>
                </c:pt>
                <c:pt idx="1">
                  <c:v>7055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141,49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22.65</c:v>
                </c:pt>
                <c:pt idx="1">
                  <c:v>40.88</c:v>
                </c:pt>
                <c:pt idx="2">
                  <c:v>56.55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141,49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(56,78 – 157,57)</c:v>
                </c:pt>
                <c:pt idx="1">
                  <c:v>Comparables: PER NTM (34,49 – 52,39)</c:v>
                </c:pt>
                <c:pt idx="2">
                  <c:v>DCF (WACC y g ± 0,5) (38,14 – 44,18)</c:v>
                </c:pt>
                <c:pt idx="3">
                  <c:v>Escenarios (bajista – alcista) (22,65 – 56,55)</c:v>
                </c:pt>
                <c:pt idx="4">
                  <c:v>DCF con la prima implícita del mercado (4,2 %)</c:v>
                </c:pt>
                <c:pt idx="5">
                  <c:v>Precio actual (141,49)</c:v>
                </c:pt>
              </c:strCache>
            </c:strRef>
          </c:cat>
          <c:val>
            <c:numRef>
              <c:f>Hoja1!$B$2:$B$7</c:f>
              <c:numCache>
                <c:formatCode>#,##0</c:formatCode>
                <c:ptCount val="6"/>
                <c:pt idx="0">
                  <c:v>56.78</c:v>
                </c:pt>
                <c:pt idx="1">
                  <c:v>34.49</c:v>
                </c:pt>
                <c:pt idx="2">
                  <c:v>38.14</c:v>
                </c:pt>
                <c:pt idx="3">
                  <c:v>22.65</c:v>
                </c:pt>
                <c:pt idx="4">
                  <c:v>47.36</c:v>
                </c:pt>
                <c:pt idx="5">
                  <c:v>140.78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(56,78 – 157,57)</c:v>
                </c:pt>
                <c:pt idx="1">
                  <c:v>Comparables: PER NTM (34,49 – 52,39)</c:v>
                </c:pt>
                <c:pt idx="2">
                  <c:v>DCF (WACC y g ± 0,5) (38,14 – 44,18)</c:v>
                </c:pt>
                <c:pt idx="3">
                  <c:v>Escenarios (bajista – alcista) (22,65 – 56,55)</c:v>
                </c:pt>
                <c:pt idx="4">
                  <c:v>DCF con la prima implícita del mercado (4,2 %)</c:v>
                </c:pt>
                <c:pt idx="5">
                  <c:v>Precio actual (141,49)</c:v>
                </c:pt>
              </c:strCache>
            </c:strRef>
          </c:cat>
          <c:val>
            <c:numRef>
              <c:f>Hoja1!$C$2:$C$7</c:f>
              <c:numCache>
                <c:formatCode>#,##0</c:formatCode>
                <c:ptCount val="6"/>
                <c:pt idx="0">
                  <c:v>100.78999999999999</c:v>
                </c:pt>
                <c:pt idx="1">
                  <c:v>17.9</c:v>
                </c:pt>
                <c:pt idx="2">
                  <c:v>6.039999999999999</c:v>
                </c:pt>
                <c:pt idx="3">
                  <c:v>33.9</c:v>
                </c:pt>
                <c:pt idx="4">
                  <c:v>5.850000000000001</c:v>
                </c:pt>
                <c:pt idx="5">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