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Exelixis, Inc.</w:t>
      </w:r>
    </w:p>
    <w:p>
      <w:pPr>
        <w:spacing w:after="60"/>
        <w:rPr>
          <w:color w:val="52514E"/>
          <w:sz w:val="22"/>
          <w:szCs w:val="22"/>
        </w:rPr>
      </w:pPr>
      <w:r>
        <w:rPr>
          <w:color w:val="52514E"/>
          <w:sz w:val="22"/>
          <w:szCs w:val="22"/>
        </w:rPr>
        <w:t xml:space="preserve">EXEL · Nasdaq Global Select · ISIN US30161Q1040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60,99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70,61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+15,8 % (base +11,4 %)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39,74 USD · mercado 41,80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15.656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Exelixis,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EXEL / US30161Q1040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Alameda (California) · 1994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exelixis.com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60,99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33,76 – 61,66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15.656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14.330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70,61 USD</w:t>
      </w:r>
      <w:r>
        <w:t xml:space="preserve"> frente a 60,99 · Rentabilidad a 12 meses </w:t>
      </w:r>
      <w:r>
        <w:rPr>
          <w:b/>
          <w:bCs/>
        </w:rPr>
        <w:t xml:space="preserve">+15,8 % (base +11,4 %)</w:t>
      </w:r>
      <w:r>
        <w:t xml:space="preserve"> · Valor intrínseco 39,74 USD · con la prima implícita del mercado: 41,80 (-31,5 %) · Alcista / bajista -29,5 % / -49,8 %</w:t>
      </w:r>
    </w:p>
    <w:p>
      <w:pPr>
        <w:spacing w:after="100"/>
      </w:pPr>
      <w:r>
        <w:rPr>
          <w:b/>
        </w:rPr>
        <w:t xml:space="preserve">La recomendación y por qué.</w:t>
      </w:r>
      <w:r>
        <w:t xml:space="preserve"> Mantener con convicción media; no es una compra. El objetivo a 12 meses es de 70,61 USD frente a un precio de 60,99 (cierre del 14-oct): rentabilidad ponderada del 15,8 % y del 11,4 % en el caso base, por debajo del 12 % que pide la regla. Además, el valor intrínseco (39,74 USD) queda un 34,8 % por debajo del precio, así que no pasa el filtro de valor real. El objetivo medio de los analistas (54,87 USD) también está por debajo del precio [20]. La convicción es media porque las dos reglas del valor intrínseco coinciden y el base está lejos del umbral; subiría hacia vender si STELLAR-304 o la FDA decepcionan, y hacia mantener firme si gana el juicio de la patente '039 en noviembre.</w:t>
      </w:r>
    </w:p>
    <w:p>
      <w:pPr>
        <w:spacing w:after="100"/>
      </w:pPr>
      <w:r>
        <w:rPr>
          <w:b/>
        </w:rPr>
        <w:t xml:space="preserve">El negocio.</w:t>
      </w:r>
      <w:r>
        <w:t xml:space="preserve"> Un solo producto, cabozantinib, con 2.123 M USD de ventas en EE. UU. en 2025 (+17 %) y 179 M de royalties, sin deuda y con un ROIC del 149,3 % frente a un WACC del 11,11 % [1]. El problema es la fecha: genérico de MSN no antes del 15-ene-2030 y genéricos con licencia desde el 1-ene-2031 [12, 13]. Sostenibilidad del crecimiento: «En parte»: la calidad del negocio no protege de un vencimiento de patente, y el relevo depende de zanzalintinib, todavía sin aprobar.</w:t>
      </w:r>
    </w:p>
    <w:p>
      <w:pPr>
        <w:spacing w:after="100"/>
      </w:pPr>
      <w:r>
        <w:rPr>
          <w:b/>
        </w:rPr>
        <w:t xml:space="preserve">Finanzas.</w:t>
      </w:r>
      <w:r>
        <w:t xml:space="preserve"> Margen EBITDA del 39,7 % en 2025 y flujo libre de 876 M; 1.384 M de caja tras recomprar 2.900 M desde 2023 [1, 3]. La guía de 2026 se rebajó en agosto a 2.500-2.550 M de ingresos [3]. Cuentas limpias (Altman 16,00, Beneish −2,59).</w:t>
      </w:r>
    </w:p>
    <w:p>
      <w:pPr>
        <w:spacing w:after="100"/>
      </w:pPr>
      <w:r>
        <w:rPr>
          <w:b/>
        </w:rPr>
        <w:t xml:space="preserve">Equipo y gobierno.</w:t>
      </w:r>
      <w:r>
        <w:t xml:space="preserve"> Consejo independiente, voto anual y activistas (Caligan, Farallon) que han impuesto disciplina de capital. En contra: 33,24 M de remuneración del consejero delegado con un 20,9 % de votos en contra, y 42,2 M de ventas de directivos en 12 meses frente a 1,19 M de compras [16, 17, 18].</w:t>
      </w:r>
    </w:p>
    <w:p>
      <w:pPr>
        <w:spacing w:after="100"/>
      </w:pPr>
      <w:r>
        <w:rPr>
          <w:b/>
        </w:rPr>
        <w:t xml:space="preserve">Valoración.</w:t>
      </w:r>
      <w:r>
        <w:t xml:space="preserve"> El DCF da 37,42 USD con un caso base que ya pondera zanzalintinib hasta 2.350 M de ventas en 2035. El DCF inverso descuenta un crecimiento del 10,9 % anual hasta 2035 frente al 1,6 % de nuestro base: el precio supone que cabozantinib no cae o que zanzalintinib lo sustituye entero. El objetivo a 12 meses es alto porque el mercado paga 15 veces el BPA de 2028 (4,47 USD), el pico antes del vencimiento; esa es la discrepancia con el mercado.</w:t>
      </w:r>
    </w:p>
    <w:p>
      <w:pPr>
        <w:spacing w:after="100"/>
      </w:pPr>
      <w:r>
        <w:rPr>
          <w:b/>
        </w:rPr>
        <w:t xml:space="preserve">Riesgos y catalizadores.</w:t>
      </w:r>
      <w:r>
        <w:t xml:space="preserve"> El riesgo mayor es que zanzalintinib no llegue a tiempo (bajista del DCF: 30,59 USD); el segundo, un genérico antes de 2030. Catalizadores: juicio de la patente '039 (2-nov), resultados del 3T26 (3-nov, estimada), datos de STELLAR-304 (segundo semestre) y decisión de la FDA en colorrectal (3-mar-2027) [2, 3, 30]. Los foros están eufóricos por el impulso mientras la posición corta es del 11,37 % [21, 32].</w:t>
      </w:r>
    </w:p>
    <w:p>
      <w:pPr>
        <w:spacing w:after="100"/>
      </w:pPr>
      <w:r>
        <w:rPr>
          <w:b/>
        </w:rPr>
        <w:t xml:space="preserve">Qué cambiaría la decisión.</w:t>
      </w:r>
      <w:r>
        <w:t xml:space="preserve"> Comprar por debajo de 39,74 USD, el valor intrínseco; vender por encima de 78,45. Pasaríamos a vender si la FDA aprueba zanzalintinib solo para un subgrupo o STELLAR-304 no es positivo. Revisaríamos el valor al alza si gana el juicio de noviembre (MSN a 2032) o si LITESPARK-033 confirma a zanzalintinib en primera línea de riñón.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70,61 USD</w:t>
      </w:r>
      <w:r>
        <w:t xml:space="preserve"> (rentabilidad +15,8 % (base +11,4 %)) · Valor intrínseco: 39,74 USD (-34,8 % sobre 60,99) · con la prima implícita del mercado: 41,80 (-31,5 %)</w:t>
      </w:r>
    </w:p>
    <w:p>
      <w:pPr>
        <w:spacing w:after="100"/>
      </w:pPr>
      <w:r>
        <w:t xml:space="preserve">Exelixis vende cabozantinib, el inhibidor de quinasa más usado con inmunoterapia en el cáncer renal avanzado: 2.123 M USD de ventas en EE. UU. en 2025, un margen EBITDA del 39,7 %, sin deuda y con 1.384 M de caja tras devolver 2.900 M en recompras [1, 3]. Su valor depende de dos fechas: el genérico de MSN (no antes del 15-ene-2030) y los genéricos con licencia (1-ene-2031) [12, 13].</w:t>
      </w:r>
    </w:p>
    <w:p>
      <w:pPr>
        <w:spacing w:after="100"/>
      </w:pPr>
      <w:r>
        <w:t xml:space="preserve">El precio, 60,99 USD, es 16,5 veces nuestro BPA de 2027 y 14,8 veces el BPA ajustado de los próximos 12 meses. El DCF inverso dice que descuenta un crecimiento anual de las ventas del 10,9 % hasta 2035: más del triple de lo que crece su mercado (4,2 % según IMARC) y muy por encima de nuestro base, que ya incluye zanzalintinib [10].</w:t>
      </w:r>
    </w:p>
    <w:p>
      <w:pPr>
        <w:spacing w:after="100"/>
      </w:pPr>
      <w:r>
        <w:t xml:space="preserve">El mercado acierta en que cabozantinib aún crece y en que la caja y las recompras sostienen el BPA hasta 2029. Se equivoca, a nuestro juicio, en pagar un múltiplo constante sobre un beneficio que caerá a la mitad en 2031 si zanzalintinib no lo sustituye. Para invertir hay que creer que zanzalintinib llegará a 5.000-6.000 M en 2035, o que la empresa ganará otra vez en los tribunales; nada de eso está demostrado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3,96 = 47,52 · 15,2x × 4,47 = 67,94 · 20,5x × 4,83 = 99,02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 /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54,87 (nuestro base +23,8 %)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 / -49,8 %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11,1 %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39,74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39,74 y 78,45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78,45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39,74 USD (valor intrínseco) con el BPA intacto, pasaría a compra por valor.</w:t>
      </w:r>
    </w:p>
    <w:p>
      <w:pPr>
        <w:pStyle w:val="ListParagraph"/>
        <w:numPr>
          <w:ilvl w:val="0"/>
          <w:numId w:val="2"/>
        </w:numPr>
        <w:spacing w:after="60"/>
      </w:pPr>
      <w:r>
        <w:t xml:space="preserve">Si la FDA aprueba zanzalintinib solo para el subgrupo sin metástasis hepáticas o STELLAR-304 no es positivo, pasaríamos a Vender (ponderada ≤ −10 %).</w:t>
      </w:r>
    </w:p>
    <w:p>
      <w:pPr>
        <w:pStyle w:val="ListParagraph"/>
        <w:numPr>
          <w:ilvl w:val="0"/>
          <w:numId w:val="2"/>
        </w:numPr>
        <w:spacing w:after="60"/>
      </w:pPr>
      <w:r>
        <w:t xml:space="preserve">Si Exelixis gana el juicio de la patente '039 y MSN se retrasa a 2032, subiríamos el valor intrínseco en torno a un 10 %.</w:t>
      </w:r>
    </w:p>
    <w:p>
      <w:pPr>
        <w:pStyle w:val="ListParagraph"/>
        <w:numPr>
          <w:ilvl w:val="0"/>
          <w:numId w:val="2"/>
        </w:numPr>
        <w:spacing w:after="60"/>
      </w:pPr>
      <w:r>
        <w:t xml:space="preserve">Si el precio supera 78,45 USD sin cambios en el BPA,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10,9 % anual hasta 2035 y 16,5 veces el BPA de 2027: trata a Exelixis como si cabozantinib no tuviera fecha de caducidad o como si zanzalintinib ya fuera un éxito en riñón y colorrectal.</w:t>
      </w:r>
    </w:p>
    <w:p>
      <w:pPr>
        <w:keepNext/>
        <w:spacing w:after="100"/>
      </w:pPr>
      <w:r>
        <w:rPr>
          <w:b/>
          <w:bCs/>
        </w:rPr>
        <w:t xml:space="preserve">Lo que creemos nosotros.</w:t>
      </w:r>
    </w:p>
    <w:p>
      <w:pPr>
        <w:spacing w:after="100"/>
      </w:pPr>
      <w:r>
        <w:t xml:space="preserve">El BPA sube de 3,14 USD en 2026 a 4,47 en 2028 y cae a menos de la mitad en 2031 con los genéricos. Zanzalintinib, ponderado por probabilidad, llega a 2.350 M en 2035, menos que el pico de cabozantinib. Valor intrínseco: 39,74 USD.</w:t>
      </w:r>
    </w:p>
    <w:p>
      <w:pPr>
        <w:keepNext/>
        <w:spacing w:after="100"/>
      </w:pPr>
      <w:r>
        <w:rPr>
          <w:b/>
          <w:bCs/>
        </w:rPr>
        <w:t xml:space="preserve">Por qué podemos tener razón.</w:t>
      </w:r>
    </w:p>
    <w:p>
      <w:pPr>
        <w:spacing w:after="100"/>
      </w:pPr>
      <w:r>
        <w:t xml:space="preserve">El primer dato de zanzalintinib es modesto: beneficio en supervivencia en colorrectal sin significación en el subgrupo sin metástasis hepáticas y una enmienda mayor que retrasa la FDA [3, 30]. El riñón, donde está el dinero de cabozantinib, depende de ensayos sin datos y de un socio, Merck, que tiene su propio producto.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0,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ROIC del 149,3 % y margen EBITDA del 39,7 % en 2025.</w:t>
      </w:r>
    </w:p>
    <w:p>
      <w:pPr>
        <w:pStyle w:val="ListParagraph"/>
        <w:numPr>
          <w:ilvl w:val="0"/>
          <w:numId w:val="2"/>
        </w:numPr>
        <w:spacing w:after="60"/>
      </w:pPr>
      <w:r>
        <w:rPr>
          <w:b/>
        </w:rPr>
        <w:t xml:space="preserve">Caja y recompras</w:t>
      </w:r>
      <w:r>
        <w:t xml:space="preserve">: 1.384 M de caja y 2.900 M recomprados desde 2023 a 31,12 USD de media [3].</w:t>
      </w:r>
    </w:p>
    <w:p>
      <w:pPr>
        <w:pStyle w:val="ListParagraph"/>
        <w:numPr>
          <w:ilvl w:val="0"/>
          <w:numId w:val="2"/>
        </w:numPr>
        <w:spacing w:after="60"/>
      </w:pPr>
      <w:r>
        <w:rPr>
          <w:b/>
        </w:rPr>
        <w:t xml:space="preserve">Cabozantinib aún crece</w:t>
      </w:r>
      <w:r>
        <w:t xml:space="preserve">: +10,2 % en el 2T26 y +17 % en 2025 [1, 3].</w:t>
      </w:r>
    </w:p>
    <w:p>
      <w:pPr>
        <w:pStyle w:val="ListParagraph"/>
        <w:numPr>
          <w:ilvl w:val="0"/>
          <w:numId w:val="2"/>
        </w:numPr>
        <w:spacing w:after="60"/>
      </w:pPr>
      <w:r>
        <w:rPr>
          <w:b/>
        </w:rPr>
        <w:t xml:space="preserve">Victoria judicial</w:t>
      </w:r>
      <w:r>
        <w:t xml:space="preserve">: el genérico de MSN no antes del 15-ene-2030, con un juicio en noviembre que podría llevarlo a 2032 [12].</w:t>
      </w:r>
    </w:p>
    <w:p>
      <w:pPr>
        <w:pStyle w:val="ListParagraph"/>
        <w:numPr>
          <w:ilvl w:val="0"/>
          <w:numId w:val="2"/>
        </w:numPr>
        <w:spacing w:after="60"/>
      </w:pPr>
      <w:r>
        <w:rPr>
          <w:b/>
        </w:rPr>
        <w:t xml:space="preserve">Zanzalintinib</w:t>
      </w:r>
      <w:r>
        <w:t xml:space="preserve">: cuatro fases 3 y dos con Merck; decisión de la FDA el 3-mar-2027 [3, 30].</w:t>
      </w:r>
    </w:p>
    <w:p>
      <w:pPr>
        <w:pStyle w:val="Heading2"/>
      </w:pPr>
      <w:r>
        <w:t xml:space="preserve">En contra</w:t>
      </w:r>
    </w:p>
    <w:p>
      <w:pPr>
        <w:pStyle w:val="ListParagraph"/>
        <w:numPr>
          <w:ilvl w:val="0"/>
          <w:numId w:val="2"/>
        </w:numPr>
        <w:spacing w:after="60"/>
      </w:pPr>
      <w:r>
        <w:rPr>
          <w:b/>
        </w:rPr>
        <w:t xml:space="preserve">Valor intrínseco</w:t>
      </w:r>
      <w:r>
        <w:t xml:space="preserve">: 39,74 USD, un 34,8 % por debajo del precio.</w:t>
      </w:r>
    </w:p>
    <w:p>
      <w:pPr>
        <w:pStyle w:val="ListParagraph"/>
        <w:numPr>
          <w:ilvl w:val="0"/>
          <w:numId w:val="2"/>
        </w:numPr>
        <w:spacing w:after="60"/>
      </w:pPr>
      <w:r>
        <w:rPr>
          <w:b/>
        </w:rPr>
        <w:t xml:space="preserve">Vencimiento</w:t>
      </w:r>
      <w:r>
        <w:t xml:space="preserve">: genéricos en 2030-2031 de un producto que es el 92 % de las ventas [12, 13].</w:t>
      </w:r>
    </w:p>
    <w:p>
      <w:pPr>
        <w:pStyle w:val="ListParagraph"/>
        <w:numPr>
          <w:ilvl w:val="0"/>
          <w:numId w:val="2"/>
        </w:numPr>
        <w:spacing w:after="60"/>
      </w:pPr>
      <w:r>
        <w:rPr>
          <w:b/>
        </w:rPr>
        <w:t xml:space="preserve">DCF inverso exigente</w:t>
      </w:r>
      <w:r>
        <w:t xml:space="preserve">: el precio pide un 10,9 % de crecimiento anual hasta 2035.</w:t>
      </w:r>
    </w:p>
    <w:p>
      <w:pPr>
        <w:pStyle w:val="ListParagraph"/>
        <w:numPr>
          <w:ilvl w:val="0"/>
          <w:numId w:val="2"/>
        </w:numPr>
        <w:spacing w:after="60"/>
      </w:pPr>
      <w:r>
        <w:rPr>
          <w:b/>
        </w:rPr>
        <w:t xml:space="preserve">Analistas por debajo</w:t>
      </w:r>
      <w:r>
        <w:t xml:space="preserve">: objetivo medio de 54,87 USD y Bank of America en vender a 41 [20].</w:t>
      </w:r>
    </w:p>
    <w:p>
      <w:pPr>
        <w:pStyle w:val="ListParagraph"/>
        <w:numPr>
          <w:ilvl w:val="0"/>
          <w:numId w:val="2"/>
        </w:numPr>
        <w:spacing w:after="60"/>
      </w:pPr>
      <w:r>
        <w:rPr>
          <w:b/>
        </w:rPr>
        <w:t xml:space="preserve">Gobierno</w:t>
      </w:r>
      <w:r>
        <w:t xml:space="preserve">: 33,24 M de remuneración del consejero delegado y 42,2 M de ventas de directivos [16, 18].</w:t>
      </w:r>
    </w:p>
    <w:p>
      <w:pPr>
        <w:pStyle w:val="Heading2"/>
      </w:pPr>
      <w:r>
        <w:t xml:space="preserve">Qué tiene que pasar para que la tesis funcione</w:t>
      </w:r>
    </w:p>
    <w:p>
      <w:pPr>
        <w:spacing w:after="100"/>
      </w:pPr>
      <w:r>
        <w:t xml:space="preserve">La tesis depende de cuándo empiecen a descontarse los genéricos de 2030-2031 y de si zanzalintinib llega a tiempo. Las señales: la etiqueta de la FDA en colorrectal (3-mar-2027), los datos de STELLAR-304 (segundo semestre de 2026) y la sentencia del juicio de la patente '039 (desde el 2-nov-2026). Si zanzalintinib sale con una etiqueta amplia y el riñón se confirma, el valor sube hacia 50 USD; si no, hacia 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de cabozantinib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M (2T26, +10,2 %)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hasta 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sobre ventas brutas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del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neto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Etiqueta de zanzalintinib en colorrectal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Decisión el 3-mar-2027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Solo subgrupo sin metástasis hepáticas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techo del primer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STELLAR-304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Datos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Supervivencia sin progresión no significativa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en riñón.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Fecha de genéricos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MSN ≥ 15-ene-2030; licencias 1-ene-2031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Lanzamiento a riesgo o sentencia contraria en la patente '039</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lo que decide el valor.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14,8x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Exelixis nació en 1994 en el sur de San Francisco como empresa de genómica aplicada a la búsqueda de fármacos; Stelios Papadopoulos, cofundador, preside el consejo desde 1998 [16]. Durante quince años vivió de alianzas con grandes farmacéuticas y de una cartera de moléculas que casi nunca llegaba al mercado. El giro fue cabozantinib, descubierto en la casa: aprobado en 2012 para el cáncer medular de tiroides (COMETRIQ) y en 2016 para el cáncer renal (CABOMETYX), con Ipsen y Takeda como socios fuera de EE. UU. [1]. Michael Morrissey, consejero delegado desde 2010, convirtió el producto en la combinación de referencia con nivolumab en primera línea de riñón (2021) y lo amplió a hígado, tiroides y tumores neuroendocrinos [1, 16]. Desde 2022 tiene la presión de dos activistas, Farallon y Caligan, que forzaron recompras (2.900 M USD desde 2023) y tres consejeros nuevos [3, 16]. Su segunda molécula, zanzalintinib, espera la decisión de la FDA en colorrectal para el 3-mar-2027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Stelios Papadopoulos, cofundador, preside el consejo desde 1998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Michael Morrissey entra como responsable de investigación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COMETRIQ (cabozantinib) para el cáncer medular de tiroides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CABOMETYX aprobado en cáncer renal tras tratamiento previo; licencia a Ipsen fuera de EE. UU. y Japón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CABOMETYX con nivolumab en primera línea de cáncer renal (CheckMate-9ER)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 acciones y acuerdo con Caligan: tres consejeros nuevos; pacto con Teva para genéricos desde el 1-ene-2031 [3, 13,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tumores neuroendocrinos (marzo) y fase 3 STELLAR-303 positiva en supervivencia de zanzalintinib en colorrectal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acepta la solicitud de zanzalintinib (feb) y retrasa la decisión al 3-mar-2027 (sep); el Circuito Federal fija el genérico de MSN no antes del 15-ene-2030 (ago) [4, 12, 30].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Exelixis es una biotecnológica de Alameda (California) que vive de una molécula: cabozantinib, un inhibidor oral de varias tirosina-quinasas (MET, AXL, VEGFR, RET) que descubrió ella misma [1]. En EE. UU. lo vende con su propia red como CABOMETYX (comprimidos) para el cáncer renal avanzado —sobre todo en primera línea con nivolumab—, el hepatocarcinoma tratado, el cáncer de tiroides diferenciado y, desde marzo de 2025, los tumores neuroendocrinos; y como COMETRIQ (cápsulas) para el cáncer medular de tiroides [1]. Fuera de EE. UU. lo venden Ipsen y Takeda, que le pagan royalties (179 M USD en 2025) [5]. Fabrica con terceros y tiene 1.077 empleados, la mitad en I+D [1]. Su apuesta para sustituir a cabozantinib es zanzalintinib, un inhibidor de nueva generación en fase 3 en colorrectal (solicitud ante la FDA), riñón de células no claras, tumores neuroendocrinos y, con Merck, en combinación con belzutifan [3].</w:t>
      </w:r>
    </w:p>
    <w:p>
      <w:pPr>
        <w:pStyle w:val="Heading2"/>
      </w:pPr>
      <w:r>
        <w:t xml:space="preserve">Cómo gana dinero</w:t>
      </w:r>
    </w:p>
    <w:p>
      <w:pPr>
        <w:spacing w:after="100"/>
      </w:pPr>
      <w:r>
        <w:t xml:space="preserve">Es un negocio de patente y casi puro margen: el coste de ventas fue el 3,9 % de las ventas de producto en 2025 y el gasto está en I+D (825 M USD) y en la red comercial y la administración (519 M) [1]. Las ventas de producto en EE. UU. (2.123 M) crecieron un 17 % por volumen (unidades +16 %), porque la combinación con nivolumab alarga los tratamientos, y apenas por precio (+1 % neto) [1]. Los descuentos ya se comen el 29,5 % de las ventas brutas y crecen con el 340B y los programas públicos [1]. Cada dólar de más llega casi entero al resultado mientras el I+D no suba, por eso el margen EBITDA pasó del 10,7 % de 2023 al 39,7 % de 2025 con el I+D a la baja. Los royalties de Ipsen y Takeda (8 % de los ingresos) son puro beneficio, menos el 3 % que se cede a Royalty Pharma [1]. No hay estacionalidad relevante; los hitos de los socios hacen saltar algunos trimestres (150 M en el 2T24)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CABOMETYX (cabozantinib,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COMETRIQ (cabozantinib cápsulas,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Colaboraciones (royalties de Ipsen y Takeda, hitos y 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CABOMETYX (cabozantinib,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COMETRIQ (cabozantinib cápsulas,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Colaboraciones (royalties de Ipsen y Takeda, hitos y 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 unos pocos distribuidores y farmacias especializadas, pero quien paga es el sistema: Medicare, Medicaid y las aseguradoras [1]. El poder de precios es limitado: subió el precio de lista un 3 % en enero de 2026, pero el precio neto medio subió solo un 1 % en 2025 por los descuentos crecientes [1, 9]. Lo que protege el volumen es la evidencia clínica: la combinación con nivolumab duplicó la supervivencia sin progresión frente a sunitinib en CheckMate-9ER, con beneficio en supervivencia global a cinco años [1]. El riesgo de pagador es el IRA: cabozantinib tiene la excepción de pequeña biotecnológica hasta el año de precios 2028 y un suelo de precio en 2029-2030 si sigue cumpliendo los requisitos [2]. Medicare Parte D le aplica además la subida gradual de descuentos de fabricante hasta 2031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de cabozantinib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+16 % y precio neto medio +1 %: más duración de tratamiento con nivolumab en riñón y tumores neuroendocrinos desde mar-2025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brutas frente a netas (descuentos)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Descuentos crecientes por programas públicos y el 340B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Royalties de Ipsen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Cabozantinib aprobado en 68 países fuera de EE. UU.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la franquicia cabozantinib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Exelixis más Ipsen y Takeda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ingresos totales 2026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2.525-2.625 (ene-26)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2.500-2.550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punto medio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con el 2T26; no incluye zanzalintinib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en circulación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 (27-jul-26)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2.900 M USD recomprados desde mar-2023 (93,3 M de acciones a 31,12 USD de media)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reestructuración de 2024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fármacos para el cáncer renal avanzado, la indicación que más pesa en las ventas de cabozantinib: 8.200 M USD en 2025 en los siete mayores mercados según IMARC, con una previsión del 4,22 % anual hasta 2036 [10]. Una segunda fuente da 6.600 M para todos los fármacos del cáncer de riñón en el mundo y un 6,4 % anual hasta 2032 [11]: usamos IMARC porque su perímetro (cáncer avanzado) es el de cabozantinib. Hígado, tiroides y tumores neuroendocrinos son mercados más pequeños sin tamaño publicado fiable; el colorrectal resistente es el primer mercado de zanzalintinib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8.200 M USD en 2025 en los siete mayores mercados (EE. UU., UE-4, Reino Unido y Japón) para el cáncer renal avanzado [10]; otra fuente da 6.600 M para todos los fármacos del cáncer de riñón en el mundo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áncer renal avanzado, 7 mayores mercados; 2030e y 2036e con la TCAC de la fuent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Combinaciones con inmunoterapia en primera línea de riñón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recargas por la mayor duración del tratamiento con nivolumab explican la mayor parte del +16 % de unidades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indicaciones (tumores neuroendocrinos)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mar-2025; la empresa amplió su red digestiva para acelerar ventas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cabozantinib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MSN no antes del 15-ene-2030; Teva y otros con licencia desde el 1-ene-2031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Medicare (IRA) y nación más favorecida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Excepción de pequeña biotecnológica hasta 2028 y suelo de precio en 2029-2030; aranceles de hasta el 100 % a importados desde abr-2026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mecanismos en riñón (inhibidores de HIF-2α)</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Belzutifan de Merck compite en segunda línea y a la vez es socio de zanzalintinib en LITESPARK-033 y -034 [3,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pautas aprobadas en primera línea de riñón de Merck, BMS, Pfizer y Eisai, y más en desarrollo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y las aseguradoras: descuentos del 29,5 % de las ventas brutas y negociación del IRA a partir de 2029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contratada; coste de ventas del 3,9 % de las ventas de producto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solicitudes de genérico y tres de fórmulas 505(b)(2) ya presentadas; entrada pactada en 2030-2031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Inhibidores de HIF-2α, anticuerpos conjugados y nuevas combinaciones de inmunoterapia [1, 15].</w:t>
            </w:r>
          </w:p>
        </w:tc>
      </w:tr>
    </w:tbl>
    <w:p>
      <w:pPr>
        <w:spacing w:after="160" w:before="0"/>
      </w:pPr>
    </w:p>
    <w:p>
      <w:pPr>
        <w:pStyle w:val="Heading2"/>
      </w:pPr>
      <w:r>
        <w:t xml:space="preserve">Ciclo</w:t>
      </w:r>
    </w:p>
    <w:p>
      <w:pPr>
        <w:spacing w:after="100"/>
      </w:pPr>
      <w:r>
        <w:t xml:space="preserve">No hay ciclo económico: los tratamientos oncológicos crecieron en 2009, 2020 y 2022 [33]. El ciclo que importa es el de la patente: cabozantinib está en su último tramo de exclusividad (composición vencida en ago-2026; patentes de sal y formulación hasta 2030-2033) [1]. Las ventas aún crecen un 10 % anual en el 1S26 [3], pero la empresa entra en la fase en que el mercado mira el sustituto y no el producto.</w:t>
      </w:r>
    </w:p>
    <w:p>
      <w:pPr>
        <w:pStyle w:val="Heading2"/>
      </w:pPr>
      <w:r>
        <w:t xml:space="preserve">Regulación</w:t>
      </w:r>
    </w:p>
    <w:p>
      <w:pPr>
        <w:spacing w:after="100"/>
      </w:pPr>
      <w:r>
        <w:t xml:space="preserve">Tres frentes. El IRA: cabozantinib está exento de negociación hasta el año de precios 2028 y tiene un suelo de precio en 2029-2030 si sigue siendo «pequeña biotecnológica» [2]. Los genéricos: el Circuito Federal confirmó el 31-ago-2026 las patentes que retrasan a MSN hasta el 15-ene-2030, y el juicio por la patente '039 (vence en feb-2032) empieza el 2-nov-2026 [2, 12]. La FDA: la decisión sobre zanzalintinib en colorrectal pasó del 3-dic-2026 al 3-mar-2027 por una enmienda mayor de la solicitud [30]. Además, aranceles de hasta el 100 % a medicamentos importados con patente desde abril de 2026 [2].</w:t>
      </w:r>
    </w:p>
    <w:p>
      <w:pPr>
        <w:pStyle w:val="Heading2"/>
      </w:pPr>
      <w:r>
        <w:t xml:space="preserve">Tendencias y disrupción</w:t>
      </w:r>
    </w:p>
    <w:p>
      <w:pPr>
        <w:spacing w:after="100"/>
      </w:pPr>
      <w:r>
        <w:t xml:space="preserve">La tendencia que decide es el relevo de mecanismos en riñón: los inhibidores de HIF-2α (belzutifan) y las combinaciones triples desplazan a los inhibidores de quinasa en algunas líneas [1, 15]. Exelixis ha optado por aliarse: Merck lleva dos fases 3 de zanzalintinib con belzutifan, una de ellas frente a cabozantinib en primera línea tras inmunoterapia adyuvante [3]. En colorrectal, la detección de enfermedad residual con ADN tumoral circulante abre el ensayo STELLAR-316 con Natera [3]. La IA en el diseño de moléculas acorta el desarrollo de los rivales, pero no cambia la economía de una patente ya en el mercado.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Inhibidor de tirosina-quinasa más recetado en cáncer renal avanzado en EE. UU. con nivolumab en primera línea (estimación propia de cuota: ≈ 25 % del mercado de cáncer renal avanzado de los 7 mayores mercados, con las ventas mundiales de cabozantinib en riñón); 2.ª línea en hepatocarcinoma y tumores neuroendocrinos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(KEYTRUDA + axitinib o lenvatinib; WELIREG)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primera línea de riñón; su inhibidor de HIF-2α (belzutifan) avanza en combinaciones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Bristol-Myers Squibb (OPDIVO + YERVOY)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y rival: nivolumab va con cabozantinib en CheckMate-9ER y también con ipilimumab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Eisai (lenvatinib)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4523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en riñón, hígado y tiroides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(axitinib, sunitinib)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Axitinib con pembrolizumab en primera línea de riñón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Bayer (regorafenib, sorafenib)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hígado y referencia de zanzalintinib en colorrectal (STELLAR-303)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 (comparable de modelo)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producto principal (Jakafi) con vencimiento cercano; margen EBITDA 33,4 %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Jazz Pharmaceuticals (comparable de modelo)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pasó el precipicio de Xyrem; margen EBITDA 41,9 %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medicamento.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oncólogos mantienen la pauta que funciona y la combinación con nivolumab dura más (las recargas explicaron el +16 % de unidades de 2025)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patente de composición vence en ago-2026; protegen el producto las de sal y formulación hasta 2030-2033: genéricos de MSN no antes del 15-ene-2030 y acuerdos con Teva y otros desde el 1-ene-2031 [B1, B5,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del 3,6 % de los ingresos, igual que cualquier medicamento con patente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comercial en oncología urológica y digestiva que zanzalintinib podría aprovechar [A5].</w:t>
            </w:r>
          </w:p>
        </w:tc>
      </w:tr>
    </w:tbl>
    <w:p>
      <w:pPr>
        <w:spacing w:after="160" w:before="0"/>
      </w:pPr>
    </w:p>
    <w:p>
      <w:pPr>
        <w:pStyle w:val="Heading2"/>
      </w:pPr>
      <w:r>
        <w:t xml:space="preserve">Amenazas</w:t>
      </w:r>
    </w:p>
    <w:p>
      <w:pPr>
        <w:spacing w:after="100"/>
      </w:pPr>
      <w:r>
        <w:t xml:space="preserve">La amenaza no es perder cuota antes de 2030, sino la fecha: los genéricos de MSN pueden entrar el 15-ene-2030 y los de Teva y los demás pactados el 1-ene-2031 [12, 13]. Un medicamento oral pequeño pierde el 80-90 % de sus ventas en uno o dos años tras el genérico (estimación propia por precedentes del sector). Antes, el riesgo es competitivo: Merck con belzutifan y Pfizer y Eisai con sus combinaciones; RBC calculó en marzo que los datos de Merck podían costar a la acción un 5-10 % [15]. La probabilidad de que zanzalintinib no llegue a sustituir a cabozantinib a tiempo es media: colorrectal tiene un beneficio modesto y un retraso de la FDA, y el resto de fases 3 aún no tiene datos [3,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12,8 %</w:t>
      </w:r>
      <w:r>
        <w:t xml:space="preserve">, EBITDA </w:t>
      </w:r>
      <w:r>
        <w:rPr>
          <w:b/>
          <w:bCs/>
        </w:rPr>
        <w:t xml:space="preserve">32,4 %</w:t>
      </w:r>
      <w:r>
        <w:t xml:space="preserve">, BPA </w:t>
      </w:r>
      <w:r>
        <w:rPr>
          <w:b/>
          <w:bCs/>
        </w:rPr>
        <w:t xml:space="preserve">40,2 %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1.435 M USD en 2021 a 2.320 M en 2025 (TCAC del 12,8 %), todo orgánico [1]. El margen EBITDA fue del 20,9 % en 2021, cayó al 10,7 % en 2023 por un I+D de 1.044 M (licencias de moléculas incluidas) y subió al 39,7 % en 2025 tras la reestructuración de 2024 y un I+D de 825 M [1]. El 2024 lleva 150 M de un hito comercial de Ipsen que no se repite, por eso 2025 crece solo un 7 % con las ventas de producto al +17 % [1]. El BPA pasó de 0,72 USD en 2021 a 2,78 en 2025 (TCAC del 40,2 %), ayudado por la recompra del 12,6 % de las acciones diluidas [1]. En los 12 meses a junio de 2026: ingresos de 2.436 M, EBIT de 972 M y BPA de 3,18 USD [2, 3].</w:t>
      </w:r>
    </w:p>
    <w:p>
      <w:pPr>
        <w:pStyle w:val="Heading2"/>
      </w:pPr>
      <w:r>
        <w:t xml:space="preserve">Ajustes y partidas no recurrentes</w:t>
      </w:r>
    </w:p>
    <w:p>
      <w:pPr>
        <w:spacing w:after="100"/>
      </w:pPr>
      <w:r>
        <w:t xml:space="preserve">Usamos el BPA publicado (US GAAP). La empresa publica además un BPA «no GAAP» que excluye los pagos en acciones (113 M en 2025; 0,30 USD por acción después de impuestos): 3,08 USD frente a 2,78 en 2025 [5]. Partidas no recurrentes dentro del EBITDA, que el motor devuelve: en 2024, deterioro de 51,7 M de oficinas arrendadas y 33,7 M de reestructuración (−13 % de plantilla); en 2025, 20,5 M de reestructuración [1]. Las licencias de moléculas en fase temprana (I+D en curso comprada: 122,5 M en 2023, 110,8 M en 2022) van en el I+D y se repiten cada año en menor cuantía: no las ajustamos [1,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(5-ago) la dirección rebajó la guía de ingresos de 2026 a 2.500-2.550 M USD (desde 2.525-2.625 M) y la de ventas de producto a 2.300-2.350 M, aunque las ventas del trimestre crecieron un 10,2 % (573 M) [3]. Bajó también la guía de I+D (825-875 M). El mensaje cambió respecto a enero, cuando habló de «un año de despegue»: ahora el foco es la ejecución de zanzalintinib y el gasto contenido [3, 9]. Las preguntas de los analistas se concentraron en el análisis final del subgrupo sin metástasis hepáticas de STELLAR-303 (tendencia favorable sin significación estadística, junio de 2026) y en la etiqueta que podrá obtener zanzalintinib, en la competencia de belzutifan y en la fecha de STELLAR-304 («segundo semestre, según eventos»), que ya se ha retrasado varias veces [3, 31]. La dirección no cuantificó el efecto de los descuentos en el precio neto ni dio objetivos de ventas para zanzalintinib. Un mes después, la FDA amplió tres meses la revisión de colorrectal tras recibir datos actualizados [30].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caja e inversiones se han mantenido en 1.700-2.100 M desde 2021 pese a recomprar 2.187 M en 2023-2025: la recompra se paga con el flujo del año [1]. En el 1S26 bajó a 1.384 M (desde 1.663 M) por 753 M de recompras [2]. El circulante comercial es del 12 % de las ventas, con clientes que suben al ritmo de las ventas (287 M a cierre de 2025)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2.522</w:t>
      </w:r>
      <w:r>
        <w:t xml:space="preserve">, conversión </w:t>
      </w:r>
      <w:r>
        <w:rPr>
          <w:b/>
          <w:bCs/>
        </w:rPr>
        <w:t xml:space="preserve">131 %</w:t>
      </w:r>
      <w:r>
        <w:t xml:space="preserve"> del beneficio neto; adquisiciones 313, dividendos 0, recompras 2.187.</w:t>
      </w:r>
    </w:p>
    <w:p>
      <w:pPr>
        <w:spacing w:after="100"/>
      </w:pPr>
      <w:r>
        <w:t xml:space="preserve">La conversión del beneficio en caja es alta: el flujo libre acumulado de 2021-2025 (2.522 M) fue el 131 % del beneficio neto, porque los pagos en acciones (113 M en 2025) y el efecto de los impuestos diferidos no salen de caja [1]. Casi todo se devolvió: 2.187 M en recompras en el periodo. El capex es mínimo (0,4 % de las ventas en 2025, con el edificio ya hecho) y el negocio no necesita capital para crecer: el «capex» de verdad son las licencias de moléculas (313 M en 2021-2025, en I+D en curso comprada) [1]. El LTM a junio de 2026 (1.173 M de flujo libre) está inflado por la recuperación de 99 M de pagos anticipados en el 1S26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eficaz al cierre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Ernst &amp; Young sin salvedades y control interno eficaz [1]. Altman Z de 16,00 (zona segura, por la caja y el patrimonio), Piotroski F de 7 y Beneish M de −2,59, lejos de la zona de manipulación. Los ingresos se reconocen netos de descuentos estimados (29,5 % de las ventas brutas), la partida de más juicio contable; las desviaciones de años anteriores han sido pequeñas [1]. Los pagos en acciones son el 14 % del beneficio neto (113 M) y el BPA ajustado que usa el mercado los excluye [5]. La I+D en curso comprada se lleva a gasto (no se activa), lo que es conservador [1]. El tipo impositivo del 17 % de 2025 está por debajo del normal por deducciones de I+D; la guía de 2026 es del 21-23 % [1,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sobre ventas brutas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28,1 % al 29,5 % en un año; reducen el precio neto real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socios que hacen saltar los ingresos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 M de Ipsen en el 2T24 inflan la base de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M en 2025 (94 M en 2024); concesión extraordinaria al consejero delegado [1, 16].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64 M en 2025 (el 13 % del capital invertido medio); ha subido más de un 5 % en 0 de 4 años: sin compras. ROIC publicado 149,3 %; sin fondo de comercio, 171,3 %. Sin compras relevantes: el publicado ya es el ROIC del negocio.</w:t>
      </w:r>
    </w:p>
    <w:p>
      <w:pPr>
        <w:spacing w:after="100"/>
      </w:pPr>
      <w:r>
        <w:rPr>
          <w:b/>
          <w:bCs/>
        </w:rPr>
        <w:t xml:space="preserve">ROIC incremental</w:t>
      </w:r>
      <w:r>
        <w:t xml:space="preserve"> (variación del NOPAT sobre variación del capital invertido en el periodo): 366,7 % · </w:t>
      </w:r>
      <w:r>
        <w:rPr>
          <w:b/>
          <w:bCs/>
        </w:rPr>
        <w:t xml:space="preserve">WACC</w:t>
      </w:r>
      <w:r>
        <w:t xml:space="preserve">: 11,1 %.</w:t>
      </w:r>
    </w:p>
    <w:p>
      <w:pPr>
        <w:spacing w:after="100"/>
      </w:pPr>
      <w:r>
        <w:t xml:space="preserve">Exelixis crea valor desde 2021 con holgura: el ROIC de 2025 fue del 149,3 % frente a un WACC del 11,11 %. El capital invertido es de solo 497 M porque no hay deuda, la caja se excluye y el negocio no necesita fábricas ni inventario; por eso cualquier ROIC sale enorme [1]. Lo que lo mueve es el margen: de un 9,3 % de margen EBIT en 2023 a un 38,5 % en 2025 sin cambiar el capital. El ROE (35,5 %) es la medida más útil para comparar con sus pares: Vertex y United Therapeutics tienen ROIC del 29-31 % [14]. El ROIC incremental histórico (366,7 %) dice que el crecimiento reciente no ha necesitado capital; lo que no mide es lo que sostiene ese ROIC: una patente que vence en 2030-2031.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valores negociables de 1.384,3 M USD a 3-jul-26 (281,4 de efectivo, 557,9 a corto y 544,9 a largo plazo), sin deuda financiera ni línea de crédito relevante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ni rating [2]. Los pasivos que no parecen deuda son los arrendamientos operativos de la sede de Alameda (166 M a largo plazo), que en US GAAP no van al puente porque su gasto ya está en el EBITDA [2]; los descuentos y comisiones a clientes (66,7 M) y los ensayos clínicos devengados (59,8 M), que son circulante [2]. No hay pensiones. Litigios de patentes como demandante (MSN, Azurity) y despachos de abogados que buscan accionistas para posibles demandas, sin demanda presentada [2, 28].</w:t>
      </w:r>
    </w:p>
    <w:p>
      <w:pPr>
        <w:pStyle w:val="Heading1"/>
      </w:pPr>
      <w:r>
        <w:t xml:space="preserve">12. Asignación de capital</w:t>
      </w:r>
    </w:p>
    <w:p>
      <w:pPr>
        <w:pStyle w:val="Confianza"/>
        <w:spacing w:after="100"/>
      </w:pPr>
      <w:r>
        <w:t xml:space="preserve">Confianza: Alta</w:t>
      </w:r>
    </w:p>
    <w:p>
      <w:pPr>
        <w:spacing w:after="100"/>
      </w:pPr>
      <w:r>
        <w:t xml:space="preserve">No paga dividendo. Las prioridades declaradas son invertir en I+D (zanzalintinib y la cartera temprana), devolver caja con recompras y hacer compras o licencias «oportunistas» [3]. Desde marzo de 2023 ha recomprado 2.900 M USD (93,3 M de acciones a 31,12 USD de media); en mayo de 2026 el consejo aprobó otro programa de 750 M hasta el 31-dic-2027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moléculas en fase temprana (I+D en curso comprada)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producto aprobado; parte de la cartera se recortó en la reestructuración de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moléculas y anticuerpos (I+D en curso comprada)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producto aprobado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menores (I+D en curso comprada)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pronto [1].</w:t>
            </w:r>
          </w:p>
        </w:tc>
      </w:tr>
    </w:tbl>
    <w:p>
      <w:pPr>
        <w:spacing w:after="160" w:before="0"/>
      </w:pPr>
    </w:p>
    <w:p>
      <w:pPr>
        <w:spacing w:after="100"/>
      </w:pPr>
      <w:r>
        <w:t xml:space="preserve">Buen asignador desde que llegaron los activistas: las recompras se hicieron a 31,12 USD de media frente a 60,99 de hoy, y redujeron las acciones diluidas un 12,6 % entre 2021 y 2025 [1, 3]. Antes, el historial es peor: en 2021-2023 gastó en I+D y licencias como si cabozantinib no fuera a vencer (I+D de 1.044 M en 2023) y tuvo que reestructurar en 2024 con 85 M de cargos [1]. Las licencias compradas (313 M en cinco años) no han dado todavía ningún producto [1]. La gran decisión pendiente es qué hacer con 1.384 M de caja si zanzalintinib no basta: seguir recomprando o comprar un producto ya en el mercado.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Morrissey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Exelixis desde 2000 como responsable de investigación; consejero delegado desde 2010. Llevó a cabozantinib de la aprobación en tiroides (2012) a 2.123 M de ventas en EE. UU. en 2025 y lanzó el programa de zanzalintinib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Senner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llevado las recompras de 2023-2026 (2.900 M USD); vendió 4,6 M USD de acciones en 12 meses [16,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 T. Aftab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Exelixis desde 1998, donde dirigió el descubrimiento de cabozantinib; director científico (2022-2025) y ascendido en ago-2025 tras la salida de la directora médica Amy Peterson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J. Haley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del crecimiento de CABOMETYX en riñón y tumores neuroendocrinos y del lanzamiento previsto de zanzalintinib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Stelios Papadopoulos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presidente del consejo desde 1998; ex banquero de inversión en biotecnología (Cowen, PaineWebber)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E. 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(Caligan Partners)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activista que entró en el consejo en 2023 por acuerdo; único consejero que ha comprado acciones en 12 meses (1,19 M USD) [16,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2.250-2.350 M USD (may-25), subida a 2.300-2.350 M (nov-25)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2.320,1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totales 2.525-2.625 M (ene-26), rebajada a 2.500-2.550 M (ago-26)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1.239,5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el consejero delegado lleva 26 años en la empresa y 16 en el cargo, el director de I+D descubrió cabozantinib y el comercial lleva desde 2010 [16]. La credibilidad de la guía es correcta pero no brillante: cumplió 2025 subiéndola dos veces y rebajó 2026 en agosto [3, 6]. Los plazos de los ensayos se han retrasado varias veces (STELLAR-304 pasó de 2025 a «segundo semestre de 2026») [31]. No hay plan de sucesión público para un consejero delegado de 65 años, y la directora médica salió en agosto de 2025 [16].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Stelios Papadopoulos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Morrissey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C. Beckerle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 Gail Eckhardt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C. Freire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Tomas J. Heyman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E.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(Caligan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L. Oliver,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Poste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Anne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Jack L. Wyszomierski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eficaz al cierre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1,19 / ventas 33,49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mar-2026: reorganización interna de sus participaciones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Farallon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activista (campaña de 2022)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42,2 M USD y compras de 1,19 M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 T. Aftab (I+D)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J. Haley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Julie Smith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L. Wyszomierski (consejero,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J. Senner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Stelios Papadopoulos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E. Johnson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33,24 M USD en 2025: 1,31 M de fijo, 1,38 M de variable anual y 30,54 M en acciones (10,01 M en 2024), 81 veces la remuneración mediana de la plantilla [16]. El variable a largo plazo se mide por rentabilidad total relativa frente al índice Nasdaq Biotechnology a tres años [16]. El voto consultivo de 2026 tuvo un 20,9 % en contra (163,1 M a favor y 43,2 M en contra), el umbral a partir del cual los asesores de voto piden explicaciones, por la concesión extraordinaria [17].</w:t>
      </w:r>
    </w:p>
    <w:p>
      <w:pPr>
        <w:pStyle w:val="Heading2"/>
      </w:pPr>
      <w:r>
        <w:t xml:space="preserve">Operaciones vinculadas, estructura de control y defensas</w:t>
      </w:r>
    </w:p>
    <w:p>
      <w:pPr>
        <w:spacing w:after="100"/>
      </w:pPr>
      <w:r>
        <w:t xml:space="preserve">No hay accionista de control: Vanguard (12,3 %), BlackRock (11,1 %) y Farallon (6,1 %) son los mayores [16]. Una acción, un voto; consejo elegido cada año por mayoría (sin consejo escalonado) y presidente independiente separado del consejero delegado [16]. Los activistas han tenido efecto: Caligan, cuyo gestor se sienta en el consejo, consiguió en 2023 tres consejeros y la política de recompras [16]. No hay operaciones vinculadas relevantes. Las ventas de directivos (42,2 M en 12 meses) son altas para una empresa de 15.656 M, y solo una sexta parte con planes programados [18].</w:t>
      </w:r>
    </w:p>
    <w:p>
      <w:pPr>
        <w:pStyle w:val="Heading2"/>
      </w:pPr>
      <w:r>
        <w:t xml:space="preserve">Señales de alerta</w:t>
      </w:r>
    </w:p>
    <w:p>
      <w:pPr>
        <w:pStyle w:val="ListParagraph"/>
        <w:numPr>
          <w:ilvl w:val="0"/>
          <w:numId w:val="2"/>
        </w:numPr>
        <w:spacing w:after="60"/>
      </w:pPr>
      <w:r>
        <w:t xml:space="preserve">Voto consultivo de remuneración con un 20,9 % en contra en la junta de 2026, tras una concesión de acciones de 30,5 M USD al consejero delegado [16, 17].</w:t>
      </w:r>
    </w:p>
    <w:p>
      <w:pPr>
        <w:pStyle w:val="ListParagraph"/>
        <w:numPr>
          <w:ilvl w:val="0"/>
          <w:numId w:val="2"/>
        </w:numPr>
        <w:spacing w:after="60"/>
      </w:pPr>
      <w:r>
        <w:t xml:space="preserve">Ventas de consejeros y directivos de 42,2 M USD en 12 meses (solo 6,9 M con planes 10b5-1) frente a 1,19 M de compras [18].</w:t>
      </w:r>
    </w:p>
    <w:p>
      <w:pPr>
        <w:pStyle w:val="ListParagraph"/>
        <w:numPr>
          <w:ilvl w:val="0"/>
          <w:numId w:val="2"/>
        </w:numPr>
        <w:spacing w:after="60"/>
      </w:pPr>
      <w:r>
        <w:t xml:space="preserve">Historial de presión activista: Farallon (2022) y Caligan (acuerdo de 2023 con tres consejeros nuevos) [16].</w:t>
      </w:r>
    </w:p>
    <w:p>
      <w:pPr>
        <w:pStyle w:val="ListParagraph"/>
        <w:numPr>
          <w:ilvl w:val="0"/>
          <w:numId w:val="2"/>
        </w:numPr>
        <w:spacing w:after="60"/>
      </w:pPr>
      <w:r>
        <w:t xml:space="preserve">Rotación en I+D clínica: la directora médica y el jefe jurídico salieron en 2025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(5-ago-2026): ingresos totales de 2.500-2.550 M USD, ventas de producto de 2.300-2.350 M (con una subida de precio de lista del 3 %), coste de ventas del 3,5-4,5 %, I+D de 825-875 M, comercial y administración de 575-625 M y tipo impositivo del 21-23 % [3]. No incluye ventas de zanzalintinib. La guía de enero era de 2.525-2.625 M de ingresos [9]. No hay objetivos a medio plazo publicados.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(S&amp;P Global), 17 analistas; BPA ajustado sin pagos en acciones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BPA ajustado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41,00 – 70,00</w:t>
            </w:r>
          </w:p>
        </w:tc>
      </w:tr>
    </w:tbl>
    <w:p>
      <w:pPr>
        <w:spacing w:after="160" w:before="0"/>
      </w:pPr>
    </w:p>
    <w:p>
      <w:pPr>
        <w:pStyle w:val="Heading2"/>
      </w:pPr>
      <w:r>
        <w:t xml:space="preserve">Revisiones de estimaciones</w:t>
      </w:r>
    </w:p>
    <w:p>
      <w:pPr>
        <w:spacing w:after="100"/>
      </w:pPr>
      <w:r>
        <w:t xml:space="preserve">El consenso de Stock Analysis (S&amp;P Global) es de BPA ajustado (sin pagos en acciones): 3,58 USD en 2026 (17 analistas) y 4,27 en 2027, con ventas de 2.600 y 2.900 M [20]. La recomendación media es «comprar» según S&amp;P, pero MarketBeat la da como «mantener»; el objetivo medio es de 54,87 USD (41-70), por debajo del precio [20, 28]. En el último mes los objetivos suben (RBC de 45 a 51, Truist de 52 a 54) y Bank of America mantiene vender a 41 [20, 28]. Solo hay una fuente gratuita con estimaciones completas: lo decimos en las limitaciones.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r>
    </w:tbl>
    <w:p>
      <w:pPr>
        <w:spacing w:after="160" w:before="0"/>
      </w:pPr>
    </w:p>
    <w:p>
      <w:pPr>
        <w:spacing w:after="100"/>
      </w:pPr>
      <w:r>
        <w:t xml:space="preserve">La acción ha batido al mercado: +52,4 % en un año frente al +16,9 % del S&amp;P 500 y el +36,0 % del índice de biotecnología (XBI), y un 41,9 % anual en tres años [19]. Dos motores: las recompras (el BPA crece más que el beneficio) y la expectativa sobre zanzalintinib [3]. Cotiza en máximos históricos (61,66 USD el 12-oct) tras recuperarse de la caída del 12 % de oct-2025 por los datos de STELLAR-303 [19, 29]. La posición corta es alta: el 11,37 % de las acciones [21]. Beta mensual de cinco años de 0,48 y volatilidad del 36,8 %.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 +12,2 % / +41,4 % / +58,9 %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+81,7 %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 (20-oct, −12,0 % en un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en el ESMO de los datos de STELLAR-303: beneficio en supervivencia modesto frente a regorafenib en colorrectal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por encima y guía de 2025 subida a 2.300-2.350 M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 (2-mar, −6,9 % en un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Merck con belzutifan en riñón y recorte de objetivo de RBC por la competencia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(BPA de 0,79 frente a 0,55), nueva recompra de 750 M y acuerdo con Merck para STELLAR-316 [3,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 (6-ago, −7,9 % en un día)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 la guía de ingresos de 2026 con los resultados del 2T26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final de STELLAR-303: tendencia favorable en supervivencia sin significación estadística en el subgrupo sin metástasis hepáticas [3,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Circuito Federal confirma las patentes '439, '440 y '015: el genérico de MSN no antes del 15-ene-2030; juicio de la patente '039 (feb-2032) desde el 2-nov-2026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amplía tres meses la revisión de zanzalintinib en colorrectal: nueva fecha el 3-mar-2027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RBC sube el objetivo de 45 a 51 USD (sector perform); Truist de 52 a 54 (mantener); Bank of America mantiene vender con 41 USD [20,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2025-10-15 a 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consejeros y directivos de 42,2 M USD (I+D 7,7 M, comercial 7,6 M, financiero 4,6 M, presidente 4,4 M) y una sola compra de 1,19 M (consejero de Caligan)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por el calendario de 2025) y datos de STELLAR-304 «en el segundo semestre»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12 meses (+58,9 %) tiene causas conocidas: recompras, resultados por encima y la expectativa sobre zanzalintinib; ningún movimiento fuerte viene de algo que la tesis no recoja. Los hechos pendientes con fecha (juicio de la patente '039 desde el 2-nov, datos de STELLAR-304 en el semestre y decisión de la FDA el 3-mar-2027) son la propia tesis y están en los escenarios, no son ajenos al análisis; no hay colocaciones ni ampliaciones. Las ventas de directivos son altas pero repartidas y sin un vendedor dominante.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Exelixis cotiza a 19,2 veces el beneficio de los últimos 12 meses frente a una media de 25,4 en los cierres de 2021-2025 (percentil 40), y a 14,3 veces el EBITDA frente a una media de 13,4 (percentil 80) [19]. La media del PER de 2021-2023 está inflada por un beneficio deprimido por el I+D (1.044 M en 2023); con la base adelantada (precio ÷ BPA del año siguiente) la mediana de cinco años es de 14,0 veces y hoy paga 16,5 veces nuestro BPA de 2027. Lo estructural es que cada año que pasa acerca el vencimiento de 2030-2031: un múltiplo constante sobre un beneficio que se acerca al precipicio es cada vez más caro.</w:t>
      </w:r>
    </w:p>
    <w:p>
      <w:pPr>
        <w:pStyle w:val="Heading1"/>
      </w:pPr>
      <w:r>
        <w:t xml:space="preserve">18. Comparables cotizados</w:t>
      </w:r>
    </w:p>
    <w:p>
      <w:pPr>
        <w:pStyle w:val="Confianza"/>
        <w:spacing w:after="100"/>
      </w:pPr>
      <w:r>
        <w:t xml:space="preserve">Confianza: Media</w:t>
      </w:r>
    </w:p>
    <w:p>
      <w:pPr>
        <w:spacing w:after="100"/>
      </w:pPr>
      <w:r>
        <w:t xml:space="preserve">Biofarmacéuticas estadounidenses rentables de tamaño medio con pocos productos y vencimientos conocidos (las de la ficha sectorial de biofarma) [33]: Incyte (Jakafi vence en 2028), Jazz (ya pasó el genérico de Xyrem), Neurocrine (INGREZZA hasta 2038), United Therapeutics, BioMarin y Vertex. No hay comparables puros de oncología de un producto con ese tamaño; las grandes de oncología (Merck, BMS, Pfizer) son diversificadas y no sirven. Todas con datos de Stock Analysis al cierre del 14-oct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Exelixis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Neurocrine Biosciences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 / 14,1x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12,0x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4,1x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spacing w:after="100"/>
      </w:pPr>
      <w:r>
        <w:t xml:space="preserve">Exelixis cotiza a 14,3 veces el EBITDA de 12 meses y a 14,8 veces el BPA ajustado de los próximos 12 meses, frente a medianas de 14,1 y 12,0 [22]. Es de las que tienen el vencimiento más cerca (2030-2031) y cotiza por encima de las que ya lo están sufriendo (Jazz e Incyte, 8-9 veces el EBITDA) y casi como Neurocrine, cuyo vencimiento es de 2038 [22]. La prima se explica por la caja (1.384 M) y por zanzalintinib. El valor implícito por PER (49,49 USD de mediana) aplica a Exelixis un múltiplo de empresas con vencimientos más lejanos; por eso los comparables pesan solo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Soleno Therapeutics (VYKAT XR)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Biofarma de un producto en lanzamiento; 12,2 veces las ventas de 2025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Intra-Cellular Therapies (CAPLYTA)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en crecimiento con patentes largas; 21,4 veces las ventas de 2024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GW Pharmaceuticals (EPIDIOLEX)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producto con patentes largas; 13,7 veces las ventas de 2020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128,05 – 171,70</w:t>
            </w:r>
          </w:p>
        </w:tc>
      </w:tr>
    </w:tbl>
    <w:p>
      <w:pPr>
        <w:spacing w:after="160" w:before="0"/>
      </w:pPr>
    </w:p>
    <w:p>
      <w:pPr>
        <w:spacing w:after="100"/>
      </w:pPr>
      <w:r>
        <w:t xml:space="preserve">No hay operaciones recientes de oncología de un producto con múltiplo publicado y perímetro comparable; usamos las tres de biofarma de la ficha sectorial (12-21 veces las ventas: Intra-Cellular, GW y Soleno) [25, 26, 27]. Todas se pagaron por crecimiento con patentes largas, lo contrario de Exelixis; aplicadas a sus ventas darían 135,17 USD por acción, una cifra sin sentido para un producto que vence en 2030. Exelixis puede ser objetivo (sin accionista de control, activistas en el consejo, 1.384 M de caja), pero un comprador pagaría por zanzalintinib, no por cabozantinib. Peso cero.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Proyección por producto (estimación propia): cabozantinib en EE. UU. de 2.330 M en 2026 (guía de 2.300-2.350 M) a 2.700 M en 2029, 1.800 M en 2030 (genérico de MSN ponderado al 55 %), 350 M en 2031 (genéricos con licencia) y 120 M en 2035 [3, 12, 13]. Royalties de 210 M que caen con los genéricos europeos de 2030. Zanzalintinib, ponderado por probabilidad, de 80 M en 2027 a 2.350 M en 2035. El crecimiento medio es del 2,3 % anual con una caída del 16 % en 2030 y del 40 % en 2031. Nuestras ventas de 2027 (2.805 M) quedan un 3 % por debajo del consenso (2.900 M) [20].</w:t>
      </w:r>
    </w:p>
    <w:p>
      <w:pPr>
        <w:keepNext/>
        <w:spacing w:after="100"/>
      </w:pPr>
      <w:r>
        <w:rPr>
          <w:b/>
          <w:bCs/>
        </w:rPr>
        <w:t xml:space="preserve">Márgenes.</w:t>
      </w:r>
    </w:p>
    <w:p>
      <w:pPr>
        <w:spacing w:after="100"/>
      </w:pPr>
      <w:r>
        <w:t xml:space="preserve">Margen EBITDA del 39,9 % en 2026 (guía de gastos) que sube al 49,4 % en 2029 con el I+D estable en 920 M y las ventas al alza; cae al 24,4 % en 2031 con los genéricos y vuelve al 45 % en 2035 con zanzalintinib y un I+D recortado a 650 M [3]. El 49 % de 2029 tiene precedente: es el margen de United Therapeutics (47,4 %) [22].</w:t>
      </w:r>
    </w:p>
    <w:p>
      <w:pPr>
        <w:keepNext/>
        <w:spacing w:after="100"/>
      </w:pPr>
      <w:r>
        <w:rPr>
          <w:b/>
          <w:bCs/>
        </w:rPr>
        <w:t xml:space="preserve">Inversión y circulante.</w:t>
      </w:r>
    </w:p>
    <w:p>
      <w:pPr>
        <w:spacing w:after="100"/>
      </w:pPr>
      <w:r>
        <w:t xml:space="preserve">Capex del 0,8-1,3 % de las ventas (0,4 % en 2025 y 1,3 % en 2024) y amortización del 1,1-1,7 %; en 2035 se igualan [1]. Circulante comercial del 12 % de las ventas, el de 2025. Las licencias de moléculas van dentro del I+D (gasto), no del capex. Tipo impositivo del 22 %, centro de la guía de 2026 (21-23 %) [3].</w:t>
      </w:r>
    </w:p>
    <w:p>
      <w:pPr>
        <w:keepNext/>
        <w:spacing w:after="100"/>
      </w:pPr>
      <w:r>
        <w:rPr>
          <w:b/>
          <w:bCs/>
        </w:rPr>
        <w:t xml:space="preserve">Coste del capital.</w:t>
      </w:r>
    </w:p>
    <w:p>
      <w:pPr>
        <w:spacing w:after="100"/>
      </w:pPr>
      <w:r>
        <w:t xml:space="preserve">Tasa libre del 5,21 % (bono del Tesoro a 10 años del 13-oct) [23]. Beta de 0,8: la mensual de cinco años es 0,48, la semanal de cinco años 0,72 y la de dos años 0,91 [19]; usamos un punto intermedio cercano a la sectorial. Prima de mercado del 5,5 % y prima adicional de 1,5 puntos por depender de un producto con fecha de vencimiento. Sin deuda: WACC del 11,11 %. Con la prima implícita del mercado (4,2 %) el WACC baja al 10,07 % y el valor sube a 41,80 USD [24].</w:t>
      </w:r>
    </w:p>
    <w:p>
      <w:pPr>
        <w:keepNext/>
        <w:spacing w:after="100"/>
      </w:pPr>
      <w:r>
        <w:rPr>
          <w:b/>
          <w:bCs/>
        </w:rPr>
        <w:t xml:space="preserve">Valor terminal.</w:t>
      </w:r>
    </w:p>
    <w:p>
      <w:pPr>
        <w:spacing w:after="100"/>
      </w:pPr>
      <w:r>
        <w:t xml:space="preserve">Método «media»: Gordon con un crecimiento del 1,0 % y un múltiplo de salida de 8 veces el EBITDA, los de Jazz e Incyte, que ya viven un vencimiento [22]. Zanzalintinib tendrá su propio vencimiento a finales de los años 2030, así que un terminal normal (2-3 % y 13-14 veces) sobrevaloraría. El valor terminal pesa un 40 %.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(reinvierte el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 (histórico: 366,7 %)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frente al 2,3 %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-33 M, con un capex bruto medio del 1,1 % de las ventas). En un negocio de activos ligeros, el crecimiento medio del 2,3 %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Cabozantinib +9,8 % en EE. UU. (2.330 M, guía de 2.300-2.350 M): volumen +5 puntos por riñón con nivolumab y tumores neuroendocrinos, precio +2,5 puntos (lista +3 %, descuentos al alza); royalties +1,1 puntos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Cabozantinib +8 % (2.520 M) por volumen y precio; primeras ventas de zanzalintinib en colorrectal (80 M desde marzo) [30].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Zanzalintinib a 250 M (colorrectal y, si STELLAR-304 sale bien, riñón de células no claras): 6,1 puntos; cabozantinib +5 %.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completo de cabozantinib sin genéricos (2.700 M); zanzalintinib a 500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 de MSN desde el 15-ene-2030 con probabilidad del 55 %: cabozantinib 1.800 M (−33 %) entre volumen y precio; zanzalintinib +400 M [12].</w:t>
            </w:r>
          </w:p>
        </w:tc>
      </w:tr>
    </w:tbl>
    <w:p>
      <w:pPr>
        <w:spacing w:after="160" w:before="0"/>
      </w:pPr>
    </w:p>
    <w:p>
      <w:pPr>
        <w:spacing w:after="100"/>
      </w:pPr>
      <w:r>
        <w:t xml:space="preserve">En parte. La calidad del negocio es indiscutible (ROIC del 149,3 %, sin deuda, margen EBITDA del 39,7 %) y el motor da la prueba por superada porque la proyección no necesita capital. Pero el crecimiento proyectado no depende del capital sino de la patente: el de 2027-2029 (+9-11 % anual) lo sostiene cabozantinib, cuya protección acaba en 2030-2031 [12, 13], y la recuperación desde 2032 exige que zanzalintinib, todavía sin aprobar y con un beneficio modesto en colorrectal, llegue a 2.350 M de ventas en 2035 [3, 30]. Ese relevo no es una ventaja demostrada: es una apuesta de desarrollo. No rebajamos el caso base porque ya incorpora la caída de 2030-2031 y pondera zanzalintinib por probabilidad.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75 % justifica el precio (base: 45,0 %)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11,1 %)</w:t>
            </w:r>
          </w:p>
        </w:tc>
      </w:tr>
    </w:tbl>
    <w:p>
      <w:pPr>
        <w:spacing w:after="160" w:before="0"/>
      </w:pPr>
    </w:p>
    <w:p>
      <w:pPr>
        <w:spacing w:after="100"/>
      </w:pPr>
      <w:r>
        <w:t xml:space="preserve">El DCF da 37,42 USD por acción, un 38,6 % por debajo del precio, con un valor terminal que pesa el 40 %. El DCF inverso dice que el precio descuenta un crecimiento anual de las ventas del 10,9 % en 2027-2035 frente al 1,6 % de nuestro caso base, y que ningún margen hasta el 75 % justifica el precio con nuestras ventas; la rentabilidad implícita es del 5,6 %, por debajo del WACC (11,11 %) y de lo que pide el mercado (10,07 %). Es muy exigente: un 10,9 % anual hasta 2035 supone que cabozantinib no cae en 2030-2031 o que zanzalintinib lo sustituye entero y además crece, con ventas de unos 6.000 M en 2035. Ningún analista lo proyecta así: el objetivo medio (54,87 USD) también queda por debajo del precio [20]. La sensibilidad al WACC es menor que la sensibilidad a zanzalintinib: con la prima del mercado el valor sube a 41,80 USD; con zanzalintinib a 3.500 M en 2035 rondaría los 50.</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zanzalintinib solo para el subgrupo sin metástasis hepáticas y STELLAR-304 no es concluyente: zanzalintinib se queda en torno a 1.000 M en 2035; MSN lanza su genérico en enero de 2030 y los descuentos siguen subiendo. Es lo que le pasó a Incyte con Jakafi: un producto único sin sustituto a tiempo.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Cabozantinib cumple la guía y crece un 5-8 % anual hasta 2029; genéricos ponderados entre 2030 y 2031; zanzalintinib aprobado en colorrectal en 2027 y en riñón en 2029, con 2.350 M de ventas en 2035 ponderadas por probabilidad.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gana el juicio de la patente '039 y retrasa a MSN a 2032, STELLAR-304 y LITESPARK-033 salen bien y zanzalintinib sustituye a cabozantinib en riñón, por encima de 3.000 M en 2035.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60,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37,11 USD (-39,2 %).</w:t>
      </w:r>
    </w:p>
    <w:p>
      <w:pPr>
        <w:spacing w:after="100"/>
      </w:pPr>
      <w:r>
        <w:t xml:space="preserve">Con nuestros flujos, el alcista vale 43,01 USD (−29,5 %) y el bajista 30,59 USD (−49,8 %): ningún escenario del DCF llega al precio. A 12 meses la lectura es otra, porque el mercado paga un múltiplo sobre el BPA de 2028, el máximo antes del vencimiento: 47,52 USD en el bajista (−22 %), 67,94 en el base (+11,4 %) y 99,02 en el alcista (+62 %). Esa asimetría a 12 meses solo compensa si el mercado sigue sin descontar 2030; el valor intrínseco dice que no compensa.</w:t>
      </w:r>
    </w:p>
    <w:p>
      <w:pPr>
        <w:pStyle w:val="Heading1"/>
      </w:pPr>
      <w:r>
        <w:t xml:space="preserve">22. Suma de partes</w:t>
      </w:r>
    </w:p>
    <w:p>
      <w:pPr>
        <w:pStyle w:val="Confianza"/>
        <w:spacing w:after="100"/>
      </w:pPr>
      <w:r>
        <w:t xml:space="preserve">Confianza: Media</w:t>
      </w:r>
    </w:p>
    <w:p>
      <w:pPr>
        <w:spacing w:after="100"/>
      </w:pPr>
      <w:r>
        <w:t xml:space="preserve">No aplica: la empresa publica un único segmento; cabozantinib, los royalties y zanzalintinib comparten I+D y red comercial, y la valoración por producto ya está en la hoja de ventas del DCF.</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60,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39,74 USD (-34,8 % sobre 60,99).</w:t>
      </w:r>
    </w:p>
    <w:p>
      <w:pPr>
        <w:spacing w:after="100"/>
      </w:pPr>
      <w:r>
        <w:t xml:space="preserve">Pesamos el DCF al 50 %, los escenarios al 30 % y los comparables al 20 %; las transacciones, a cero. El DCF es el único método que ve el vencimiento de 2030-2031, que es lo que decide el valor. Los comparables (PER ajustado de los próximos 12 meses, mediana de 12,0) dan 49,49 USD, pero aplican el múltiplo de empresas con vencimientos más lejanos (Neurocrine, 2038) o ya pasados (Jazz): pesan poco. Las transacciones (12-21 veces las ventas) darían 135,17 USD y suponen una compra por crecimiento que no existe. La dispersión es amplia: de 30,59 (bajista) a 49,49 (comparables), todas por debajo del precio. El valor ponderado es de 39,74 USD (−34,8 %).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(16.5x) a mitad de camino hacia abajo, hacia la mediana de 5 años (14x)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+62,3 %</w:t>
            </w:r>
          </w:p>
        </w:tc>
      </w:tr>
    </w:tbl>
    <w:p>
      <w:pPr>
        <w:spacing w:after="160" w:before="0"/>
      </w:pPr>
    </w:p>
    <w:p>
      <w:pPr>
        <w:spacing w:after="100"/>
      </w:pPr>
      <w:r>
        <w:rPr>
          <w:b/>
          <w:bCs/>
        </w:rPr>
        <w:t xml:space="preserve">Objetivo a 12 meses (ponderado):</w:t>
      </w:r>
      <w:r>
        <w:t xml:space="preserve"> 70,61 USD · rentabilidad +15,8 % (base +11,4 %) · señal Mantener.</w:t>
      </w:r>
    </w:p>
    <w:p>
      <w:pPr>
        <w:spacing w:after="100"/>
      </w:pPr>
      <w:r>
        <w:t xml:space="preserve">Para comparar, con la regla v2 (historia al cierre, mismo precio): 15,8x / 16,5x / 21,5x, 28,7 %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 (3,14 USD) y de 2027 (3,70) quedan un 12 % y un 13 % por debajo del consenso (3,58 y 4,27), pero el consenso es ajustado: excluye los pagos en acciones (unos 125 M al año, 0,37 USD por acción después de impuestos). En la misma base estamos un 1 % y un 4 % por debajo, con unas ventas de 2027 un 3 % menores (2.805 frente a 2.900 M) [20]. Nuestro precio base a 12 meses (67,94 USD) queda un 24 % por encima del objetivo medio de los analistas (54,87), que es la cifra baja del contraste: el objetivo medio está dentro de nuestro rango (47,52-99,02).</w:t>
      </w:r>
    </w:p>
    <w:p>
      <w:pPr>
        <w:keepNext/>
        <w:spacing w:after="100"/>
      </w:pPr>
      <w:r>
        <w:rPr>
          <w:b/>
          <w:bCs/>
        </w:rPr>
        <w:t xml:space="preserve">Del valor intrínseco al objetivo a 12 meses.</w:t>
      </w:r>
    </w:p>
    <w:p>
      <w:pPr>
        <w:spacing w:after="100"/>
      </w:pPr>
      <w:r>
        <w:t xml:space="preserve">El objetivo a 12 meses (70,61 USD) queda un 78 % por encima del valor intrínseco (39,74 USD). La distancia no es una tesis a varios años, es lo contrario: la regla de múltiplos aplica 15,2 veces al BPA de 2028, el máximo de la vida de cabozantinib, mientras que el DCF cuenta la caída de 2030-2031. Para cerrar la distancia hacia arriba haría falta que zanzalintinib sustituya a cabozantinib entero; hacia abajo, basta con que el mercado empiece a descontar los genéricos a medida que se acercan. Decide la v3 (sin marcas del selector): el PER actual (16,5) está algo por encima de la mediana adelantada (14,0).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Juicio de la patente '039 (vence en feb-2032) frente a MSN y Azurity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gana, el genérico de MSN se retrasa de 2030 a 2032 y la empresa gana casi un año de ventas (≈ +10 % del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frente a la guía rebajada (2.300-2.350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STELLAR-304 (zanzalintinib + nivolumab frente a sunitinib en riñón de células no claras)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zanzalintinib en riñón; un fracaso hunde la tesis del relevo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ritmo de cabozantinib tras el genérico de la composición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zanzalintinib en colorrectal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producto nuevo en diez años; la etiqueta (todos los pacientes o solo un subgrupo) fija su techo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STELLAR-311 (tumores neuroendocrinos) y de LITESPARK-033 con Merck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Deciden si zanzalintinib sustituye a cabozantinib en riñón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cabozantinib en 2030 (MSN) y 2031 (Teva y otros)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caso base; un genérico antes de 2030 restaría ≈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favorables hasta 2030; juicio de la patente '039 en nov-2026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juicio de nov-2026 y lanzamientos a riesgo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Zanzalintinib no sustituye a cabozantinib (rechazo, etiqueta estrecha o fases 3 fallidas)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(bajista: 30,59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fases 3 en marcha y dos con Merck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STELLAR-304 y decisión de la FDA del 3-mar-2027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riñón (belzutifan y nuevas combinaciones)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Merck en dos fases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recetas en primera línea de riñón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EE. UU.: IRA desde 2029, nación más favorecida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Excepción de pequeña biotecnológica y suelo de precio en 2029-2030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Listas de CMS de cada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para sustituir a cabozantinib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Activistas en el consejo y política de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por encima de 10 veces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Descuentos crecientes que frenan el precio neto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lista del 3 %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Descuentos por encima del 31 % de las ventas brutas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 y remuneración excesiva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anual y activistas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remuneración por debajo del 70 %</w:t>
            </w:r>
          </w:p>
        </w:tc>
      </w:tr>
    </w:tbl>
    <w:p>
      <w:pPr>
        <w:spacing w:after="160" w:before="0"/>
      </w:pPr>
    </w:p>
    <w:p>
      <w:pPr>
        <w:pStyle w:val="Heading2"/>
      </w:pPr>
      <w:r>
        <w:t xml:space="preserve">Pre-mortem</w:t>
      </w:r>
    </w:p>
    <w:p>
      <w:pPr>
        <w:spacing w:after="100"/>
      </w:pPr>
      <w:r>
        <w:t xml:space="preserve">Octubre de 2029: la acción cotiza a 36 USD, un 40 % menos. La historia empezó en marzo de 2027, cuando la FDA aprobó zanzalintinib en colorrectal solo para los pacientes sin metástasis hepáticas: un tercio del mercado previsto. STELLAR-304 dio una mejora de la supervivencia sin progresión pequeña y el riñón de células no claras resultó ser un nicho. En 2028, LITESPARK-033 tardó más de lo previsto y Merck priorizó su propia combinación con lenvatinib. Mientras, cabozantinib siguió creciendo y el BPA llegó a 4,5 USD en 2028, así que el mercado mantuvo 15 veces hasta que, en 2029, se acercaron los genéricos y nadie quiso pagar por un beneficio que iba a caer un 60 %. La empresa usó la caja para comprar un producto oncológico a 15 veces las ventas. El indicador que lo habría anticipado: la etiqueta de colorrectal y la distancia entre la guía de zanzalintinib y los 900 M de 2030 de nuestro caso base.</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vende Exelixis: un medicamento con patente recetado por un oncólogo y pagado por Medicare y las aseguradoras; ninguna parte de las ventas depende de un trabajo que se pueda automatizar [1]. Toca el lado de los costes y de la competencia. En costes, el diseño de moléculas y de ensayos con IA puede abaratar su I+D (825 M en 2025), que es su mayor gasto. En competencia, acorta el tiempo en que los rivales llegan con nuevos inhibidores de quinasa, lo que puede adelantar la erosión de zanzalintinib en los años 2030. La propia FDA usa IA en la revisión de solicitudes, con efecto incierto en plazos [1]. Señal observable: número de moléculas diseñadas con IA en fase 2-3 en cáncer renal y colorrectal. Riesgo bajo.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que mueve las cifras es el acceso y el precio de los medicamentos: los descuentos a programas públicos (29,5 % de las ventas brutas) y la negociación de precios del IRA desde 2029 [1, 2]. El segundo asunto es la gobernanza: remuneración del consejero delegado (33,24 M en 2025, con un 20,9 % de votos en contra) y presión de activistas [16, 17]. Las emisiones son irrelevantes para las cifras: fabrica con terceros y ocupa oficinas y laboratorios en Alameda [1].</w:t>
      </w:r>
    </w:p>
    <w:p>
      <w:pPr>
        <w:pStyle w:val="Heading2"/>
      </w:pPr>
      <w:r>
        <w:t xml:space="preserve">Controversias</w:t>
      </w:r>
    </w:p>
    <w:p>
      <w:pPr>
        <w:spacing w:after="100"/>
      </w:pPr>
      <w:r>
        <w:t xml:space="preserve">No encontramos sanciones ni multas en los últimos tres años en el 10-K, el 10-Q ni los 8-K. Hay litigios de patentes como demandante (MSN, Azurity) y despachos de abogados que anuncian investigaciones para posibles demandas de accionistas sin demanda presentada (oct-2026) [2, 28].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Zanzalintinib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pidió la FDA con la información adicional que llevó a la enmienda mayor, y espera una etiqueta para todos los pacientes o solo para los que no tienen metástasis hepáticas?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colorrectal vale 300 M o 1.000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acuerdos con Teva, Cipla, Sun y Biocon se adelantan si MSN entra en enero de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año de ventas de cabozantinib es casi un tercio del valor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STELLAR-304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retrasado cuatro veces la lectura y qué tamaño de efecto haría falta para que sea comercial?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zanzalintinib en riñón, el mercado de cabozantinib.</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reparten las ventas de zanzalintinib con belzutifan si LITESPARK-033 sale bien?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relevo en riñón depende de un ensayo que dirige otra empresa.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precio seguirá recomprando y qué haría con la caja si zanzalintinib se queda corto?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 a 61 USD un beneficio que vence en 2030 destruye valor si el DCF tiene razón.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pasa por el 340B y Medicare Parte D y cómo evoluciona su descuento?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descuentos crecen más que el precio de lista.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 concesión de 30,5 M en acciones al consejero delegado en 2025 y cómo se liga a zanzalintinib?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20,9 % de votos en contra en la junta de 2026.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($EXEL)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impulso: la acción «toca 60» cada día, nuevos máximos y «no estés corto»; algún usuario especula con una compra de la empresa; el retraso de la FDA se lee como algo menor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lecturas opuestas del retraso de la FDA (rebaja a mantener frente a «cuesta menos de lo que cree el mercado»); el debate de fondo es si zanzalintinib sustituye a cabozantinib antes de 2030-2031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en «mantener» de media con objetivos por debajo del precio (Bank of America en venta a 41 USD, RBC a 51); despachos de bufetes que buscan accionistas sin demanda presentada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 la FDA y aprobación de zanzalintinib en colorrectal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que importa: el retraso no cambia nuestro caso base (ventas de zanzalintinib desde 2027), pero la etiqueta sí; ninguno de los dos bandos la conoce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Impulso y máximos históricos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impulso es real (+58,9 % en 12 meses), pero el precio ya está un 11 % por encima del objetivo medio de los analistas y un 53 % por encima de nuestro valor intrínseco [20].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cabozantinib en 2030-2031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pesa en el DCF y el que menos se discute: la caída de 2030-2031 está en nuestra proyección y explica que el valor intrínseco (39,74 USD) quede por debajo del precio [12,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Posible compra de la empresa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(sin accionista de control y con activistas), pero un comprador pagaría por zanzalintinib; no lo incluimos en el valor.</w:t>
            </w:r>
          </w:p>
        </w:tc>
      </w:tr>
    </w:tbl>
    <w:p>
      <w:pPr>
        <w:spacing w:after="160" w:before="0"/>
      </w:pPr>
    </w:p>
    <w:p>
      <w:pPr>
        <w:spacing w:after="100"/>
      </w:pPr>
      <w:r>
        <w:t xml:space="preserve">El sentimiento de los particulares es de euforia de impulso (máximos, «no estés corto»), mientras que los analistas están en mantener con objetivos por debajo del precio y la posición corta es del 11,37 % [20, 21, 32]. Esa divergencia es la señal: el precio sube por recompras y por expectativa sobre zanzalintinib, no por un cambio del vencimiento de cabozantinib. No anticipa un catalizador nuevo; sí un riesgo de caída fuerte si STELLAR-304 o la FDA decepcionan, porque la acción ya descuenta el éxito.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33 (18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24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(solo resultado de explotación y BPA); 2) XBRL trimestral (sin depreciación trimestral); 3) 10-Q (depreciación solo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da el año de inicio); 2) 10-K 2025 (informe del auditor sin año); 3) 10-K 2022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y proxy 2026 (sin calificaciones publicadas); 2) MSCI y Sustainalytics públicos (no abren sin registro); 3) prensa (sin fecha ni nota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recomendaciones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2026 y la cifra agregada de 2027); 2) MarketBeat (solo la media «mantener»); 3) búsqueda web (resúmenes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cabozantinib en cáncer renal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publica cuota); 2) IMARC y Reportprime (tamaño del mercado, no cuotas); 3) estimación propia: ventas mundiales de cabozantinib en riñón (≈ 2.000 M) entre 8.200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las caídas del 7-may-2026 (−5,1 %) y del 31-jul-2026 (−5,3 %)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notas de la empresa de esas fechas (ninguno); 2) titulares de Seeking Alpha y MarketBeat (sin noticia específica); 3) búsqueda web (sin resultado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anuales auditadas, ventas por producto, royalties, patentes, litigios,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https://www.sec.gov/Archives/edgar/data/939767/000093976726000021/exel-20260102.htm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2T26 (balance a 3-jul-26, flujos del semestre, caja y valores negociables, litigios con MSN)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https://www.sec.gov/Archives/edgar/data/939767/000093976726000098/exel-20260703.htm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Announces Second Quarter 2026 Financial Results (Exhibit 99.1; guía 2026 rebajada)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https://www.sec.gov/Archives/edgar/data/939767/000093976726000096/exel20260630exhibit991.htm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Announces First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https://www.sec.gov/Archives/edgar/data/939767/000093976726000058/exel20260331exhibit991.htm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Announces Fourth Quarter and Fiscal Year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https://www.sec.gov/Archives/edgar/data/939767/000093976726000019/exel2025q42025exhibit991.htm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Announces Third Quarter 2025 Financial Results (Exhibit 99.1; guía 2025 subida)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https://www.sec.gov/Archives/edgar/data/939767/000093976725000127/exel20250930exhibit991.htm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Exelixis (CIK 939767): cuenta, balance, flujos, valores negociables, ventas y BPA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https://data.sec.gov/api/xbrl/companyfacts/CIK0000939767.json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(caja e inversiones de 2021 y 2022, flujos de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https://www.sec.gov/Archives/edgar/data/939767/000093976723000019/exel-20221230.htm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Announces Preliminary Fiscal Year 2025 Financial Results, Provides 2026 Financial Guidance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https://www.sec.gov/Archives/edgar/data/939767/000093976726000003/exel20260111exhibit991.htm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Renal Cell Carcinoma Market: 8.200 M USD en los 7 mayores mercados en 2025, 13.100 M en 2036 (TCAC 4,22 %)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https://www.imarcgroup.com/advanced-renal-cell-carcinoma-market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Kidney Cancer Medicine Market: de 6.600 M USD en 2025 a 10.190 M en 2032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Reportprime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https://www.reportprime.com/kidney-cancer-medicine-r13881.md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el Tribunal de Apelación del Circuito Federal confirma la validez de las patentes '439, '440 y '015; el genérico de MSN no antes del 15-ene-2030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https://www.sec.gov/Archives/edgar/data/939767/000093976726000104/exel-20260831.htm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acuerdo con Teva (18-jul-2023), licencia para vender su genérico de CABOMETYX en EE. UU. desde el 1-ene-2031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https://www.sec.gov/Archives/edgar/data/939767/000093976724000028/exel-20231229.htm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Incyte, United Therapeutics, Vertex, BioMarin, Jazz y Neurocrine: estadísticas (capitalización, EV, márgenes, ROIC, PER adelantado) a 14-oct-26 (ficha sectorial de biofarma)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https://stockanalysis.com/stocks/incy/statistics/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RBC Capital Lowers Exelixis (EXEL) Price Target to $43 (datos del inhibidor de HIF-2α de Merck en riñón)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https://finance.yahoo.com/markets/stocks/articles/rbc-capital-lowers-exelixis-exel-071800844.html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2025, accionistas, ratio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https://www.sec.gov/Archives/edgar/data/939767/000093976726000046/exel-20260415.htm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26-may-2026 (voto consultivo de remuneración: 163,1 M a favor y 43,2 M en contra)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https://www.sec.gov/Archives/edgar/data/939767/000093976726000074/exel-20260526.htm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15-oct-25 y el 15-oct-26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https://www.sec.gov/cgi-bin/browse-edgar?action=getcompany&amp;CIK=0000939767&amp;type=4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EXEL, SPY y XBI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https://finance.yahoo.com/quote/EXEL/history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 previsiones de los analistas (18 analistas, objetivo medio 54,87 USD; BPA ajustado 2026 de 3,58 y 2027 de 4,27; ventas 2026 de 2.600 M y 2027 de 2.900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https://stockanalysis.com/stocks/exel/forecast/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 estadísticas (247,78 M de acciones, PER adelantado 17,41, posición corta 11,37 % de las acciones y 13,19 % del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Incyte, United Therapeutics, Vertex, BioMarin, Jazz y Neurocrine: estadísticas al cierre del 14-oct-2026 (sectores/biofarma-neurologia-2026-10-15-comparables.json)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https://stockanalysis.com/stocks/uthr/statistics/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closes landmark Intra-Cellular Therapies acquisition (14.600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https://www.jnj.com/media-center/press-releases/johnson-johnson-closes-landmark-intra-cellular-therapies-acquisition-to-solidify-neuroscience-leadership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 to acquire GW Pharmaceuticals (7.200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https://investor.jazzpharma.com/news-releases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Neurocrine: cierre de la compra de Soleno Therapeutics (2.900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https://www.sec.gov/Archives/edgar/data/914475/000119312526228013/d94926d8k.htm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(EXEL): noticias de septiembre-octubre de 2026 (cambios de objetivo de RBC, Truist y Bank of America; máximos históricos del 1 y 12-oct)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https://www.marketbeat.com/stocks/NASDAQ/EXEL/news/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falls 12.5% (datos de STELLAR-303 en el ESMO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Fly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https://www.tipranks.com/news/the-fly/exelixis-falls-12-5-thefly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la FDA amplía tres meses la revisión de zanzalintinib en colorrectal; nueva fecha PDUFA el 3-mar-2027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https://www.sec.gov/Archives/edgar/data/939767/000093976726000108/exel-20260910.htm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Exelixis falls as final analysis of zanzalintinib phase 3 data disappoints (22-jun-26) y otros titulares de EXEL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https://seekingalpha.com/api/sa/combined/EXEL.xml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$EXEL (30 mensajes del 11-sep al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https://api.stocktwits.com/api/2/streams/symbol/EXEL.json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biofarma de neurología y enfermedades raras en EE. UU. (sectores/biofarma-neurologia-2026-10-15.md; Exelixis figura entre sus cotizadas)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sectores/biofarma-neurologia-2026-10-15.md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15 oct 2026.</w:t>
      </w:r>
    </w:p>
    <w:p>
      <w:pPr>
        <w:pStyle w:val="Nota"/>
        <w:spacing w:after="100"/>
      </w:pPr>
      <w:r>
        <w:t xml:space="preserve">Cuentas en USD y US GAAP. El ejercicio es de 52/53 semanas y acaba el viernes más próximo al 31 de diciembre: el «2025» acaba el 2-ene-2026 y el LTM, el 3-jul-2026 (la empresa los llama 31-dic y 30-jun). Precio: cierre del 14-oct-2026 en el Nasdaq (la sesión del 15-oct no había cerrado; a media sesión cotizaba a 62,77). Las cifras de 2021-2025 salen del XBRL de la SEC contrastado con el 10-K 2025; la caja incluye los valores negociables a corto y largo plazo. Acciones: 247,8 M en circulación a 27-jul-2026 más 8,9 M de dilución (diferencia entre las medias básica y diluida del 2T26); la caja del puente se ajusta con 58 M de recompras estimadas entre el 3 y el 27 de julio. El consenso de BPA es ajustado (excluye pagos en acciones) y solo hay una fuente gratuita con estimaciones completas (Stock Analysis). Comparables de un solo proveedor con PER sobre BPA ajustado; ninguno es una oncológica de un producto. El mercado final de la sección 3 es de una consultora (IMARC) y no cubre todas las indicaciones de cabozantinib.</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Exelixis, Inc. (EXEL)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60,99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(33,76 – 61,66)</c:v>
                </c:pt>
                <c:pt idx="1">
                  <c:v>Precio objetivo de los analistas (41,00 – 70,00)</c:v>
                </c:pt>
                <c:pt idx="2">
                  <c:v>Comparables: PER NTM (39,60 – 83,73)</c:v>
                </c:pt>
                <c:pt idx="3">
                  <c:v>DCF (WACC y g ± 0,5) (36,04 – 39,01)</c:v>
                </c:pt>
                <c:pt idx="4">
                  <c:v>Escenarios (bajista – alcista) (30,59 – 43,01)</c:v>
                </c:pt>
                <c:pt idx="5">
                  <c:v>DCF con la prima implícita del mercado (4,2 %)</c:v>
                </c:pt>
                <c:pt idx="6">
                  <c:v>Precio actual (60,99)</c:v>
                </c:pt>
              </c:strCache>
            </c:strRef>
          </c:cat>
          <c:val>
            <c:numRef>
              <c:f>Hoja1!$B$2:$B$8</c:f>
              <c:numCache>
                <c:formatCode>#,##0.0</c:formatCode>
                <c:ptCount val="7"/>
                <c:pt idx="0">
                  <c:v>33.76</c:v>
                </c:pt>
                <c:pt idx="1">
                  <c:v>41</c:v>
                </c:pt>
                <c:pt idx="2">
                  <c:v>39.6</c:v>
                </c:pt>
                <c:pt idx="3">
                  <c:v>36.04</c:v>
                </c:pt>
                <c:pt idx="4">
                  <c:v>30.59</c:v>
                </c:pt>
                <c:pt idx="5">
                  <c:v>38.71</c:v>
                </c:pt>
                <c:pt idx="6">
                  <c:v>60.69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(33,76 – 61,66)</c:v>
                </c:pt>
                <c:pt idx="1">
                  <c:v>Precio objetivo de los analistas (41,00 – 70,00)</c:v>
                </c:pt>
                <c:pt idx="2">
                  <c:v>Comparables: PER NTM (39,60 – 83,73)</c:v>
                </c:pt>
                <c:pt idx="3">
                  <c:v>DCF (WACC y g ± 0,5) (36,04 – 39,01)</c:v>
                </c:pt>
                <c:pt idx="4">
                  <c:v>Escenarios (bajista – alcista) (30,59 – 43,01)</c:v>
                </c:pt>
                <c:pt idx="5">
                  <c:v>DCF con la prima implícita del mercado (4,2 %)</c:v>
                </c:pt>
                <c:pt idx="6">
                  <c:v>Precio actual (60,99)</c:v>
                </c:pt>
              </c:strCache>
            </c:strRef>
          </c:cat>
          <c:val>
            <c:numRef>
              <c:f>Hoja1!$C$2:$C$8</c:f>
              <c:numCache>
                <c:formatCode>#,##0.0</c:formatCode>
                <c:ptCount val="7"/>
                <c:pt idx="0">
                  <c:v>27.9</c:v>
                </c:pt>
                <c:pt idx="1">
                  <c:v>29</c:v>
                </c:pt>
                <c:pt idx="2">
                  <c:v>44.13</c:v>
                </c:pt>
                <c:pt idx="3">
                  <c:v>2.969999999999999</c:v>
                </c:pt>
                <c:pt idx="4">
                  <c:v>12.419999999999998</c:v>
                </c:pt>
                <c:pt idx="5">
                  <c:v>2.719999999999999</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CABOMETYX (cabozantinib, EE. UU.)</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1615.3</c:v>
                </c:pt>
                <c:pt idx="1">
                  <c:v>1798.2</c:v>
                </c:pt>
                <c:pt idx="2">
                  <c:v>2113.4</c:v>
                </c:pt>
              </c:numCache>
            </c:numRef>
          </c:val>
        </c:ser>
        <c:ser>
          <c:idx val="1"/>
          <c:order val="1"/>
          <c:tx>
            <c:strRef>
              <c:f>Hoja1!$C$1</c:f>
              <c:strCache>
                <c:ptCount val="1"/>
                <c:pt idx="0">
                  <c:v>COMETRIQ (cabozantinib cápsulas, EE. UU.)</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13.6</c:v>
                </c:pt>
                <c:pt idx="1">
                  <c:v>11.2</c:v>
                </c:pt>
                <c:pt idx="2">
                  <c:v>9.4</c:v>
                </c:pt>
              </c:numCache>
            </c:numRef>
          </c:val>
        </c:ser>
        <c:ser>
          <c:idx val="2"/>
          <c:order val="2"/>
          <c:tx>
            <c:strRef>
              <c:f>Hoja1!$D$1</c:f>
              <c:strCache>
                <c:ptCount val="1"/>
                <c:pt idx="0">
                  <c:v>Colaboraciones (royalties de Ipsen y Takeda, hitos y servicios)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201.3</c:v>
                </c:pt>
                <c:pt idx="1">
                  <c:v>359.3</c:v>
                </c:pt>
                <c:pt idx="2">
                  <c:v>197.3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CABOMETYX (cabozantinib, EE. UU.)</c:v>
                </c:pt>
                <c:pt idx="1">
                  <c:v>COMETRIQ (cabozantinib cápsulas, EE. UU.)</c:v>
                </c:pt>
                <c:pt idx="2">
                  <c:v>Colaboraciones (royalties de Ipsen y Takeda, hitos y servicios)</c:v>
                </c:pt>
              </c:strCache>
            </c:strRef>
          </c:cat>
          <c:val>
            <c:numRef>
              <c:f>Hoja1!$B$2:$B$4</c:f>
              <c:numCache>
                <c:formatCode>General</c:formatCode>
                <c:ptCount val="3"/>
                <c:pt idx="0">
                  <c:v>91.1</c:v>
                </c:pt>
                <c:pt idx="1">
                  <c:v>0.4</c:v>
                </c:pt>
                <c:pt idx="2">
                  <c:v>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(ventas propias)</c:v>
                </c:pt>
                <c:pt idx="1">
                  <c:v>Resto del mundo (royalties y colaboraciones)</c:v>
                </c:pt>
              </c:strCache>
            </c:strRef>
          </c:cat>
          <c:val>
            <c:numRef>
              <c:f>Hoja1!$B$2:$B$3</c:f>
              <c:numCache>
                <c:formatCode>0"%"</c:formatCode>
                <c:ptCount val="2"/>
                <c:pt idx="0">
                  <c:v>91.5</c:v>
                </c:pt>
                <c:pt idx="1">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(cáncer renal avanzado, 7 mayores mercados; 2030e y 2036e con la TCAC de la fuente))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2030e</c:v>
                </c:pt>
                <c:pt idx="2">
                  <c:v>2036e</c:v>
                </c:pt>
              </c:strCache>
            </c:strRef>
          </c:cat>
          <c:val>
            <c:numRef>
              <c:f>Hoja1!$B$2:$B$4</c:f>
              <c:numCache>
                <c:formatCode>#,##0</c:formatCode>
                <c:ptCount val="3"/>
                <c:pt idx="0">
                  <c:v>8200</c:v>
                </c:pt>
                <c:pt idx="1">
                  <c:v>10080</c:v>
                </c:pt>
                <c:pt idx="2">
                  <c:v>13100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Exelixis</c:v>
                </c:pt>
                <c:pt idx="1">
                  <c:v>Merck (KEYTRUDA + axitinib o lenvatinib; WELIREG)</c:v>
                </c:pt>
                <c:pt idx="2">
                  <c:v>Bristol-Myers Squibb (OPDIVO + YERVOY)</c:v>
                </c:pt>
                <c:pt idx="3">
                  <c:v>Eisai (lenvatinib)</c:v>
                </c:pt>
                <c:pt idx="4">
                  <c:v>Pfizer (axitinib, sunitinib)</c:v>
                </c:pt>
                <c:pt idx="5">
                  <c:v>Bayer (regorafenib, sorafenib)</c:v>
                </c:pt>
                <c:pt idx="6">
                  <c:v>Incyte (comparable de modelo)</c:v>
                </c:pt>
                <c:pt idx="7">
                  <c:v>Jazz Pharmaceuticals (comparable de modelo)</c:v>
                </c:pt>
              </c:strCache>
            </c:strRef>
          </c:cat>
          <c:val>
            <c:numRef>
              <c:f>Hoja1!$B$2:$B$9</c:f>
              <c:numCache>
                <c:formatCode>0.0"%"</c:formatCode>
                <c:ptCount val="8"/>
                <c:pt idx="0">
                  <c:v>38.5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1435</c:v>
                </c:pt>
                <c:pt idx="1">
                  <c:v>1611.1</c:v>
                </c:pt>
                <c:pt idx="2">
                  <c:v>1830.2</c:v>
                </c:pt>
                <c:pt idx="3">
                  <c:v>2168.7</c:v>
                </c:pt>
                <c:pt idx="4">
                  <c:v>2320.1</c:v>
                </c:pt>
                <c:pt idx="5">
                  <c:v>2520</c:v>
                </c:pt>
                <c:pt idx="6">
                  <c:v>2804</c:v>
                </c:pt>
                <c:pt idx="7">
                  <c:v>3116</c:v>
                </c:pt>
                <c:pt idx="8">
                  <c:v>3399</c:v>
                </c:pt>
                <c:pt idx="9">
                  <c:v>2848</c:v>
                </c:pt>
                <c:pt idx="10">
                  <c:v>1720</c:v>
                </c:pt>
                <c:pt idx="11">
                  <c:v>1941</c:v>
                </c:pt>
                <c:pt idx="12">
                  <c:v>2181</c:v>
                </c:pt>
                <c:pt idx="13">
                  <c:v>2352</c:v>
                </c:pt>
                <c:pt idx="14">
                  <c:v>2493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300.3</c:v>
                </c:pt>
                <c:pt idx="1">
                  <c:v>222.4</c:v>
                </c:pt>
                <c:pt idx="2">
                  <c:v>196.6</c:v>
                </c:pt>
                <c:pt idx="3">
                  <c:v>718.6999999999999</c:v>
                </c:pt>
                <c:pt idx="4">
                  <c:v>921.8</c:v>
                </c:pt>
                <c:pt idx="5">
                  <c:v>1005</c:v>
                </c:pt>
                <c:pt idx="6">
                  <c:v>1181</c:v>
                </c:pt>
                <c:pt idx="7">
                  <c:v>1424</c:v>
                </c:pt>
                <c:pt idx="8">
                  <c:v>1679</c:v>
                </c:pt>
                <c:pt idx="9">
                  <c:v>1239</c:v>
                </c:pt>
                <c:pt idx="10">
                  <c:v>420</c:v>
                </c:pt>
                <c:pt idx="11">
                  <c:v>701</c:v>
                </c:pt>
                <c:pt idx="12">
                  <c:v>910</c:v>
                </c:pt>
                <c:pt idx="13">
                  <c:v>1035</c:v>
                </c:pt>
                <c:pt idx="14">
                  <c:v>1122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96.3</c:v>
                </c:pt>
                <c:pt idx="1">
                  <c:v>96.4</c:v>
                </c:pt>
                <c:pt idx="2">
                  <c:v>96</c:v>
                </c:pt>
                <c:pt idx="3">
                  <c:v>96.5</c:v>
                </c:pt>
                <c:pt idx="4">
                  <c:v>96.4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20.9</c:v>
                </c:pt>
                <c:pt idx="1">
                  <c:v>13.8</c:v>
                </c:pt>
                <c:pt idx="2">
                  <c:v>10.7</c:v>
                </c:pt>
                <c:pt idx="3">
                  <c:v>33.1</c:v>
                </c:pt>
                <c:pt idx="4">
                  <c:v>39.7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c:v>
                </c:pt>
                <c:pt idx="1">
                  <c:v>12.5</c:v>
                </c:pt>
                <c:pt idx="2">
                  <c:v>9.3</c:v>
                </c:pt>
                <c:pt idx="3">
                  <c:v>31.8</c:v>
                </c:pt>
                <c:pt idx="4">
                  <c:v>38.5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16.1</c:v>
                </c:pt>
                <c:pt idx="1">
                  <c:v>11.3</c:v>
                </c:pt>
                <c:pt idx="2">
                  <c:v>11.4</c:v>
                </c:pt>
                <c:pt idx="3">
                  <c:v>24</c:v>
                </c:pt>
                <c:pt idx="4">
                  <c:v>33.7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14.3</c:v>
                </c:pt>
                <c:pt idx="1">
                  <c:v>18.2</c:v>
                </c:pt>
                <c:pt idx="2">
                  <c:v>30.6</c:v>
                </c:pt>
                <c:pt idx="3">
                  <c:v>-10.8</c:v>
                </c:pt>
                <c:pt idx="4">
                  <c:v>10.8</c:v>
                </c:pt>
                <c:pt idx="5">
                  <c:v>5.6</c:v>
                </c:pt>
                <c:pt idx="6">
                  <c:v>10</c:v>
                </c:pt>
                <c:pt idx="7">
                  <c:v>10.6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c:v>
                </c:pt>
                <c:pt idx="1">
                  <c:v>49</c:v>
                </c:pt>
                <c:pt idx="2">
                  <c:v>47</c:v>
                </c:pt>
                <c:pt idx="3">
                  <c:v>45</c:v>
                </c:pt>
                <c:pt idx="4">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190</c:v>
                </c:pt>
                <c:pt idx="1">
                  <c:v>210</c:v>
                </c:pt>
                <c:pt idx="2">
                  <c:v>87</c:v>
                </c:pt>
                <c:pt idx="3">
                  <c:v>107</c:v>
                </c:pt>
                <c:pt idx="4">
                  <c:v>95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168</c:v>
                </c:pt>
                <c:pt idx="1">
                  <c:v>206</c:v>
                </c:pt>
                <c:pt idx="2">
                  <c:v>170</c:v>
                </c:pt>
                <c:pt idx="3">
                  <c:v>183</c:v>
                </c:pt>
                <c:pt idx="4">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346.6</c:v>
                </c:pt>
                <c:pt idx="1">
                  <c:v>334.90000000000003</c:v>
                </c:pt>
                <c:pt idx="2">
                  <c:v>292.8</c:v>
                </c:pt>
                <c:pt idx="3">
                  <c:v>671.6</c:v>
                </c:pt>
                <c:pt idx="4">
                  <c:v>875.9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231.1</c:v>
                </c:pt>
                <c:pt idx="1">
                  <c:v>182.3</c:v>
                </c:pt>
                <c:pt idx="2">
                  <c:v>207.8</c:v>
                </c:pt>
                <c:pt idx="3">
                  <c:v>521.3</c:v>
                </c:pt>
                <c:pt idx="4">
                  <c:v>782.6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63.3</c:v>
                </c:pt>
                <c:pt idx="1">
                  <c:v>40.3</c:v>
                </c:pt>
                <c:pt idx="2">
                  <c:v>28.7</c:v>
                </c:pt>
                <c:pt idx="3">
                  <c:v>101.9</c:v>
                </c:pt>
                <c:pt idx="4">
                  <c:v>149.3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11.1</c:v>
                </c:pt>
                <c:pt idx="1">
                  <c:v>11.1</c:v>
                </c:pt>
                <c:pt idx="2">
                  <c:v>11.1</c:v>
                </c:pt>
                <c:pt idx="3">
                  <c:v>11.1</c:v>
                </c:pt>
                <c:pt idx="4">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10.5</c:v>
                </c:pt>
                <c:pt idx="1">
                  <c:v>7.8</c:v>
                </c:pt>
                <c:pt idx="2">
                  <c:v>8.7</c:v>
                </c:pt>
                <c:pt idx="3">
                  <c:v>23.1</c:v>
                </c:pt>
                <c:pt idx="4">
                  <c:v>35.5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-6.18</c:v>
                </c:pt>
                <c:pt idx="1">
                  <c:v>-9.29</c:v>
                </c:pt>
                <c:pt idx="2">
                  <c:v>-8.77</c:v>
                </c:pt>
                <c:pt idx="3">
                  <c:v>-2.43</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c:v>
                </c:pt>
                <c:pt idx="1">
                  <c:v>110.8</c:v>
                </c:pt>
                <c:pt idx="2">
                  <c:v>122.5</c:v>
                </c:pt>
                <c:pt idx="3">
                  <c:v>37.8</c:v>
                </c:pt>
                <c:pt idx="4">
                  <c:v>31.5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14.8</c:v>
                </c:pt>
                <c:pt idx="1">
                  <c:v>0</c:v>
                </c:pt>
                <c:pt idx="2">
                  <c:v>550.4</c:v>
                </c:pt>
                <c:pt idx="3">
                  <c:v>652</c:v>
                </c:pt>
                <c:pt idx="4">
                  <c:v>969.6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Farallon Capital</c:v>
                </c:pt>
                <c:pt idx="3">
                  <c:v>Consejeros y directivos</c:v>
                </c:pt>
              </c:strCache>
            </c:strRef>
          </c:cat>
          <c:val>
            <c:numRef>
              <c:f>Hoja1!$B$2:$B$5</c:f>
              <c:numCache>
                <c:formatCode>0.0"%"</c:formatCode>
                <c:ptCount val="4"/>
                <c:pt idx="0">
                  <c:v>12.3</c:v>
                </c:pt>
                <c:pt idx="1">
                  <c:v>11.1</c:v>
                </c:pt>
                <c:pt idx="2">
                  <c:v>6.1</c:v>
                </c:pt>
                <c:pt idx="3">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164.4</c:v>
                </c:pt>
                <c:pt idx="1">
                  <c:v>103.9</c:v>
                </c:pt>
                <c:pt idx="2">
                  <c:v>-35.3</c:v>
                </c:pt>
                <c:pt idx="3">
                  <c:v>-10.4</c:v>
                </c:pt>
                <c:pt idx="4">
                  <c:v>13.9</c:v>
                </c:pt>
                <c:pt idx="5">
                  <c:v>-8.9</c:v>
                </c:pt>
                <c:pt idx="6">
                  <c:v>-12.3</c:v>
                </c:pt>
                <c:pt idx="7">
                  <c:v>49.6</c:v>
                </c:pt>
                <c:pt idx="8">
                  <c:v>38.8</c:v>
                </c:pt>
                <c:pt idx="9">
                  <c:v>31.6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13.4</c:v>
                </c:pt>
                <c:pt idx="1">
                  <c:v>14.1</c:v>
                </c:pt>
                <c:pt idx="2">
                  <c:v>30.5</c:v>
                </c:pt>
                <c:pt idx="3">
                  <c:v>11.3</c:v>
                </c:pt>
                <c:pt idx="4">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13.4</c:v>
                </c:pt>
                <c:pt idx="1">
                  <c:v>13.4</c:v>
                </c:pt>
                <c:pt idx="2">
                  <c:v>13.4</c:v>
                </c:pt>
                <c:pt idx="3">
                  <c:v>13.4</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746</c:v>
                </c:pt>
                <c:pt idx="1">
                  <c:v>866</c:v>
                </c:pt>
                <c:pt idx="2">
                  <c:v>1050</c:v>
                </c:pt>
                <c:pt idx="3">
                  <c:v>1251</c:v>
                </c:pt>
                <c:pt idx="4">
                  <c:v>1012</c:v>
                </c:pt>
                <c:pt idx="5">
                  <c:v>449</c:v>
                </c:pt>
                <c:pt idx="6">
                  <c:v>503</c:v>
                </c:pt>
                <c:pt idx="7">
                  <c:v>659</c:v>
                </c:pt>
                <c:pt idx="8">
                  <c:v>763</c:v>
                </c:pt>
                <c:pt idx="9">
                  <c:v>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5003</c:v>
                </c:pt>
                <c:pt idx="1">
                  <c:v>3277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60,99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30.59</c:v>
                </c:pt>
                <c:pt idx="1">
                  <c:v>37.42</c:v>
                </c:pt>
                <c:pt idx="2">
                  <c:v>43.01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60,99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(33,76 – 61,66)</c:v>
                </c:pt>
                <c:pt idx="1">
                  <c:v>Precio objetivo de los analistas (41,00 – 70,00)</c:v>
                </c:pt>
                <c:pt idx="2">
                  <c:v>Comparables: PER NTM (39,60 – 83,73)</c:v>
                </c:pt>
                <c:pt idx="3">
                  <c:v>DCF (WACC y g ± 0,5) (36,04 – 39,01)</c:v>
                </c:pt>
                <c:pt idx="4">
                  <c:v>Escenarios (bajista – alcista) (30,59 – 43,01)</c:v>
                </c:pt>
                <c:pt idx="5">
                  <c:v>DCF con la prima implícita del mercado (4,2 %)</c:v>
                </c:pt>
                <c:pt idx="6">
                  <c:v>Precio actual (60,99)</c:v>
                </c:pt>
              </c:strCache>
            </c:strRef>
          </c:cat>
          <c:val>
            <c:numRef>
              <c:f>Hoja1!$B$2:$B$8</c:f>
              <c:numCache>
                <c:formatCode>#,##0.0</c:formatCode>
                <c:ptCount val="7"/>
                <c:pt idx="0">
                  <c:v>33.76</c:v>
                </c:pt>
                <c:pt idx="1">
                  <c:v>41</c:v>
                </c:pt>
                <c:pt idx="2">
                  <c:v>39.6</c:v>
                </c:pt>
                <c:pt idx="3">
                  <c:v>36.04</c:v>
                </c:pt>
                <c:pt idx="4">
                  <c:v>30.59</c:v>
                </c:pt>
                <c:pt idx="5">
                  <c:v>38.71</c:v>
                </c:pt>
                <c:pt idx="6">
                  <c:v>60.69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(33,76 – 61,66)</c:v>
                </c:pt>
                <c:pt idx="1">
                  <c:v>Precio objetivo de los analistas (41,00 – 70,00)</c:v>
                </c:pt>
                <c:pt idx="2">
                  <c:v>Comparables: PER NTM (39,60 – 83,73)</c:v>
                </c:pt>
                <c:pt idx="3">
                  <c:v>DCF (WACC y g ± 0,5) (36,04 – 39,01)</c:v>
                </c:pt>
                <c:pt idx="4">
                  <c:v>Escenarios (bajista – alcista) (30,59 – 43,01)</c:v>
                </c:pt>
                <c:pt idx="5">
                  <c:v>DCF con la prima implícita del mercado (4,2 %)</c:v>
                </c:pt>
                <c:pt idx="6">
                  <c:v>Precio actual (60,99)</c:v>
                </c:pt>
              </c:strCache>
            </c:strRef>
          </c:cat>
          <c:val>
            <c:numRef>
              <c:f>Hoja1!$C$2:$C$8</c:f>
              <c:numCache>
                <c:formatCode>#,##0.0</c:formatCode>
                <c:ptCount val="7"/>
                <c:pt idx="0">
                  <c:v>27.9</c:v>
                </c:pt>
                <c:pt idx="1">
                  <c:v>29</c:v>
                </c:pt>
                <c:pt idx="2">
                  <c:v>44.13</c:v>
                </c:pt>
                <c:pt idx="3">
                  <c:v>2.969999999999999</c:v>
                </c:pt>
                <c:pt idx="4">
                  <c:v>12.419999999999998</c:v>
                </c:pt>
                <c:pt idx="5">
                  <c:v>2.719999999999999</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