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Fortinet, Inc.</w:t>
      </w:r>
    </w:p>
    <w:p>
      <w:pPr>
        <w:spacing w:after="60"/>
        <w:rPr>
          <w:color w:val="52514E"/>
          <w:sz w:val="22"/>
          <w:szCs w:val="22"/>
        </w:rPr>
      </w:pPr>
      <w:r>
        <w:rPr>
          <w:color w:val="52514E"/>
          <w:sz w:val="22"/>
          <w:szCs w:val="22"/>
        </w:rPr>
        <w:t xml:space="preserve">FTNT · Nasdaq Global Select · ISIN US34959E1091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184,05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161,49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-12,3 % (base +0,2 %)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53,99 USD · mercado 63,91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136.289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Fortinet,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FTNT / US34959E1091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sistemas (ciberseguridad de red)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Sunnyvale (California)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https://www.fortinet.com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184,05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73,55 – 197,13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136.289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132.317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746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161,49 USD</w:t>
      </w:r>
      <w:r>
        <w:t xml:space="preserve"> frente a 184,05 · Rentabilidad a 12 meses </w:t>
      </w:r>
      <w:r>
        <w:rPr>
          <w:b/>
          <w:bCs/>
        </w:rPr>
        <w:t xml:space="preserve">-12,3 % (base +0,2 %)</w:t>
      </w:r>
      <w:r>
        <w:t xml:space="preserve"> · Valor intrínseco 53,99 USD · con la prima implícita del mercado: 63,91 (-65,3 %) · Alcista / bajista -64,6 % / -80,6 %</w:t>
      </w:r>
    </w:p>
    <w:p>
      <w:pPr>
        <w:spacing w:after="100"/>
      </w:pPr>
      <w:r>
        <w:rPr>
          <w:b/>
        </w:rPr>
        <w:t xml:space="preserve">La recomendación y por qué.</w:t>
      </w:r>
      <w:r>
        <w:t xml:space="preserve"> Vender, con convicción media. El objetivo a 12 meses es de 161,49 USD: rentabilidad ponderada del −12,3 % y del +0,2 % en el caso base, por debajo del objetivo medio de 44 analistas (167,23 USD) y del precio de 184,05. El valor intrínseco es de 53,99 USD, un 70,7 % por debajo del precio. La regla da Vender porque la ponderada queda por debajo del −10 %. La convicción es media y no alta porque la cifra está a solo 2,3 puntos del umbral: con un mejor 3T26 (28-oct) o un múltiplo que aguante, pasaría a Mantener. Quien no la tiene no debe comprar; quien la tiene, debe vender por encima de 179,43 USD.</w:t>
      </w:r>
    </w:p>
    <w:p>
      <w:pPr>
        <w:spacing w:after="100"/>
      </w:pPr>
      <w:r>
        <w:rPr>
          <w:b/>
        </w:rPr>
        <w:t xml:space="preserve">El negocio.</w:t>
      </w:r>
      <w:r>
        <w:t xml:space="preserve"> Fortinet es el líder mundial en cortafuegos por número de unidades, con una cuota del 26,2 % en 2025 según Dell'Oro, y el único gran fabricante con chip propio (ASIC), que le da coste y rendimiento. Margen operativo GAAP del 30,7 %, caja neta y un ROIC estimado del ≈41 % frente a un WACC del 11,23 % (el del motor no aplica porque el capital invertido es negativo por los ingresos diferidos): veredicto de calidad Sí [1, 2]. La sostenibilidad del crecimiento proyectado también es «Sí»: un 7 % anual medio que deja que la cuota baje del 26,2 % al 23,3 %.</w:t>
      </w:r>
    </w:p>
    <w:p>
      <w:pPr>
        <w:spacing w:after="100"/>
      </w:pPr>
      <w:r>
        <w:rPr>
          <w:b/>
        </w:rPr>
        <w:t xml:space="preserve">Finanzas y equipo.</w:t>
      </w:r>
      <w:r>
        <w:t xml:space="preserve"> 2026 es un año excepcional: la renovación de cortafuegos y los centros de datos de IA llevan la facturación a +33 % en el 2T26 y la guía de ingresos a 8.020-8.180 M (+18-20 %), subida dos veces [3]. La propia dirección dice que el ritmo del producto se normalizará. Los fundadores conservan cerca del 19 % del capital, pero han vendido 136 M USD de acciones en doce meses con planes 10b5-1, en plena subida [22].</w:t>
      </w:r>
    </w:p>
    <w:p>
      <w:pPr>
        <w:spacing w:after="100"/>
      </w:pPr>
      <w:r>
        <w:rPr>
          <w:b/>
        </w:rPr>
        <w:t xml:space="preserve">Valoración.</w:t>
      </w:r>
      <w:r>
        <w:t xml:space="preserve"> El DCF da 54,89 USD. Para justificar el precio, Fortinet tendría que crecer un 25,9 % anual durante siete años, frente al 7,0 % que proyectamos tras 2026. Cotiza a 55,4 veces nuestro BPA GAAP de 2027e (3,32), muy por encima de su mediana adelantada de cinco años (33,5). Por eso la regla tapa el múltiplo del caso base en 50,4 veces y el bajista vuelve a 25,9 veces: el recorrido depende de que el mercado siga pagando el múltiplo de la euforia. Respecto a la acción, nuestro BPA es GAAP y resta los pagos en acciones (≈4 % de las ventas); el consenso ajustado (3,78 para 2027e) es un 14 % mayor.</w:t>
      </w:r>
    </w:p>
    <w:p>
      <w:pPr>
        <w:spacing w:after="100"/>
      </w:pPr>
      <w:r>
        <w:rPr>
          <w:b/>
        </w:rPr>
        <w:t xml:space="preserve">Riesgos y catalizadores.</w:t>
      </w:r>
      <w:r>
        <w:t xml:space="preserve"> El riesgo de IA es medio y de sentido mixto: los ataques automatizados con IA aumentan la demanda de protección de red y los centros de datos de IA compran cortafuegos de alta capacidad, pero la seguridad que se mueve a la nube y a las plataformas (Palo Alto, Zscaler, Microsoft) le quita parte del perímetro. El mayor riesgo concreto es el ciclo: tras una renovación tan fuerte, 2027-2028 puede traer un bache como el de 2023 (la acción cayó más de un 40 % desde máximos). La subida del 121 % en seis meses, hasta el máximo de 197,13 USD del 13-oct, muestra que el precio ya descuenta la buena noticia. Catalizadores: 3T26 el 28-oct y la guía de 2027 en febrero.</w:t>
      </w:r>
    </w:p>
    <w:p>
      <w:pPr>
        <w:spacing w:after="100"/>
      </w:pPr>
      <w:r>
        <w:rPr>
          <w:b/>
        </w:rPr>
        <w:t xml:space="preserve">Qué cambiaría la decisión.</w:t>
      </w:r>
      <w:r>
        <w:t xml:space="preserve"> Compraríamos por debajo de 53,99 USD y venderíamos por encima de 179,43. Revisaríamos al alza si la guía de 2027 apuntara a un crecimiento de doble dígito con servicios por encima del 12 %; a la baja si la facturación del 3T26 bajara del 20 % o el margen bruto cediera por el coste de la memoria.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161,49 USD</w:t>
      </w:r>
      <w:r>
        <w:t xml:space="preserve"> (rentabilidad -12,3 % (base +0,2 %)) · Valor intrínseco: 53,99 USD (-70,7 % sobre 184,05) · con la prima implícita del mercado: 63,91 (-65,3 %)</w:t>
      </w:r>
    </w:p>
    <w:p>
      <w:pPr>
        <w:spacing w:after="100"/>
      </w:pPr>
      <w:r>
        <w:t xml:space="preserve">Fortinet es el fabricante de cortafuegos más rentable del mundo: 6.800 M USD de ingresos en 2025, un margen operativo GAAP del 30,7 % gracias a sus procesadores propios, caja neta de ≈4.000 M y un flujo de caja libre del 138 % del beneficio, devuelto casi entero con recompras [1, 3]. En 2026 vive su mejor año en una década: ingresos +23 % en el 1S26, producto +41-52 % y guía subida dos veces, por la renovación de los equipos de 2020-2022, los centros de datos de IA y los ataques con IA [3, 5].</w:t>
      </w:r>
    </w:p>
    <w:p>
      <w:pPr>
        <w:spacing w:after="100"/>
      </w:pPr>
      <w:r>
        <w:t xml:space="preserve">El precio, 184,05 USD tras subir un 132 % en el año, descuenta mucho más: 55,4 veces nuestro beneficio contable de 2027e (mediana histórica: 33,5) y, en el DCF inverso, un crecimiento del 25,9 % anual durante siete años, cuando la propia empresa dice que el ritmo del producto se normalizará [18, 23].</w:t>
      </w:r>
    </w:p>
    <w:p>
      <w:pPr>
        <w:spacing w:after="100"/>
      </w:pPr>
      <w:r>
        <w:t xml:space="preserve">El mercado cree que la IA convierte el pico de 2026 en una meseta alta. Puede acertar en la dirección, pero ya le pasó en 2022: tras el ciclo, el producto cayó dos años. Para invertir hay que creer en siete años al 25 %; nosotros proyectamos un 7 % y no lo pagamos.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 × 2,99 = 77,44 · 50,4x × 3,66 = 184,46 · 50,4x × 3,96 = 199,58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167,23 (nuestro base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 / -80,6 %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11,2 % y 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 frente a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-70,7 % (-65,3 % con la prima del mercado) y el precio pide 18,9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53,99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53,99 y 179,43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179,43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acción cae por debajo de 145 USD (ponderada a 12 meses por encima de −10 %), pasaríamos a Mantener.</w:t>
      </w:r>
    </w:p>
    <w:p>
      <w:pPr>
        <w:pStyle w:val="ListParagraph"/>
        <w:numPr>
          <w:ilvl w:val="0"/>
          <w:numId w:val="2"/>
        </w:numPr>
        <w:spacing w:after="60"/>
      </w:pPr>
      <w:r>
        <w:t xml:space="preserve">Si la guía de 2027 (febrero) supera un 15 % de crecimiento de ventas con margen operativo ajustado del 36 % o más, revisaríamos el base al alza.</w:t>
      </w:r>
    </w:p>
    <w:p>
      <w:pPr>
        <w:pStyle w:val="ListParagraph"/>
        <w:numPr>
          <w:ilvl w:val="0"/>
          <w:numId w:val="2"/>
        </w:numPr>
        <w:spacing w:after="60"/>
      </w:pPr>
      <w:r>
        <w:t xml:space="preserve">Si los servicios aceleran por encima del 18 % (hoy 14 %), el valor terminal subiría de forma relevante.</w:t>
      </w:r>
    </w:p>
    <w:p>
      <w:pPr>
        <w:pStyle w:val="ListParagraph"/>
        <w:numPr>
          <w:ilvl w:val="0"/>
          <w:numId w:val="2"/>
        </w:numPr>
        <w:spacing w:after="60"/>
      </w:pPr>
      <w:r>
        <w:t xml:space="preserve">Compraríamos solo por debajo de 53,99 USD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y la renovación sostienen un crecimiento de más del 20 % durante años y que Fortinet merece el múltiplo de las plataformas en la nube (55 veces el beneficio de 2027e).</w:t>
      </w:r>
    </w:p>
    <w:p>
      <w:pPr>
        <w:keepNext/>
        <w:spacing w:after="100"/>
      </w:pPr>
      <w:r>
        <w:rPr>
          <w:b/>
          <w:bCs/>
        </w:rPr>
        <w:t xml:space="preserve">Lo que creemos nosotros.</w:t>
      </w:r>
    </w:p>
    <w:p>
      <w:pPr>
        <w:spacing w:after="100"/>
      </w:pPr>
      <w:r>
        <w:t xml:space="preserve">El negocio es excelente, pero 2026 es un año de ciclo alto: el producto (33 % de las ventas) se normalizará en 2027-2028 y los servicios crecen al 12-14 %. Con un 10 % de crecimiento en 2027 y un 35 % de margen, el valor está en 55-65 USD.</w:t>
      </w:r>
    </w:p>
    <w:p>
      <w:pPr>
        <w:keepNext/>
        <w:spacing w:after="100"/>
      </w:pPr>
      <w:r>
        <w:rPr>
          <w:b/>
          <w:bCs/>
        </w:rPr>
        <w:t xml:space="preserve">Por qué podemos tener razón.</w:t>
      </w:r>
    </w:p>
    <w:p>
      <w:pPr>
        <w:spacing w:after="100"/>
      </w:pPr>
      <w:r>
        <w:t xml:space="preserve">Lo hemos visto antes: tras el +29 % y +32 % de 2021-2022, el producto cayó en 2023 y 2024 y la acción perdió la mitad. La empresa reconoce que el producto se normalizará y el consenso solo espera un 11 % en 2027.</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84,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y caja de primera</w:t>
      </w:r>
      <w:r>
        <w:t xml:space="preserve">: margen operativo GAAP del 30,7 % y FCF del 138 % del beneficio en 2018-2025 [1].</w:t>
      </w:r>
    </w:p>
    <w:p>
      <w:pPr>
        <w:pStyle w:val="ListParagraph"/>
        <w:numPr>
          <w:ilvl w:val="0"/>
          <w:numId w:val="2"/>
        </w:numPr>
        <w:spacing w:after="60"/>
      </w:pPr>
      <w:r>
        <w:rPr>
          <w:b/>
        </w:rPr>
        <w:t xml:space="preserve">Ventaja de coste duradera</w:t>
      </w:r>
      <w:r>
        <w:t xml:space="preserve">: procesadores FortiASIC propios, ahora con Intel (SP6) [3].</w:t>
      </w:r>
    </w:p>
    <w:p>
      <w:pPr>
        <w:pStyle w:val="ListParagraph"/>
        <w:numPr>
          <w:ilvl w:val="0"/>
          <w:numId w:val="2"/>
        </w:numPr>
        <w:spacing w:after="60"/>
      </w:pPr>
      <w:r>
        <w:rPr>
          <w:b/>
        </w:rPr>
        <w:t xml:space="preserve">Año récord</w:t>
      </w:r>
      <w:r>
        <w:t xml:space="preserve">: ingresos +26 % y facturación +33 % en el 2T26; guía subida a 8.020-8.180 M [3].</w:t>
      </w:r>
    </w:p>
    <w:p>
      <w:pPr>
        <w:pStyle w:val="ListParagraph"/>
        <w:numPr>
          <w:ilvl w:val="0"/>
          <w:numId w:val="2"/>
        </w:numPr>
        <w:spacing w:after="60"/>
      </w:pPr>
      <w:r>
        <w:rPr>
          <w:b/>
        </w:rPr>
        <w:t xml:space="preserve">Balance sólido</w:t>
      </w:r>
      <w:r>
        <w:t xml:space="preserve">: caja neta de 3.972 M y rating A3 de Moody's [3].</w:t>
      </w:r>
    </w:p>
    <w:p>
      <w:pPr>
        <w:pStyle w:val="ListParagraph"/>
        <w:numPr>
          <w:ilvl w:val="0"/>
          <w:numId w:val="2"/>
        </w:numPr>
        <w:spacing w:after="60"/>
      </w:pPr>
      <w:r>
        <w:rPr>
          <w:b/>
        </w:rPr>
        <w:t xml:space="preserve">Calidad</w:t>
      </w:r>
      <w:r>
        <w:t xml:space="preserve">: ROIC estimado del ≈41 % frente a un WACC del 11,23 % y sostenibilidad del crecimiento «Sí».</w:t>
      </w:r>
    </w:p>
    <w:p>
      <w:pPr>
        <w:pStyle w:val="Heading2"/>
      </w:pPr>
      <w:r>
        <w:t xml:space="preserve">En contra</w:t>
      </w:r>
    </w:p>
    <w:p>
      <w:pPr>
        <w:pStyle w:val="ListParagraph"/>
        <w:numPr>
          <w:ilvl w:val="0"/>
          <w:numId w:val="2"/>
        </w:numPr>
        <w:spacing w:after="60"/>
      </w:pPr>
      <w:r>
        <w:rPr>
          <w:b/>
        </w:rPr>
        <w:t xml:space="preserve">Precio exigente</w:t>
      </w:r>
      <w:r>
        <w:t xml:space="preserve">: 55,4 veces el BPA de 2027e frente a una mediana de 33,5 [23].</w:t>
      </w:r>
    </w:p>
    <w:p>
      <w:pPr>
        <w:pStyle w:val="ListParagraph"/>
        <w:numPr>
          <w:ilvl w:val="0"/>
          <w:numId w:val="2"/>
        </w:numPr>
        <w:spacing w:after="60"/>
      </w:pPr>
      <w:r>
        <w:rPr>
          <w:b/>
        </w:rPr>
        <w:t xml:space="preserve">DCF muy lejos</w:t>
      </w:r>
      <w:r>
        <w:t xml:space="preserve">: 54,89 USD por acción (−70,2 %); el precio pide crecer un 25,9 % anual siete años.</w:t>
      </w:r>
    </w:p>
    <w:p>
      <w:pPr>
        <w:pStyle w:val="ListParagraph"/>
        <w:numPr>
          <w:ilvl w:val="0"/>
          <w:numId w:val="2"/>
        </w:numPr>
        <w:spacing w:after="60"/>
      </w:pPr>
      <w:r>
        <w:rPr>
          <w:b/>
        </w:rPr>
        <w:t xml:space="preserve">Ciclo de producto</w:t>
      </w:r>
      <w:r>
        <w:t xml:space="preserve">: tras 2021-2022 el producto cayó dos años; el 33 % de las ventas es cíclico [1].</w:t>
      </w:r>
    </w:p>
    <w:p>
      <w:pPr>
        <w:pStyle w:val="ListParagraph"/>
        <w:numPr>
          <w:ilvl w:val="0"/>
          <w:numId w:val="2"/>
        </w:numPr>
        <w:spacing w:after="60"/>
      </w:pPr>
      <w:r>
        <w:rPr>
          <w:b/>
        </w:rPr>
        <w:t xml:space="preserve">Ventas de la dirección</w:t>
      </w:r>
      <w:r>
        <w:t xml:space="preserve">: 136,2 M USD en 12 meses sin compras [22].</w:t>
      </w:r>
    </w:p>
    <w:p>
      <w:pPr>
        <w:pStyle w:val="ListParagraph"/>
        <w:numPr>
          <w:ilvl w:val="0"/>
          <w:numId w:val="2"/>
        </w:numPr>
        <w:spacing w:after="60"/>
      </w:pPr>
      <w:r>
        <w:rPr>
          <w:b/>
        </w:rPr>
        <w:t xml:space="preserve">Inventario</w:t>
      </w:r>
      <w:r>
        <w:t xml:space="preserve">: 1.667 M de compromisos de compra con la memoria cara [4].</w:t>
      </w:r>
    </w:p>
    <w:p>
      <w:pPr>
        <w:pStyle w:val="Heading2"/>
      </w:pPr>
      <w:r>
        <w:t xml:space="preserve">Qué tiene que pasar para que la tesis funcione</w:t>
      </w:r>
    </w:p>
    <w:p>
      <w:pPr>
        <w:spacing w:after="100"/>
      </w:pPr>
      <w:r>
        <w:t xml:space="preserve">La tesis del mercado depende de que el crecimiento del producto no se dé la vuelta en 2027. La señal está en el producto y la facturación: si en el 3T26 (28-oct) y el 4T26 el producto sigue por encima del 25 % y la guía de 2027 supera el 15 % de ventas, el ciclo se alarga; si el producto baja del 15 % y la guía de 2027 queda en el 8-11 %, el múltiplo de 55 veces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 de producto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final de la renovación.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servicios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o &gt;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67 % de las ventas y el valor terminal.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(billings)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de servicios.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producto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precio y provisiones de inventario.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Compromisos de compra de inventario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1.667 M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2.000 M con producto frenando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provisiones.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65,0x / 49,6x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34,6 %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Fortinet nació en 2000 en Sunnyvale (California), fundada por los hermanos Ken y Michael Xie después de vender NetScreen a Juniper [1]. Su apuesta fue un cortafuegos «todo en uno» con procesadores propios (FortiASIC), más barato y rápido que los equipos de la competencia, vendido por un canal de distribuidores a pymes y luego a grandes empresas. Salió a bolsa en 2009 y desde 2016 vende todo sobre un mismo sistema operativo (la Security Fabric) [1]. En la última década ha sumado SD-WAN, SASE y operaciones de seguridad, ha comprado pequeñas empresas (Lacework, Next DLP, Linksys) y ha devuelto 8.900 M USD con recompras. El ciclo de equipos marca su historia: tras el pico de 2022 el producto cayó dos años, en agosto de 2025 la guía de la renovación hundió la acción un 22 % y en 2026 la renovación y la IA llevaron el producto a crecer un 41-52 % [3, 5,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y Michael Xie fundan Fortinet en Sunnyvale (California) tras vender NetScreen a Juniper; apuestan por un cortafuegos «todo en uno» con procesador propio (FortiASIC)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(FTNT)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la Security Fabric: todos los productos sobre un mismo sistema operativo (FortiOS)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Emite 1.000 M USD en bonos (2026 y 2031) y toma el 50,8 % de Linksys por 160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de 5 por 1 de las acciones (junio) y récord de recompras (1.991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Lacework (seguridad en la nube) y Next DLP; récord de margen operativo GAAP del 30 %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Agosto: dice que la renovación de cortafuegos de 2026 va al 40-50 % y la acción cae un 22 % en un día; demandas colectivas de accionistas [4]. Se queda el 100 % de Linksys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producto +41 % y +52 % en el 1T y el 2T por la renovación y los centros de datos de IA; socio de Anthropic (Project Glasswing) y OpenAI; Moody's sube el rating a A3; la acción sube un 132 % en el año [3,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Fortinet vende seguridad de red: cortafuegos FortiGate (físicos, virtuales y en la nube), SD-WAN, SASE (acceso seguro desde cualquier sitio), conmutadores y puntos de acceso, protección de puestos (FortiEndpoint) y operaciones de seguridad (FortiSIEM, FortiSOC), todo sobre el sistema FortiOS y gestionado desde una consola [1, 4]. Sus clientes son más de medio millón de empresas y administraciones de todos los tamaños, sobre todo medianas, en más de 100 países; el 42 % de las ventas vienen de Europa, Oriente Medio y África y solo el 28 % de EE. UU. [1]. Vende casi todo a través de distribuidores (tres suman el 55 % de los ingresos) que revenden a integradores y proveedores de servicios gestionados [1]. Fabrica con terceros y diseña sus propios procesadores de seguridad, ahora con Intel (SP6) [3].</w:t>
      </w:r>
    </w:p>
    <w:p>
      <w:pPr>
        <w:pStyle w:val="Heading2"/>
      </w:pPr>
      <w:r>
        <w:t xml:space="preserve">Cómo gana dinero</w:t>
      </w:r>
    </w:p>
    <w:p>
      <w:pPr>
        <w:spacing w:after="100"/>
      </w:pPr>
      <w:r>
        <w:t xml:space="preserve">Dos fuentes de ingresos: producto (equipos y licencias, 33 % de las ventas de 2025) y servicios (suscripciones FortiGuard y soporte FortiCare, 67 %), que se cobran por adelantado a uno-cinco años y se reconocen poco a poco [1]. Cada equipo instalado arrastra suscripciones durante su vida útil, así que el producto de hoy es el servicio de mañana: los ingresos diferidos suman 7.676 M USD, más de un año de ventas [3]. El margen bruto es del 80 % (servicios ≈87 %, producto ≈70 %) y el operativo GAAP del 30,7 % en 2025, el más alto entre los grandes de ciberseguridad gracias a los procesadores propios y a un gasto comercial menor que el de las plataformas en la nube. El negocio es cíclico en producto (renovaciones cada 5-7 años) y estable en servicios [1, 4].</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 (equipos FortiGate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(suscripciones de seguridad y soporte)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 (equipos FortiGate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(suscripciones de seguridad y soporte)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Cartera de clientes finales muy diversificada, pero concentración en el canal: el distribuidor A (Exclusive Networks) supone el 28 % de los ingresos de 2025, el B el 15 % y el C el 12 %, y uno de ellos el 32 % de las cuentas a cobrar [1]. Los contratos de servicio son de uno a cinco años y renovables; la empresa no publica la retención. Poder de precios demostrado: en 2026 subió precios de los equipos para compensar el coste de la memoria y la demanda siguió creciendo (producto +52 % en el 2T26) [3,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Facturación (billings)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2.372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subida a 9.350-9.550 M USD (+24-26 %)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producto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508,9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 cortafuegos de 2026, centros de datos de IA y subidas de precio por el coste de la memoria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1.121,1 M USD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 M USD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Suscripciones +13 % y soporte +14 %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desempeño pendientes (RPO)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7.180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en 6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3.860 M se reconocerán en 12 meses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Ajustado (sin pagos en acciones), 38,0 %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279,5 M USD en 2025; muy por debajo de CrowdStrike o Palo Alto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mundial de seguridad de red: cortafuegos (físicos, virtuales y en la nube), SSE/SASE, cortafuegos de aplicaciones web y controladores de aplicaciones, medido como ingresos de los fabricantes (Dell'Oro) [11]. Usamos Dell'Oro (≈26.000 M USD en 2025) porque su perímetro es el que más se parece a las ventas de Fortinet; Roots Analysis da 32.910 M con un perímetro más amplio [12]. Fortinet vende además conmutadores, puestos y SecOps, así que su cuota sobre este mercado (26 %) está algo inflada.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≈26.000 M USD en 2025 (seguridad de red: cortafuegos, SSE, WAF, ADC; ingresos de fabricantes) [11]; Roots Analysis da 32.910 M con un perímetro más amplio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Ataques con IA y modelos que descubren vulnerabilidades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Fortinet es socio de Anthropic (Project Glasswing) y OpenAI (Project Daybreak); la facturación crece un 33 %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de IA y tráfico entre máquinas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de alta capacidad para centros de datos impulsan el producto (+52 % en el 2T26) [3,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renovación de cortafuegos (equipos de 2020-2022)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2023-2024 el producto cayó un 1 % al año; en 2026 crece al 41-52 %; la empresa decía en agosto de 2025 que iba al 40-50 % [1,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la seguridad a la nube (SSE)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SSE crece un 20 % y los cortafuegos físicos a un dígito (Dell'Oro, 3T25)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memoria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espera menos margen bruto de producto en 2026 por los componentes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Palo Alto, Cisco, Check Point, Juniper (HPE) y las plataformas de nube (Zscaler) compiten por consolidar proveedores [13, 14, 15,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pero tres distribuidores suman el 55 %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Fabricantes por contrato y memoria: compromisos de compra de 1.667 M USD y subidas de coste en 2026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Certificaciones, base instalada y procesadores propios; los nuevos entran por la nube, no por el equipo.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SSE en la nube y seguridad integrada en la red de los hiperescaladores [11].</w:t>
            </w:r>
          </w:p>
        </w:tc>
      </w:tr>
    </w:tbl>
    <w:p>
      <w:pPr>
        <w:spacing w:after="160" w:before="0"/>
      </w:pPr>
    </w:p>
    <w:p>
      <w:pPr>
        <w:pStyle w:val="Heading2"/>
      </w:pPr>
      <w:r>
        <w:t xml:space="preserve">Ciclo</w:t>
      </w:r>
    </w:p>
    <w:p>
      <w:pPr>
        <w:spacing w:after="100"/>
      </w:pPr>
      <w:r>
        <w:t xml:space="preserve">El gasto en seguridad es de los últimos que se recortan, pero el de equipos es cíclico: en 2020 se aplazó y en 2021-2022 se recuperó con fuerza (+29 % y +32 % de ingresos de Fortinet); en 2023-2024 la digestión de inventarios del canal hizo caer el producto. Hoy estamos en la fase alta de la renovación de los equipos de 2020-2022, con la IA como impulso adicional: facturación +33 % en el 2T26 [3]. La siguiente fase, en 2027-2028, debería ser de normalización.</w:t>
      </w:r>
    </w:p>
    <w:p>
      <w:pPr>
        <w:pStyle w:val="Heading2"/>
      </w:pPr>
      <w:r>
        <w:t xml:space="preserve">Regulación</w:t>
      </w:r>
    </w:p>
    <w:p>
      <w:pPr>
        <w:spacing w:after="100"/>
      </w:pPr>
      <w:r>
        <w:t xml:space="preserve">NIS2 en la UE (desde octubre de 2024) y la Ley de Ciberresiliencia (obligaciones de fabricante desde 2027) obligan a más empresas a invertir en seguridad y a parchear; en EE. UU., las directivas de la CISA sobre parcheo en plazos cortos y la certificación CMMC para proveedores de defensa (Fortinet Federal la obtuvo en agosto de 2026) [32]. Aranceles a los equipos fabricados en Asia: riesgo de coste.</w:t>
      </w:r>
    </w:p>
    <w:p>
      <w:pPr>
        <w:pStyle w:val="Heading2"/>
      </w:pPr>
      <w:r>
        <w:t xml:space="preserve">Tendencias y disrupción</w:t>
      </w:r>
    </w:p>
    <w:p>
      <w:pPr>
        <w:spacing w:after="100"/>
      </w:pPr>
      <w:r>
        <w:t xml:space="preserve">La IA cambia el sector en dos sentidos: los atacantes encuentran y explotan fallos más deprisa (también en los propios equipos de Fortinet) y los defensores necesitan más inspección de tráfico y automatización. Fortinet gana con la convergencia de red y seguridad (SASE, SD-WAN) y con los centros de datos de IA, y pierde terreno donde la seguridad se compra como servicio en la nube [3,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número de cortafuegos instalados y uno de los tres primeros por ingresos en seguridad de red, con Palo Alto y Cisco; líder en el Cuadrante Mágico de Gartner de Hybrid Mesh Firewall 2026 [1,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cortafuegos de gama alta y plataforma (Prisma SASE, Cortex); margen EBITDA contable del 13,6 %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Cisco (Secure Firewall, Meraki)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Redes con seguridad integrada; su seguridad es una parte pequeña de 63.330 M de ingresos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CHKP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Cortafuegos clásico, crece un 3-6 % y pierde cuota; margen EBITDA del 30,7 %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Zscaler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entregada desde la nube (SSE): la alternativa al cortafuegos en la sede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CRWD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Endpoint y operaciones de seguridad (SecOps); compite con FortiEDR y FortiSIEM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Juniper (HPE)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Redes y cortafuegos SRX dentro de HPE; rival en operadores y SD-WAN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inteligencia de amenazas de FortiGuard mejora con millones de sensores, pero no es un efecto de red fuerte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Políticas, formación (dos millones de certificaciones) y la consola común hacen costoso cambiar de fabricante; servicios del 67 % de las ventas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1.400 patentes y 500 de IA; marca de confianza en pymes [A8].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Procesadores FortiASIC: más rendimiento por dólar y un margen operativo GAAP del 30,7 % frente al ≈7 % de Palo Alto [A1,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de fabricación y de canal mundial difícil de replicar por los nuevos.</w:t>
            </w:r>
          </w:p>
        </w:tc>
      </w:tr>
    </w:tbl>
    <w:p>
      <w:pPr>
        <w:spacing w:after="160" w:before="0"/>
      </w:pPr>
    </w:p>
    <w:p>
      <w:pPr>
        <w:pStyle w:val="Heading2"/>
      </w:pPr>
      <w:r>
        <w:t xml:space="preserve">Amenazas</w:t>
      </w:r>
    </w:p>
    <w:p>
      <w:pPr>
        <w:spacing w:after="100"/>
      </w:pPr>
      <w:r>
        <w:t xml:space="preserve">La principal es la migración de la seguridad a la nube (Zscaler, Palo Alto Prisma, Cloudflare), que hace menos necesario el equipo en la sede; Fortinet responde con FortiSASE, pero ahí no tiene ventaja de coste. Segunda: las vulnerabilidades críticas de FortiOS, explotadas varias veces por grupos estatales; con modelos de IA que encuentran fallos más deprisa, un incidente grave podría dañar la marca. Tercera: la consolidación en plataformas de los grandes (Palo Alto, Cisco, Microsoft) [1,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2018-2025: ingresos </w:t>
      </w:r>
      <w:r>
        <w:rPr>
          <w:b/>
          <w:bCs/>
        </w:rPr>
        <w:t xml:space="preserve">20,9 %</w:t>
      </w:r>
      <w:r>
        <w:t xml:space="preserve">, EBITDA </w:t>
      </w:r>
      <w:r>
        <w:rPr>
          <w:b/>
          <w:bCs/>
        </w:rPr>
        <w:t xml:space="preserve">33,9 %</w:t>
      </w:r>
      <w:r>
        <w:t xml:space="preserve">, BPA </w:t>
      </w:r>
      <w:r>
        <w:rPr>
          <w:b/>
          <w:bCs/>
        </w:rPr>
        <w:t xml:space="preserve">30,3 %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20,9 % anual en 2018-2025, de 1.805 a 6.800 M USD, todo orgánico (las compras son pequeñas) [1]. Hubo dos fases: 2021-2022 (+29 % y +32 %) con la renovación y la escasez de chips, y 2023-2025 (+20 %, +12 %, +14 %) con el producto plano y los servicios al 20 %. El margen EBITDA contable pasó del 16,1 % al 32,9 % por escala y por el peso de los servicios; en 2023 se quedó en el 25,5 % por inventario y gasto comercial, y en 2024 saltó al 32,3 %. En el 1S26 los ingresos crecen un 23 % y el margen operativo GAAP es del 32,6 %, con el producto ganando peso (más ingresos pero menor margen bruto) [3].</w:t>
      </w:r>
    </w:p>
    <w:p>
      <w:pPr>
        <w:pStyle w:val="Heading2"/>
      </w:pPr>
      <w:r>
        <w:t xml:space="preserve">Ajustes y partidas no recurrentes</w:t>
      </w:r>
    </w:p>
    <w:p>
      <w:pPr>
        <w:spacing w:after="100"/>
      </w:pPr>
      <w:r>
        <w:t xml:space="preserve">Usamos cifras GAAP. La empresa publica cifras ajustadas que excluyen pagos en acciones (279,5 M en 2025), amortización de intangibles comprados (≈40 M), plusvalías por compras ventajosas (Linksys 39,9 M en 2025; Lacework 106,3 M en 2024) y un ajuste de impuestos al 18 % [1, 3]. El BPA ajustado es un 11-13 % mayor que el GAAP. Las plusvalías de 2024 y 2025 están en el resultado financiero y no se repiten; no cambian el EBITDA.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(29-jul-2026) la dirección habló de «resultados excelentes» y de una demanda que nace de la IA: centros de datos de IA que piden cortafuegos de alta capacidad, soberanía de datos y el «cortafuegos SASE», que une cortafuegos, SD-WAN y SASE en FortiOS [3]. Subió la guía de 2026 por segunda vez (ingresos 8.020-8.180 M, facturación 9.350-9.550 M) y anunció el acuerdo con Intel para su procesador SP6. Frente al 1T26 (6-may), el discurso pasó de «la renovación va bien» a «la IA abre un mercado nuevo», y la subida de precios por la memoria pasó a verse como viento de cola (Oppenheimer) [35]. Los analistas preguntaron sobre todo cuánto queda de la renovación, si el crecimiento de producto del 41-52 % es sostenible y por el margen bruto con la memoria más cara; la dirección dijo que el ritmo del producto se normalizará y no dio cifra para 2027 [4,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de caja neta: 4.468,7 M USD de caja e inversiones frente a 496,9 M de deuda (bono al 2,2 % de 2031) a 30-jun-2026, tras devolver en marzo el bono de 500 M al 1 % [3]. El circulante es muy negativo (−77 % de las ventas) porque los clientes pagan por adelantado: los ingresos diferidos crecieron en 754 M en 2025 y en 560 M en el 1S26, y financian el crecimiento. El patrimonio neto es pequeño (1.551 M) porque las recompras se han comido los beneficios acumulados. Moody's subió el rating a A3 en 2026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10.151</w:t>
      </w:r>
      <w:r>
        <w:t xml:space="preserve">, conversión </w:t>
      </w:r>
      <w:r>
        <w:rPr>
          <w:b/>
          <w:bCs/>
        </w:rPr>
        <w:t xml:space="preserve">138 %</w:t>
      </w:r>
      <w:r>
        <w:t xml:space="preserve"> del beneficio neto; adquisiciones 519, dividendos 0, recompras 8.900.</w:t>
      </w:r>
    </w:p>
    <w:p>
      <w:pPr>
        <w:spacing w:after="100"/>
      </w:pPr>
      <w:r>
        <w:t xml:space="preserve">Conversión excelente: el flujo de caja libre (después del capex y de las comisiones activadas) suma 10.151 M USD en 2018-2025, el 138 % del beneficio neto, porque los cobros anticipados de servicios entran antes que el gasto [2]. El capex es alto para un fabricante sin fábricas (7,0 % de las ventas en 2025) porque Fortinet compra sus edificios y centros de datos (inmovilizado de 1.619 M); nuestra estimación es que ≈2 puntos son mantenimiento y el resto oficinas y centros de datos propios. En el 1S26 el flujo operativo fue de 2.120,7 M (+61 %) por los cobros de la renovación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31-dic-2025)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Deloitte da opinión favorable sobre las cuentas y el control interno [1]. Los pagos en acciones pesan poco (4,1 % de las ventas en 2025, frente al 20-25 % de CrowdStrike o Zscaler), así que la distancia entre BPA GAAP y ajustado es pequeña. Las comisiones se activan y se amortizan (735,5 M activados) y los ingresos de producto se reconocen al entregar. Los indicadores del motor no dan alertas: Altman Z de 10,28 (zona segura, aunque inflado por el patrimonio pequeño), Piotroski de 6 (intermedio: empeora el margen bruto por la mezcla) y Beneish M de −2,65 (sin señal). Los años 2018-2023 llevan un tipo impositivo bajo por liberaciones de provisiones fiscales; desde 2025 es normal (19,2 %). Lo que vigilar: el inventario y los compromisos de compra si el ciclo se da la vuelta.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de compra de inventario de 1.667 M USD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veces las existencias; con la memoria cara y un ciclo que puede girar, riesgo de provisiones en 2027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por compras ventajosas en el resultado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Lacework (106,3 M) y Linksys (39,9 M) inflan el resultado financiero de 2024 y 2025; no se repiten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9"/>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257 M en 2025; ha subido más de un 5 % en 5 de 7 años: comprador en serie.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11,2 %.</w:t>
      </w:r>
    </w:p>
    <w:p>
      <w:pPr>
        <w:spacing w:after="100"/>
      </w:pPr>
      <w:r>
        <w:t xml:space="preserve">El ROIC del motor no aplica: el capital invertido es negativo (−1.633 M USD en 2025) porque la caja y los ingresos diferidos superan al patrimonio y la deuda. Sobre el capital fijo (inmovilizado, intangibles y fondo de comercio) el rendimiento operativo es del 91,8 %. Nuestra estimación sin restar los ingresos diferidos (NOPAT de 1.685 M sobre ≈4.130 M de inmovilizado, clientes, existencias, comisiones activadas e intangibles, menos proveedores y otros acreedores) da un ROIC del ≈41 %, frente a un WACC del 11,23 %: crea valor con holgura desde hace más de diez años (estimación propia). El ROE (135,7 %) no dice nada por las recompras. Lo mueve el margen: la rotación del capital es alta porque los clientes financian el circulante. Ningún rival grande lo iguala: Palo Alto da un ROIC del 1,7 % y Check Point del 36 % con un crecimiento mucho menor [13, 15].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2.934,9 M USD + inversiones a corto 1.134,7 M y a largo 399,1 M = 4.468,7 M USD a 30-jun-2026; deuda de 496,9 M (bono 2,2 % con vencimiento en marzo de 2031) tras devolver en marzo los 500 M del bono al 1 % [3,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(subido desde Baa1 en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financieros en los bonos [1]. Compromisos de compra de inventario no cancelables de 1.667,1 M USD a 30-jun-2026 (1.337,5 M a 12 meses), con una provisión de 24,0 M por exceso: si la demanda cae, el riesgo es de existencias [4]. Demanda colectiva de accionistas por la guía de la renovación (sin provisión) y demandas derivadas [4]. Sin pensiones de prestación definida relevantes. Arrendamientos operativos de 65,5 M fuera de la deuda (US GAAP) [2].</w:t>
      </w:r>
    </w:p>
    <w:p>
      <w:pPr>
        <w:pStyle w:val="Heading1"/>
      </w:pPr>
      <w:r>
        <w:t xml:space="preserve">12. Asignación de capital</w:t>
      </w:r>
    </w:p>
    <w:p>
      <w:pPr>
        <w:pStyle w:val="Confianza"/>
        <w:spacing w:after="100"/>
      </w:pPr>
      <w:r>
        <w:t xml:space="preserve">Confianza: Alta</w:t>
      </w:r>
    </w:p>
    <w:p>
      <w:pPr>
        <w:spacing w:after="100"/>
      </w:pPr>
      <w:r>
        <w:t xml:space="preserve">Sin dividendo. La caja se dedica a recompras oportunistas: el consejo ha autorizado 10.250 M USD acumulados hasta febrero de 2027, con 765,8 M disponibles a 30-jun-2026 [4]. Compra cuando la acción cae (2.290 M en 2025 a una media de 79,8 USD; 972,8 M en el 1S26 a 77,73) y casi nada cuando sube (0,6 M en 2024) [1, 4]. Compras pequeñas para añadir tecnología (Lacework, Next DLP, Linksys, Virtue AI) y edificios propios.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Lacework (seguridad en la nube, CNAPP)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precio de saldo: plusvalía de 106,3 M por compra ventajosa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Next DLP (prevención de fuga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FortiDLP;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Linksys (49,2 %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inicial de 160 M de 2021 se valoró en 21,5 M: pérdida de ≈140 M en cuatro años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Virtue AI (seguridad para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el 17-ago-2026; sin cifras [19].</w:t>
            </w:r>
          </w:p>
        </w:tc>
      </w:tr>
    </w:tbl>
    <w:p>
      <w:pPr>
        <w:spacing w:after="160" w:before="0"/>
      </w:pPr>
    </w:p>
    <w:p>
      <w:pPr>
        <w:spacing w:after="100"/>
      </w:pPr>
      <w:r>
        <w:t xml:space="preserve">Buena asignación en lo principal: el 88 % del flujo libre de 2018-2025 (8.900 M de 10.151 M) volvió a los accionistas con recompras, y el número de acciones bajó de 871 a 765 M (−12 %). La disciplina de comprar barato es real: la empresa no recompró en 2024 con la acción a 90 USD y sí en 2025-2026 a 77-80. El fallo visible es Linksys (≈140 M perdidos). Las compras son pequeñas y no hay fondo de comercio relevante (257 M), así que el ROIC no se ha diluido con primas.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Xie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NetScreen (vendida a Juniper en 2004) y Fortinet en 2000; consejero delegado desde entonces. Con él los ingresos han pasado de 1.805 M USD en 2018 a 6.800 M en 2025 y el margen operativo GAAP del 13 % al 31 %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Xie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ejecutivo de la compañía (President) y director de 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Hermano de Ken Xie; responsable de la arquitectura FortiOS y de los procesadores FortiASIC que dan a Fortinet su ventaja de coste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Christiane Ohlgart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desde mayo de 2025, tras la salida de Keith Jensen; antes en Fortinet como directora contable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 Whittle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jurídico y después de operaciones; firma los 8-K de la compañía [20,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6.650-6.850 M USD; BPA ajustado 2,41-2,47 (febrero de 2025)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6.799,6 M; BPA GAAP 2,42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 (renovación)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Agosto de 2025: la renovación de cortafuegos de 2026 iba al 40-50 %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un 22 % en un día y llegaron demandas colectivas; en 2026 el producto crece al 41-52 %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7.500-7.700 M USD; BPA ajustado 2,94-3,00 (febrero); subida a 7.710-7.870 M en mayo y a 8.020-8.180 M y 3,41-3,47 en julio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3.897,5 M (+23 %) y BPA GAAP 1,54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fundador con 26 años al frente: Ken Xie (consejero delegado y presidente) y Michael Xie (tecnología) tienen el 19 % del capital entre los dos y han llevado la empresa de cero a 6.800 M USD con márgenes crecientes [20]. La guía anual se cumple o se supera (2025 y 2026), pero la comunicación sobre la renovación de agosto de 2025 fue mala: la acción cayó un 22 % y hay una demanda colectiva [4, 6]. Cambio de director financiero en mayo de 2025 (Ohlgart sustituye a Jensen) sin incidencias. No hay plan de sucesión público: Ken Xie tiene 63 años, es el mayor riesgo de persona clave.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Xie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Xie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ejecutivo y director de tecnología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Sim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Kenneth A. Goldman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Ming Hsieh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 Hu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Janet Napolitano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Recursos Humanos; Ciberseguridad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Stavridis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Ciberseguridad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Derek Kan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31-dic-2025)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136,24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 Xie (con familia y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vendió 661.691 acciones (78,1 M USD) en 12 meses con plan 10b5-1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Xie (con familia y fideicomisos)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vendió 356.158 acciones (29,5 M USD)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13G/A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a los dos fundadores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Xie (consejero delegado), ventas nov-25 a ago-26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Xie (director de tecnología), ventas nov-25 a ago-26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Whittle (director de operaciones), ventas may-26 a sep-26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Christiane Ohlgart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11,46 M USD en 2025 (13,14 M en 2024), el 89 % en acciones: unidades restringidas a cuatro años y acciones por objetivos (PSU) ligadas a la rentabilidad total para el accionista frente al S&amp;P 500 [20]. El bonus anual (0,71 M) depende de ingresos y resultado operativo. El ratio con el empleado medio es de 75 a 1, bajo para el sector [20]. La política se aprobó en 2026 con un 88,6 % a favor y un 11,3 % en contra [21]. Indemnizaciones por cambio de control de 12 meses de salario más aceleración de acciones.</w:t>
      </w:r>
    </w:p>
    <w:p>
      <w:pPr>
        <w:pStyle w:val="Heading2"/>
      </w:pPr>
      <w:r>
        <w:t xml:space="preserve">Operaciones vinculadas, estructura de control y defensas</w:t>
      </w:r>
    </w:p>
    <w:p>
      <w:pPr>
        <w:spacing w:after="100"/>
      </w:pPr>
      <w:r>
        <w:t xml:space="preserve">Sin accionista de control: los dos fundadores suman el 19,1 % (9,8 % y 9,3 %) y BlackRock el 7,4 % [20]. Una clase de acciones con un voto. Consejo de nueve con siete independientes, mandato anual y una consejera independiente coordinadora (Judith Sim). Presidente y consejero delegado en la misma persona, el fundador. El bono de 2031 obliga a recomprarlo si hay un cambio de control con bajada de rating, una defensa menor [1].</w:t>
      </w:r>
    </w:p>
    <w:p>
      <w:pPr>
        <w:pStyle w:val="Heading2"/>
      </w:pPr>
      <w:r>
        <w:t xml:space="preserve">Señales de alerta</w:t>
      </w:r>
    </w:p>
    <w:p>
      <w:pPr>
        <w:pStyle w:val="ListParagraph"/>
        <w:numPr>
          <w:ilvl w:val="0"/>
          <w:numId w:val="2"/>
        </w:numPr>
        <w:spacing w:after="60"/>
      </w:pPr>
      <w:r>
        <w:t xml:space="preserve">Ventas de la dirección por 136,2 M USD en 12 meses, todas con plan 10b5-1 y ninguna compra; los dos fundadores venden de forma regular desde hace años (2025: ejercicio de 1,24 M de opciones) [20, 22].</w:t>
      </w:r>
    </w:p>
    <w:p>
      <w:pPr>
        <w:pStyle w:val="ListParagraph"/>
        <w:numPr>
          <w:ilvl w:val="0"/>
          <w:numId w:val="2"/>
        </w:numPr>
        <w:spacing w:after="60"/>
      </w:pPr>
      <w:r>
        <w:t xml:space="preserve">Demanda colectiva consolidada (In re Fortinet Securities Litigation) por las declaraciones sobre la renovación de cortafuegos de 2026; moción de desestimación presentada el 15-jun-2026 [4].</w:t>
      </w:r>
    </w:p>
    <w:p>
      <w:pPr>
        <w:pStyle w:val="ListParagraph"/>
        <w:numPr>
          <w:ilvl w:val="0"/>
          <w:numId w:val="2"/>
        </w:numPr>
        <w:spacing w:after="60"/>
      </w:pPr>
      <w:r>
        <w:t xml:space="preserve">Presidente y consejero delegado en la misma persona (fundador con el 9,8 %); lo compensa una consejera independiente coordinadora elegida cada año [20].</w:t>
      </w:r>
    </w:p>
    <w:p>
      <w:pPr>
        <w:pStyle w:val="ListParagraph"/>
        <w:numPr>
          <w:ilvl w:val="0"/>
          <w:numId w:val="2"/>
        </w:numPr>
        <w:spacing w:after="60"/>
      </w:pPr>
      <w:r>
        <w:t xml:space="preserve">Voto en contra del 15,4 % en la reelección de Kenneth Goldman y del 12,3 % en la de Ming Hsieh en la junta de 2026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(29-jul-2026): ingresos de 8.020-8.180 M USD (+18-20 %), servicios de 5.180-5.220 M, facturación de 9.350-9.550 M, margen operativo ajustado del 35-37 % y BPA ajustado de 3,41-3,47 con 741-745 M de acciones [3]. Es la segunda subida: en febrero guiaba 7.500-7.700 M y 2,94-3,00, y en mayo 7.710-7.870 M y 3,10-3,16 [6]. Para el 3T26: ingresos de 2.010-2.100 M y BPA ajustado de 0,83-0,87. No hay objetivos a medio plazo públicos.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 / S&amp;P Global (41 analistas; BPA ajustado, sin pagos en acciones)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S&amp;P Global (BPA ajustado)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30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 225,00</w:t>
            </w:r>
          </w:p>
        </w:tc>
      </w:tr>
    </w:tbl>
    <w:p>
      <w:pPr>
        <w:spacing w:after="160" w:before="0"/>
      </w:pPr>
    </w:p>
    <w:p>
      <w:pPr>
        <w:pStyle w:val="Heading2"/>
      </w:pPr>
      <w:r>
        <w:t xml:space="preserve">Revisiones de estimaciones</w:t>
      </w:r>
    </w:p>
    <w:p>
      <w:pPr>
        <w:spacing w:after="100"/>
      </w:pPr>
      <w:r>
        <w:t xml:space="preserve">Las estimaciones han subido con fuerza: el BPA ajustado de 2026 pasó de ≈2,97 (punto medio de la guía de febrero) a 3,45 (+16 %), y el objetivo medio de los analistas de 87 USD a fin de 2025 a 114 en junio y 167 en octubre [24, 32]. En octubre siguen las subidas (UBS a 200, RBC a 205, TD Cowen a 225), incluso de los que recomiendan vender (Mizuho y Wells Fargo a 160) [24]. Solo 9 de 44 analistas recomiendan comprar: la mayoría ve el negocio bien y el precio caro.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bl>
    <w:p>
      <w:pPr>
        <w:spacing w:after="160" w:before="0"/>
      </w:pPr>
    </w:p>
    <w:p>
      <w:pPr>
        <w:spacing w:after="100"/>
      </w:pPr>
      <w:r>
        <w:t xml:space="preserve">La acción ha subido un 131,8 % en 2026 frente al 13,7 % del S&amp;P 500 y el 45,6 % del ETF de ciberseguridad (CIBR) [23]. Hasta abril estaba plana (≈80 USD) tras el desplome del 7-ago-2025 (−22 %) por la guía de la renovación [33]. El giro llegó con el 1T26 (6-may): ingresos +20 %, producto +41 % y guía subida; la acción subió un 20 % al día siguiente y un 64 % en mayo [23, 34]. Después, el 2T26 (+26 % de ingresos) y dos subidas del sector (27-ago con CrowdStrike, +9,7 %; 14-sep, +9,0 %) la llevaron a máximos de 197,13 el 13-oct [18, 32]. Volatilidad del 43 % anual; posición corta baja (2,0 % del flotante) [27].</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 / +12,5 % / +120,7 % / +118,9 %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 +141,7 %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(6-may): ingresos +20 %, producto +41 %, facturación +31 % y guía de 2026 subida; +20 % el 7-may y nuevas subidas a final de mes (+6,4 % el 29-may y +6,6 % el 1-jun) [23,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del sector: CrowdStrike bate y sube la guía (27-ago, +9,7 %) y rotación hacia la seguridad del 14-sep (+9,0 %); nada propio de Fortinet [18,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un día tras el 3T25 (6-nov-2025): servicios y facturación justos frente a lo esperado tras el susto de agosto [7,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el objetivo a 200 USD (Mantener); Mizuho y Wells Fargo lo suben a 160 manteniendo Vender; el 13-oct TD Cowen a 225 (Comprar) y el 12-oct RBC a 205 (Mantener)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Wedbush rebaja a Neutral desde Outperform: la valoración «ya descuenta mucho»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y el director de operaciones venden 136,2 M USD en 12 meses con planes 10b5-1, sin compras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por la guía de la renovación de 2026 (clase de nov-2024 a ago-2025); moción de desestimación presentada, sin fecha de decisión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Virtue AI (seguridad para IA), pequeña y sin cifras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28-oct-2026 tras el cierre (guía: ingresos de 2.010-2.100 M y BPA ajustado de 0,83-0,87) [3,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del 121 % en seis meses tiene causa en el negocio (producto +41-52 %, guía subida dos veces) y en el sector, no en una operación: no hay colocaciones, ampliaciones ni ofertas pendientes. Las ventas de los fundadores son regulares y con plan, y la demanda colectiva no tiene fecha. Ningún hecho pendiente aplaza la decisión; los resultados del 28-oct no aplazan nada (regla 11). Los avisos P1 y P2 solo obligan a explicar la causa: la decisión la toma la valoración, que da Vender por encima de 179,43 USD.</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contable de los últimos 12 meses, Fortinet cotiza a 65,0 veces, frente a una media de 41,8 veces en 2018-2025 (sin 2021) y un máximo de 56,2, y a 50,9 veces el EBITDA frente a 36,3 de media: está en el percentil 100 de su historia en los dos. Con el beneficio adelantado (55,4 veces el BPA de 2027e) la prima frente a su mediana de 33,5 veces es del 65 %. Algo ha cambiado (más servicios, margen más alto que en 2018-2020), pero no lo suficiente: el crecimiento esperado para 2027 (≈10-11 %) es menor que el de 2018-2022, cuando cotizaba a 35-40 veces.</w:t>
      </w:r>
    </w:p>
    <w:p>
      <w:pPr>
        <w:pStyle w:val="Heading1"/>
      </w:pPr>
      <w:r>
        <w:t xml:space="preserve">18. Comparables cotizados</w:t>
      </w:r>
    </w:p>
    <w:p>
      <w:pPr>
        <w:pStyle w:val="Confianza"/>
        <w:spacing w:after="100"/>
      </w:pPr>
      <w:r>
        <w:t xml:space="preserve">Confianza: Baja</w:t>
      </w:r>
    </w:p>
    <w:p>
      <w:pPr>
        <w:spacing w:after="100"/>
      </w:pPr>
      <w:r>
        <w:t xml:space="preserve">Seis cotizadas de seguridad de red y ciberseguridad de EE. UU. e Israel: los rivales directos en cortafuegos (Palo Alto, Check Point y Cisco) y tres plataformas en la nube que compiten por el mismo presupuesto (CrowdStrike, Zscaler y Okta). Fuera Juniper (dentro de HPE) y los especialistas pequeños.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Palo Alto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Check Point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Cisco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CrowdStrike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Zscaler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Okta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24,9x / 65,3x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 / 48,5x / 80,1x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 / 10,6x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r>
    </w:tbl>
    <w:p>
      <w:pPr>
        <w:spacing w:after="160" w:before="0"/>
      </w:pPr>
    </w:p>
    <w:p>
      <w:pPr>
        <w:spacing w:after="100"/>
      </w:pPr>
      <w:r>
        <w:t xml:space="preserve">Fortinet es la más rentable de las grandes (margen EBITDA contable del 34,6 % frente al 2-14 % de Palo Alto, CrowdStrike y Zscaler) y cotiza en el medio: 17,6 veces ventas, entre Check Point (4,2) y Palo Alto (26,7). El PER adelantado no sirve: Stock Analysis mezcla bases (GAAP en Palo Alto y CrowdStrike, ajustado en Check Point y Zscaler), y su mediana de 48,5 veces aplicada a nuestro BPA daría 180 USD por acción, un precio de mercado y no un valor [13]. Por eso los comparables pesan 0. Lo que sí dice la tabla: todo el sector cotiza a múltiplos que solo se explican con crecimientos del 15-25 % durante muchos años.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Wiz</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Alphabet (Google)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Seguridad de la nube; sin beneficios y creciendo a más del 50 %: no comparable en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Darktrace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7,75 USD por acción; prima del 44 % sobre la media de tres meses [29].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SailPoint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veces las ventas LTM según 451 Research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Proofpoint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176 USD por acción en efectivo [31].</w:t>
            </w:r>
          </w:p>
        </w:tc>
      </w:tr>
    </w:tbl>
    <w:p>
      <w:pPr>
        <w:spacing w:after="160" w:before="0"/>
      </w:pPr>
    </w:p>
    <w:p>
      <w:pPr>
        <w:spacing w:after="160" w:before="0"/>
      </w:pPr>
    </w:p>
    <w:p>
      <w:pPr>
        <w:spacing w:after="100"/>
      </w:pPr>
      <w:r>
        <w:t xml:space="preserve">La ciberseguridad mediana es terreno del capital riesgo (Thoma Bravo compró Proofpoint, SailPoint y Darktrace, esta con una prima del 44 %) y de los grandes (Google pagó 32.000 M USD por Wiz) [29, 30, 31]. Con 136.000 M de capitalización y un 19 % en manos de los fundadores, Fortinet no es objetivo realista de compra: las transacciones pesan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la guía de 2026 (8.020-8.180 M USD; tomamos +19 %, el punto medio) [3]. Después, +10 % en 2027 (consenso +11 %) y +9 % en 2028, bajando hasta el 4 % en 2033 [24]. Es menos que el 20,9 % anual de 2018-2025 porque el salto de 2026 viene de la renovación de equipos y de subidas de precio por la memoria, y tras el ciclo de 2021-2022 el producto cayó dos años. Los servicios (67 % de las ventas) crecen al 12-14 % y sostienen el base; el mercado crece al ≈11 % [11].</w:t>
      </w:r>
    </w:p>
    <w:p>
      <w:pPr>
        <w:keepNext/>
        <w:spacing w:after="100"/>
      </w:pPr>
      <w:r>
        <w:rPr>
          <w:b/>
          <w:bCs/>
        </w:rPr>
        <w:t xml:space="preserve">Márgenes.</w:t>
      </w:r>
    </w:p>
    <w:p>
      <w:pPr>
        <w:spacing w:after="100"/>
      </w:pPr>
      <w:r>
        <w:t xml:space="preserve">Margen EBITDA contable (después de pagos en acciones) del 34,5 % en 2026-2027 (32,9 % en 2025 y 34,7 % en el 1S26) y del 35 % desde 2028, por debajo del margen operativo ajustado guiado del 35-37 % porque los pagos en acciones (≈4 % de las ventas) son coste [3]. No suponemos más: la mezcla con más producto y la memoria cara presionan el margen bruto [4].</w:t>
      </w:r>
    </w:p>
    <w:p>
      <w:pPr>
        <w:keepNext/>
        <w:spacing w:after="100"/>
      </w:pPr>
      <w:r>
        <w:rPr>
          <w:b/>
          <w:bCs/>
        </w:rPr>
        <w:t xml:space="preserve">Inversión y circulante.</w:t>
      </w:r>
    </w:p>
    <w:p>
      <w:pPr>
        <w:spacing w:after="100"/>
      </w:pPr>
      <w:r>
        <w:t xml:space="preserve">Capex del 5,0 % de las ventas en 2026-2027 bajando al 4,0 % (inmovilizado, incluidos edificios y centros de datos, más el aumento de comisiones activadas; 7,0 % en 2025 y 3,8 % en el 1S26) y amortización del 2,2-2,6 % [2, 3]. El circulante se queda en el −75 % de las ventas (−77 % en 2025): los ingresos diferidos crecen con las ventas y liberan caja. Impuesto del 19 % (19,2 % en 2025).</w:t>
      </w:r>
    </w:p>
    <w:p>
      <w:pPr>
        <w:keepNext/>
        <w:spacing w:after="100"/>
      </w:pPr>
      <w:r>
        <w:rPr>
          <w:b/>
          <w:bCs/>
        </w:rPr>
        <w:t xml:space="preserve">Coste del capital.</w:t>
      </w:r>
    </w:p>
    <w:p>
      <w:pPr>
        <w:spacing w:after="100"/>
      </w:pPr>
      <w:r>
        <w:t xml:space="preserve">Tasa libre del 5,21 % (bono de EE. UU. a 10 años del 13-oct-2026) [25], prima de mercado del 5,5 % y beta de 1,10: la mensual de cinco años es 1,00 y las semanales de dos y cinco años, 1,26 y 1,32 [23]. Deuda casi nula (0,4 %): WACC del 11,23 %. Con la prima implícita del mercado (4,20 %) el WACC sería del 9,81 % y el valor de 63,91 USD [26]. Ni con una beta de 0,8 el DCF pasaría de ≈80 USD.</w:t>
      </w:r>
    </w:p>
    <w:p>
      <w:pPr>
        <w:keepNext/>
        <w:spacing w:after="100"/>
      </w:pPr>
      <w:r>
        <w:rPr>
          <w:b/>
          <w:bCs/>
        </w:rPr>
        <w:t xml:space="preserve">Valor terminal.</w:t>
      </w:r>
    </w:p>
    <w:p>
      <w:pPr>
        <w:spacing w:after="100"/>
      </w:pPr>
      <w:r>
        <w:t xml:space="preserve">Gordon con un 3,0 % de crecimiento a perpetuidad, por debajo de la tasa libre menos medio punto. El valor terminal es el 57 % del total e implica 9,9 veces el EBITDA terminal; un múltiplo de salida de 20 veces daría el doble de valor terminal, pero suponerlo sería pagar hoy por un crecimiento que no proyectamos.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 frente al 8,5 %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 (hoy: 26,2 %)</w:t>
            </w:r>
          </w:p>
        </w:tc>
      </w:tr>
    </w:tbl>
    <w:p>
      <w:pPr>
        <w:spacing w:after="160" w:before="0"/>
      </w:pPr>
    </w:p>
    <w:p>
      <w:pPr>
        <w:spacing w:after="100"/>
      </w:pPr>
      <w:r>
        <w:t xml:space="preserve">La proyección apenas necesita inversión neta de la amortización (reinversión acumulada de -2.716 M, con un capex bruto medio del 4,6 % de las ventas). En un negocio de activos ligeros, el crecimiento medio del 8,5 % tiene que salir de subir precios y de ganar volumen sin capital nuevo, y la prueba es el poder de precios y la cuota (23,3 % del mercado en 2033e, frente al 26,2 %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8.020-8.180 M: volumen de la renovación y de los centros de datos de IA (≈12 puntos), subidas de precio por la memoria (≈4) y mezcla hacia equipos de gama alta (≈3)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al 12 % sobre la base instalada que crece; producto a un dígito tras la renovación; precio del 3 %.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con menos producto.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 al crecimiento del mercado (≈11 % en 2025-2026 según Dell'Oro) perdiendo algo de cuota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del mercado: la cuota baja del 26 % al 23 %.</w:t>
            </w:r>
          </w:p>
        </w:tc>
      </w:tr>
    </w:tbl>
    <w:p>
      <w:pPr>
        <w:spacing w:after="160" w:before="0"/>
      </w:pPr>
    </w:p>
    <w:p>
      <w:pPr>
        <w:spacing w:after="100"/>
      </w:pPr>
      <w:r>
        <w:t xml:space="preserve">Sí: el crecimiento proyectado (8,5 % de media en 2026-2033, 7,0 % en los años no fijos) está muy por debajo del histórico (20,9 % en 2018-2025) y del mercado (≈11 %), así que la cuota baja del 26,2 % al 23,3 % en 2033. El negocio no necesita capital: la reinversión acumulada es negativa (−2.716 M) porque los clientes pagan por adelantado, y la prueba es el poder de precios y la cuota: Fortinet subió precios en 2026 y la demanda de producto creció un 52 %, con el margen operativo GAAP más alto de las grandes [3, 13]. El motor llega al mismo veredicto. El riesgo para el crecimiento es de ciclo, no de financiación, y está en el escenario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 (base: 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(WACC: 11,2 %)</w:t>
            </w:r>
          </w:p>
        </w:tc>
      </w:tr>
    </w:tbl>
    <w:p>
      <w:pPr>
        <w:spacing w:after="160" w:before="0"/>
      </w:pPr>
    </w:p>
    <w:p>
      <w:pPr>
        <w:spacing w:after="100"/>
      </w:pPr>
      <w:r>
        <w:t xml:space="preserve">El DCF da 54,89 USD por acción, un 70,2 % por debajo del precio, con un 57 % del valor en el terminal. El DCF inverso es la clave: para justificar 184,05 USD, Fortinet tendría que crecer un 25,9 % anual en 2027-2033 con nuestros márgenes (frente al 7,0 % de nuestro base y al 20,9 % de su mejor época), y ningún margen hasta el 65 % lo justifica con nuestro crecimiento; la rentabilidad implícita en el precio es del 5,3 % anual, por debajo del WACC (11,23 %) y del 9,81 % que pide el mercado. Es muy exigente: el precio supone que 2026 no es un pico del ciclo sino el principio de siete años de crecimiento al 25 %. Con la prima del mercado el valor sube a 63,91 USD; con los pagos en acciones excluidos, a ≈60. Aquí falla el filtro de valor real con mucha holgura.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renovación se acaba en 2026 y el producto cae como en 2023-2024; los servicios crecen al 10 %: crecimiento medio del 3 % y margen del 32 %, con el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Fortinet digiere la renovación, los servicios crecen al 12-14 % y el total pasa del 19 % de 2026 al 10 % en 2027 y al 4 % en 2033, con un margen contable del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alarga el ciclo de equipos y acelera SASE y SecOps: crecimiento medio del 9 % y margen del 36,5 %.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84,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52,65 USD (-71,4 %).</w:t>
      </w:r>
    </w:p>
    <w:p>
      <w:pPr>
        <w:spacing w:after="100"/>
      </w:pPr>
      <w:r>
        <w:t xml:space="preserve">La asimetría a largo plazo es muy desfavorable: ni el escenario alcista (65,15 USD) se acerca al precio, y el bajista (35,65) pierde un 80,6 %. El valor ponderado de los escenarios es de 52,65 USD. A 12 meses la cuenta es menos mala (alcista +8,4 %, bajista −57,9 %) porque la regla parte del múltiplo de hoy: aun así, el bajista vuelve al mínimo de su historia (25,9 veces) y la ponderada es negativa.</w:t>
      </w:r>
    </w:p>
    <w:p>
      <w:pPr>
        <w:pStyle w:val="Heading1"/>
      </w:pPr>
      <w:r>
        <w:t xml:space="preserve">22. Suma de partes</w:t>
      </w:r>
    </w:p>
    <w:p>
      <w:pPr>
        <w:pStyle w:val="Confianza"/>
        <w:spacing w:after="100"/>
      </w:pPr>
      <w:r>
        <w:t xml:space="preserve">Confianza: Alta</w:t>
      </w:r>
    </w:p>
    <w:p>
      <w:pPr>
        <w:spacing w:after="100"/>
      </w:pPr>
      <w:r>
        <w:t xml:space="preserve">No aplica: un solo segmento (US GAAP, un único segmento operativo); producto y servicios se venden juntos sobre FortiOS y no hay resultados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84,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53,99 USD (-70,7 % sobre 184,05).</w:t>
      </w:r>
    </w:p>
    <w:p>
      <w:pPr>
        <w:spacing w:after="100"/>
      </w:pPr>
      <w:r>
        <w:t xml:space="preserve">El valor intrínseco (53,99 USD) sale del DCF (60 %) y de los escenarios (40 %). Los comparables pesan 0: su PER adelantado mezcla bases (GAAP y ajustado) y empresas sin beneficio, y aplicado a nuestro BPA daría 180 USD, que es solo el precio de mercado del sector. Las transacciones tampoco pesan (una sola con múltiplo y no suponemos una operación). La dispersión es enorme: el DCF da 50,60-60,34 USD según WACC y crecimiento terminal; con la prima del mercado, 63,91; la historia de PER, 77-200 a un año. Lo que dice el conjunto es que el precio solo se sostiene con un múltiplo alto, no con los flujos.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(55.4x) ÷ 1.1 (tope: la mediana de 5 años, 33.5x,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spacing w:after="100"/>
      </w:pPr>
      <w:r>
        <w:rPr>
          <w:b/>
          <w:bCs/>
        </w:rPr>
        <w:t xml:space="preserve">Objetivo a 12 meses (ponderado):</w:t>
      </w:r>
      <w:r>
        <w:t xml:space="preserve"> 161,49 USD · rentabilidad -12,3 % (base +0,2 %) · señal Vender.</w:t>
      </w:r>
    </w:p>
    <w:p>
      <w:pPr>
        <w:spacing w:after="100"/>
      </w:pPr>
      <w:r>
        <w:t xml:space="preserve">Para comparar, con la regla v2 (historia al cierre, mismo precio): 32,8x / 41,8x / 48,5x, -19,0 % Vender; con el tope anterior del base (×1,3, 14-oct mediodía): -20,5 %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(3,07 GAAP) equivale a ≈3,47 ajustado (sumando los pagos en acciones y la amortización de intangibles después de impuestos), en línea con la guía de 3,41-3,47 y el consenso de 3,45 [3, 24]. En 2027e (3,32 GAAP, ≈3,75 ajustado) estamos en línea con el consenso ajustado de 3,78: ni el mercado ni nosotros esperamos que el crecimiento del 2026 se repita (+11 % de ventas en el consenso, +10 % en el nuestro). Nuestro precio base (184,46) queda un 10,3 % sobre el objetivo medio de 44 analistas (167,23), que va por detrás de una acción que ha subido un 150 % desde enero [23, 24]. La diferencia es de múltiplo, no de beneficio.</w:t>
      </w:r>
    </w:p>
    <w:p>
      <w:pPr>
        <w:keepNext/>
        <w:spacing w:after="100"/>
      </w:pPr>
      <w:r>
        <w:rPr>
          <w:b/>
          <w:bCs/>
        </w:rPr>
        <w:t xml:space="preserve">Del valor intrínseco al objetivo a 12 meses.</w:t>
      </w:r>
    </w:p>
    <w:p>
      <w:pPr>
        <w:spacing w:after="100"/>
      </w:pPr>
      <w:r>
        <w:t xml:space="preserve">El valor intrínseco (53,99 USD) queda un 67 % por debajo del objetivo a 12 meses (161,49): el mercado paga 55 veces el beneficio contable del año que viene, un múltiplo que el DCF solo justifica con un crecimiento del 25,9 % anual durante siete años. Para cerrar la distancia haría falta que la renovación de 2026 se convirtiera en un crecimiento sostenido del 20 % o más, algo que Fortinet solo ha logrado en el ciclo de 2021-2023, o que la acción corrigiera. Además, la regla a 12 meses da −12,3 % ponderado porque el escenario bajista vuelve al mínimo de su historia (25,9 veces): la tesis de valor no existe a este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producto sigue por encima del 30 % y la guía de facturación sube otra vez, el mercado mantendrá el múltiplo; si el producto frena, la acción pierde parte de la prima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 (primera semana)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(consenso +11 % de ventas) dirá si la renovación se alarga o se acaba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la autorización de recompra (766 M disponibles a junio)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probable; a estos precios recompra poco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la moción de desestimación de la demanda colectiva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acuerdo económico pequeño frente a la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Nuevos modelos de IA de ciberseguridad (Anthropic, OpenAI) y vulnerabilidades de FortiOS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demanda o un incidente de marca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renovación de cortafuegos: el producto cae en 2027-2028 como en 2023-2024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de producto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(escenario bajista sobre el DCF; −58 % a 12 meses con el múltiplo mínimo)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del 67 % de las ventas que crecen un 12-14 %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producto por debajo del 10 %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(55 veces el beneficio de 2027e frente a 33,5 de mediana)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si vuelve a su mediana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a este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a la baja o subidas de tipos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Vulnerabilidad crítica de FortiOS explotada a gran escala (más probable con IA que encuentra fallos)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(IA) y reputación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 respuesta y socio de Glasswing para encontrar sus propios fallos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CISA sobre FortiOS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seguridad en la nube (SSE) que resta peso al cortafuegos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FortiSASE y el «cortafuegos SASE»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Fortinet en SASE (Dell'Oro) y crecimiento de la facturación de SASE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y memoria: compromisos de compra de 1.667 M con un ciclo que gira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4.000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de inventario o margen bruto de producto por debajo del 65 %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tres distribuidores (55 %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grandes y sustituibles a medio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los acuerdos de distribución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Persona clave: los fundadores (63 y 57 años) sin sucesión pública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técnico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la cúpula</w:t>
            </w:r>
          </w:p>
        </w:tc>
      </w:tr>
    </w:tbl>
    <w:p>
      <w:pPr>
        <w:spacing w:after="160" w:before="0"/>
      </w:pPr>
    </w:p>
    <w:p>
      <w:pPr>
        <w:pStyle w:val="Heading2"/>
      </w:pPr>
      <w:r>
        <w:t xml:space="preserve">Pre-mortem</w:t>
      </w:r>
    </w:p>
    <w:p>
      <w:pPr>
        <w:spacing w:after="100"/>
      </w:pPr>
      <w:r>
        <w:t xml:space="preserve">Es octubre de 2029 y la acción ha perdido un 40 %. La renovación de 2026 adelantó compras: en 2027 el producto cayó un 8 % y en 2028 otro 3 %, como en 2023-2024, y los distribuidores tenían inventario. Los servicios siguieron creciendo, pero al 10 %, y el crecimiento total bajó al 5-6 %. El margen bruto cayó dos puntos por la memoria y por las provisiones de los 1.667 M de compromisos de compra. El mercado, que pagaba 55 veces el beneficio, pasó a pagar 30, la mediana de su historia: con un BPA de 3,0 la acción vale 90 USD. Además, en 2027 una vulnerabilidad de FortiOS descubierta con IA se explotó en miles de empresas y varias migraron a Palo Alto y Zscaler. Las señales estaban: el crecimiento del producto bajando trimestre a trimestre en 2026 y las ventas de los fundadores en máximos.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 −10 %</w:t>
      </w:r>
    </w:p>
    <w:p>
      <w:pPr>
        <w:spacing w:after="100"/>
      </w:pPr>
      <w:r>
        <w:t xml:space="preserve">La IA es hoy más oportunidad que amenaza para Fortinet: los ataques con IA aumentan la demanda de inspección de tráfico y automatización, y los centros de datos de IA necesitan cortafuegos de alta capacidad (producto +52 % en el 2T26) [3]. Fortinet es socio de Anthropic y OpenAI en sus proyectos de ciberseguridad y tiene más de 500 patentes de IA [3]. La amenaza tiene dos caras: los modelos que encuentran fallos también encontrarán los de FortiOS (historial de vulnerabilidades explotadas), y los agentes de IA y la seguridad en la nube pueden quitar valor al equipo en la sede. No sustituye su producto, que es físico y de red. Riesgo de IA: medio. Señal: crecimiento de la facturación de SASE y SecOps y avisos de la CISA sobre FortiOS.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seguridad del propio producto: una vulnerabilidad explotada daña a miles de clientes y la marca (FortiOS ha tenido varias críticas explotadas por grupos estatales) [4]. Segundo: el consumo energético de los equipos, donde los procesadores propios dan ventaja (la empresa habla de hasta un 69 % menos de consumo en su solución para centros de datos de IA) [7]. Tercero: el gobierno, con fundadores que presiden y venden acciones de forma regular.</w:t>
      </w:r>
    </w:p>
    <w:p>
      <w:pPr>
        <w:pStyle w:val="Heading2"/>
      </w:pPr>
      <w:r>
        <w:t xml:space="preserve">Controversias</w:t>
      </w:r>
    </w:p>
    <w:p>
      <w:pPr>
        <w:spacing w:after="100"/>
      </w:pPr>
      <w:r>
        <w:t xml:space="preserve">Demanda colectiva de accionistas de 2025 por las declaraciones sobre la renovación de cortafuegos (consolidada; moción de desestimación de junio de 2026) [4]. Vulnerabilidades de FortiOS explotadas en 2024-2026 con avisos de la CISA. Sin sanciones de reguladores encontradas.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base instalada de 2020-2022 se ha renovado ya y cuánto crecerá el producto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es +10 % o +4 % (base frente a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memoria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del producto de 2026 es precio por la memoria y cuánto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por coste no se repite y puede invertirse si baja la memoria.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los 1.667 M de compromisos de compra si la demanda cae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provisiones y de margen bruto.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servicios crecen solo un 14 % con la facturación al 33 %? ¿Cuál es la retención de las suscripciones?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servicios son el 67 % de las ventas y el valor terminal.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SASE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factura FortiSASE y con qué margen frente a Zscaler y Palo Alto?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la migración a la nube.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del producto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ha encontrado Glasswing en FortiOS y cuánto tarda la base instalada en parchear?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marca con la IA ofensiva.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Ken Xie?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persona clave en una empresa de fundador.</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«la historia de crecimiento es real, pero también el precio» (junio) y «rebajo a Mantener» (agosto) al «gano más del 100 % y no vendo» (30-sep); el debate es si el crecimiento de producto se sostiene tras la renovación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Oppenheimer destaca el «fuerte trimestre» y el viento de cola de los precios; sube la recomendación en julio otro banco; Citi ve el sentimiento «mixto» antes de resultados; Wedbush rebaja a Neutral por valoración el 10-sep [18,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de momento (nuevos máximos, «240 allá vamos») frente a un grupo creciente que compra opciones de venta y habla de agotamiento y de valoración «muy por encima de los fundamentales»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inversión (TIKR, 24/7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Reconocen el negocio y la caja, pero sus modelos dan un 3-4 % anual desde estos precios; la pregunta repetida es si recoger beneficios [18,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 tarde para comprar tras subir un 130 %?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prudentes: 55 veces el beneficio de 2027e y un DCF de 54,89 USD; el negocio es mejor que hace un año, pero el precio ha subido mucho más que el beneficio [36,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viento de cola para la ciberseguridad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las cifras: producto +52 % y facturación +33 % en el 2T26; lo dudoso es cuánto dura [18,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Señales técnicas de agotamiento (volumen bajo, huecos)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cifra del informe; coincide con los avisos P1-P2 de movimiento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Sostenibilidad del crecimiento de producto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propia dirección dice que se normalizará; nuestro base supone +10 % en 2027 [35].</w:t>
            </w:r>
          </w:p>
        </w:tc>
      </w:tr>
    </w:tbl>
    <w:p>
      <w:pPr>
        <w:spacing w:after="160" w:before="0"/>
      </w:pPr>
    </w:p>
    <w:p>
      <w:pPr>
        <w:spacing w:after="100"/>
      </w:pPr>
      <w:r>
        <w:t xml:space="preserve">El sentimiento es de euforia con dudas: los particulares hablan de nuevos máximos y objetivos de 240 USD, mientras crecen los que compran opciones de venta y los artículos que preguntan si recoger beneficios [36, 37]. Los analistas van por detrás: solo 9 de 44 recomiendan comprar y el objetivo medio (167,23) está por debajo del precio. Ninguna cifra sale de los foros. Lo que aporta: confirma que el precio descuenta la historia de la IA y que la acción es sensible a cualquier decepción en el 3T26.</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37 (15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11,1 %: explica la causa (créditos fiscales, regularizaciones, mezcla de países) y no lo proyectes en el DCF. Explicación: El tipo de 2018-2023 (−32 % a 14 %) está deprimido por la liberación de provisiones de activos fiscales diferidos y por créditos de I+D y deducciones por pagos en acciones; desde 2024 se normaliza (14 % y 19,2 % en 2025). El DCF usa el 19 %, cerca del 18 % que la empresa usa en sus cifras ajustadas [1,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23,3 % en 2033e frente al 26,2 %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-75,0 % frente a -77,3 % real: genera una variación de circulante de -813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-70,7 % (-65,3 % con la prima del mercado) y el precio pide 18,9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crecimiento del 3T24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3T25 (solo da el 3T24 de ingresos, resultado operativo y BPA); 2) XBRL trimestral 2023-2024 no descargado; 3) 10-Q del 3T24 no descargado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(informe de Deloitte sin año de inicio); 2) proxy 2026 (ratificación sin año); 3) búsqueda en el informe del auditor (no aparece)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cuotas por fabricante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Dell'Oro (nota pública sin cuotas); 2) IDC Security Appliance Tracker (de pago); 3) Gartner (de pago) y prensa (solo la afirmación de Fortinet de ser el cortafuegos más instalado)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EBITDA); 2) informes anuales de los competidores no descargados; 3) informe de Qualys del repositorio (otros márgenes)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Corporate Search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de 2024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2026 (solo 2026); 2) 8-K de la junta de 2025 (no descargado por tiempo); 3) proxy 2026 (no resume los votos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voto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entrada de cinco consejeros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(biografías leídas solo para Sim y los fundadores); 2) 10-K; 3) sin búsqueda adicional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Darktrace, Proofpoint y Wiz y operaciones de cortafuegos (HPE-Juniper, Cisco-Splunk, Palo Alto-CyberArk)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las operaciones (solo valor y precio por acción); 2) S&amp;P Global/451 Research (solo SailPoint); 3) bases de operaciones (CapIQ, PitchBook: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consenso y estimaciones de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(la página no muestra la tabla sin sesión); 2) Stock Analysis (solo ingresos y BPA de 2026-2027); 3) Seeking Alpha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y crecimiento esperado de Cisco y Okta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y PER adelantado; el crecimiento de Cisco del 15,6 % mezcla una compra); 2) MarketScreener (sin sesión); 3) informe de Qualys del repositorio (sin estos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sobre todo el PER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del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Motor: capital invertido negativo (−1.633 M en 2025) por los ingresos diferidos y la caja; 2) Stock Analysis da un ROIC del 57,9 % [27] con otra definición; 3) cálculo propio sin ingresos diferidos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auditadas; notas de ingresos por geografía, distribuidores, deuda, recompras, Linksys, plantilla)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https://www.sec.gov/Archives/edgar/data/1262039/000126203926000007/ftnt-20251231.htm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2016-2025, inversiones financieras, ingresos diferidos, comisiones activadas, retenciones fiscales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https://data.sec.gov/api/xbrl/companyfacts/CIK0001262039.json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Strong Second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https://www.sec.gov/Archives/edgar/data/1262039/000126203926000018/ftntq2-2026ex991.htm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obligaciones de desempeño 7.730 M, compromisos de compra 1.667 M, recompras, demandas)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https://www.sec.gov/Archives/edgar/data/1262039/000126203926000021/ftnt-20260630.htm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Strong First Quarter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https://www.sec.gov/Archives/edgar/data/1262039/000126203926000010/ftntq1-2026ex991.htm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Strong Fourth Quarter and Full Year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https://www.sec.gov/Archives/edgar/data/1262039/000126203926000003/ftntq4-2025ex991.htm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Third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https://www.sec.gov/Archives/edgar/data/1262039/000126203925000036/ftntq3-2025ex991.htm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Second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https://www.sec.gov/Archives/edgar/data/1262039/000126203925000025/ftntq2-2025ex991.htm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First Quarter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https://www.sec.gov/Archives/edgar/data/1262039/000126203925000014/ftntq1-2025ex991.htm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Reports Fourth Quarter and Full Year 2024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https://www.sec.gov/Archives/edgar/data/1262039/000126203925000007/ftntq4-2024ex991.htm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Network Security Market to Exceed $26 B in 2025 as SSE and WAF Lead Cloud-Delivered Expansion (≈29.000 M USD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https://www.delloro.com/news/network-security-market-to-exceed-26-b-in-2025-as-sse-and-waf-lead-cloud-delivered-expansion/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Network Security Market: 28.400 M USD en 2024, 32.910 M en 2025 y 117.720 M en 2035 (+13,59 %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Roots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https://www.rootsanalysis.com/network-security-market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Palo Alto Networks: estadísticas (ingresos LTM 11.480 M USD, margen EBITDA 13,6 %)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https://stockanalysis.com/stocks/panw/statistics/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Cisco Systems: estadísticas (ingresos LTM 63.330 M USD, EBITDA 18.640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https://stockanalysis.com/stocks/csco/statistics/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 Point Software: estadísticas (ingresos LTM 2.760 M USD, EBITDA 846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https://stockanalysis.com/stocks/chkp/statistics/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Zscaler: estadísticas (ingresos LTM 3.350 M USD, EBITDA 43,9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CrowdStrike: estadísticas (ingresos LTM 5.400 M USD, EBITDA 106,9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https://stockanalysis.com/stocks/crwd/statistics/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Stock Jumped 9% on a Cybersecurity Rally (Gartner Magic Quadrant de Hybrid Mesh Firewall 2026; Goldman Sachs Communacopia)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https://www.tikr.com/blog/fortinet-stock-jumped-9-on-a-cybersecurity-rally-heres-where-the-stock-could-go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noticias (compra de Virtue AI, 17-ago-2026; TD Synnex como socio global, 15-jul-2026; Intel SP6, 21-jul-2026)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https://seekingalpha.com/symbol/FTNT/news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de 2025, ratio salarial 75:1,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https://www.sec.gov/Archives/edgar/data/1262039/000207709626000106/ea0287420-01.htm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12-jun-2026 (votos de consejeros y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https://www.sec.gov/Archives/edgar/data/1262039/000126203926000015/ftnt-20260612.htm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https://www.sec.gov/cgi-bin/browse-edgar?action=getcompany&amp;CIK=0001262039&amp;type=4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FTNT, SPY y CIBR (herramientas/bolsa.mjs y movimiento.mjs),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https://finance.yahoo.com/quote/FTNT/history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(FTNT) Stock Forecast: 44 analistas, Mantener, objetivo medio 167,23 USD (104-225); BPA ajustado 2026e 3,45 y 2027e 3,78; cambios de objetivo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https://stockanalysis.com/stocks/ftnt/forecast/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estadísticas (733,71 M de acciones, posición corta 2,02 % del flotante, caja neta 3.510 M, PER adelantado 52,4)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https://stockanalysis.com/stocks/ftnt/statistics/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to Announce Third Quarter 2026 Financial Results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https://finviz.com/news/398289/fortinet-to-announce-third-quarter-2026-financial-results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to buy cybersecurity firm Darktrace for $5.3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Security Boulevard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https://securityboulevard.com/2024/04/thoma-bravo-to-buy-cybersecurity-firm-darktrace-for-5-3-billion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SailPoint, Tufin go private in run of cybersecurity acquisitions by PE firms (SailPoint a 16,0 veces ventas LTM)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 (451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https://www.spglobal.com/market-intelligence/en/news-insights/articles/2022/4/sailpoint-tufin-go-private-in-run-of-cybersecurity-acquisitions-by-pe-firms-69703930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 Bravo acquires Proofpoint for approximately $12.3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https://www.privsource.com/acquisitions/deal/thoma-bravo-acquires-proofpoint-for-approximately-12-3-billion-D8SWX5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stock jumped 10% yesterday: here is what actually moved it (CrowdStrike, 27-ago-2026; objetivo medio 87 USD a fin de 2025 y 114 en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https://www.tikr.com/blog/fortinet-stock-jumped-10-yesterday-heres-what-actually-moved-it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Fortinet's stock just saw one of its worst drops on record (7-ago-2025, renovación de cortafuegos)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MarketWatch (vía 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https://www.morningstar.com/news/marketwatch/20250807215/why-fortinets-stock-just-saw-one-of-its-worst-drops-on-record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Fortinet Q1 non-GAAP net income, sales surge; raises 2026 outlook; shares soar premarket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(vía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https://www.placera.se/telegram/fortinet-update-fortinet-q1-non-gaap-net-income-sales-surge-raises-2026-outlook-shares-soar-premarket-20260507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Fortinet, Inc.: titulares de noticias y análisis (abril-octubre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https://seekingalpha.com/api/sa/combined/FTNT.xml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$FTNT (30 mensajes, 6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https://api.stocktwits.com/api/2/streams/symbol/FTNT.json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CrowdStrike is up 124% in 2026, Fortinet is up 142%: take profits, or hold on for the ride?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87,7 %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acciones ordinarias en el Nasdaq (FTNT), única clase. Precio: cierre del 14-oct-2026 (184,05 USD), porque la sesión del 15-oct no había cerrado a la hora del análisis (a media sesión, 181,84) [23]. Cuentas 2018-2025 del XBRL de la SEC, comprobadas con el 10-K 2025 [1, 2]; BPA y acciones de 2018-2019 reexpresados por el desdoblamiento de 5 por 1 de junio de 2022. La «caja» incluye las inversiones financieras a corto y largo plazo (4.468,7 M USD a 30-jun-2026) [3]; los ingresos diferidos (corrientes y no corrientes, 7.675,7 M) van como pasivos de contrato en el circulante. US GAAP: los arrendamientos operativos (65,5 M) quedan dentro del EBITDA y fuera de la deuda. El capex suma el aumento neto de comisiones activadas, las recompras suman las retenciones fiscales pagadas al liquidar acciones de empleados y el resultado de participadas (Linksys) se pasa al resultado financiero para que cuadre el beneficio neto. Usamos el BPA GAAP (después de pagos en acciones, ≈4 % de las ventas); el consenso y la guía de la empresa son ajustados (≈11-12 % más altos). Comparables: PER adelantado de Stock Analysis en bases mezcladas; pesan 0 en el valor.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Fortinet, Inc. (FTNT)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184,05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(73,55 – 197,13)</c:v>
                </c:pt>
                <c:pt idx="1">
                  <c:v>Precio objetivo de los analistas (104,00 – 225,00)</c:v>
                </c:pt>
                <c:pt idx="2">
                  <c:v>Comparables: PER NTM (103,24 – 297,30)</c:v>
                </c:pt>
                <c:pt idx="3">
                  <c:v>DCF (WACC y g ± 0,5) (50,60 – 60,34)</c:v>
                </c:pt>
                <c:pt idx="4">
                  <c:v>Escenarios (bajista – alcista) (35,65 – 65,15)</c:v>
                </c:pt>
                <c:pt idx="5">
                  <c:v>DCF con la prima implícita del mercado (4,2 %)</c:v>
                </c:pt>
                <c:pt idx="6">
                  <c:v>Precio actual (184,05)</c:v>
                </c:pt>
              </c:strCache>
            </c:strRef>
          </c:cat>
          <c:val>
            <c:numRef>
              <c:f>Hoja1!$B$2:$B$8</c:f>
              <c:numCache>
                <c:formatCode>#,##0</c:formatCode>
                <c:ptCount val="7"/>
                <c:pt idx="0">
                  <c:v>73.55</c:v>
                </c:pt>
                <c:pt idx="1">
                  <c:v>104</c:v>
                </c:pt>
                <c:pt idx="2">
                  <c:v>103.24</c:v>
                </c:pt>
                <c:pt idx="3">
                  <c:v>50.6</c:v>
                </c:pt>
                <c:pt idx="4">
                  <c:v>35.65</c:v>
                </c:pt>
                <c:pt idx="5">
                  <c:v>61.04</c:v>
                </c:pt>
                <c:pt idx="6">
                  <c:v>183.13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(73,55 – 197,13)</c:v>
                </c:pt>
                <c:pt idx="1">
                  <c:v>Precio objetivo de los analistas (104,00 – 225,00)</c:v>
                </c:pt>
                <c:pt idx="2">
                  <c:v>Comparables: PER NTM (103,24 – 297,30)</c:v>
                </c:pt>
                <c:pt idx="3">
                  <c:v>DCF (WACC y g ± 0,5) (50,60 – 60,34)</c:v>
                </c:pt>
                <c:pt idx="4">
                  <c:v>Escenarios (bajista – alcista) (35,65 – 65,15)</c:v>
                </c:pt>
                <c:pt idx="5">
                  <c:v>DCF con la prima implícita del mercado (4,2 %)</c:v>
                </c:pt>
                <c:pt idx="6">
                  <c:v>Precio actual (184,05)</c:v>
                </c:pt>
              </c:strCache>
            </c:strRef>
          </c:cat>
          <c:val>
            <c:numRef>
              <c:f>Hoja1!$C$2:$C$8</c:f>
              <c:numCache>
                <c:formatCode>#,##0</c:formatCode>
                <c:ptCount val="7"/>
                <c:pt idx="0">
                  <c:v>123.58</c:v>
                </c:pt>
                <c:pt idx="1">
                  <c:v>121</c:v>
                </c:pt>
                <c:pt idx="2">
                  <c:v>194.06</c:v>
                </c:pt>
                <c:pt idx="3">
                  <c:v>9.740000000000002</c:v>
                </c:pt>
                <c:pt idx="4">
                  <c:v>29.500000000000007</c:v>
                </c:pt>
                <c:pt idx="5">
                  <c:v>8.699999999999996</c:v>
                </c:pt>
                <c:pt idx="6">
                  <c:v>1.8400000000000034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Producto (equipos FortiGate y otros)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1927.3</c:v>
                </c:pt>
                <c:pt idx="1">
                  <c:v>1908.7</c:v>
                </c:pt>
                <c:pt idx="2">
                  <c:v>2218.4</c:v>
                </c:pt>
              </c:numCache>
            </c:numRef>
          </c:val>
        </c:ser>
        <c:ser>
          <c:idx val="1"/>
          <c:order val="1"/>
          <c:tx>
            <c:strRef>
              <c:f>Hoja1!$C$1</c:f>
              <c:strCache>
                <c:ptCount val="1"/>
                <c:pt idx="0">
                  <c:v>Servicios (suscripciones de seguridad y soporte)</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3377.5</c:v>
                </c:pt>
                <c:pt idx="1">
                  <c:v>4047.1</c:v>
                </c:pt>
                <c:pt idx="2">
                  <c:v>4581.2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Producto (equipos FortiGate y otros)</c:v>
                </c:pt>
                <c:pt idx="1">
                  <c:v>Servicios (suscripciones de seguridad y soporte)</c:v>
                </c:pt>
              </c:strCache>
            </c:strRef>
          </c:cat>
          <c:val>
            <c:numRef>
              <c:f>Hoja1!$B$2:$B$3</c:f>
              <c:numCache>
                <c:formatCode>General</c:formatCode>
                <c:ptCount val="2"/>
                <c:pt idx="0">
                  <c:v>32.6</c:v>
                </c:pt>
                <c:pt idx="1">
                  <c:v>67.4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Europa, Oriente Medio y África</c:v>
                </c:pt>
                <c:pt idx="3">
                  <c:v>Asia-Pacífico</c:v>
                </c:pt>
              </c:strCache>
            </c:strRef>
          </c:cat>
          <c:val>
            <c:numRef>
              <c:f>Hoja1!$B$2:$B$5</c:f>
              <c:numCache>
                <c:formatCode>0"%"</c:formatCode>
                <c:ptCount val="4"/>
                <c:pt idx="0">
                  <c:v>28.4</c:v>
                </c:pt>
                <c:pt idx="1">
                  <c:v>11.3</c:v>
                </c:pt>
                <c:pt idx="2">
                  <c:v>41.7</c:v>
                </c:pt>
                <c:pt idx="3">
                  <c:v>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2026e</c:v>
                </c:pt>
              </c:strCache>
            </c:strRef>
          </c:cat>
          <c:val>
            <c:numRef>
              <c:f>Hoja1!$B$2:$B$4</c:f>
              <c:numCache>
                <c:formatCode>#,##0</c:formatCode>
                <c:ptCount val="3"/>
                <c:pt idx="0">
                  <c:v>23900</c:v>
                </c:pt>
                <c:pt idx="1">
                  <c:v>26000</c:v>
                </c:pt>
                <c:pt idx="2">
                  <c:v>29000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Fortinet</c:v>
                </c:pt>
                <c:pt idx="1">
                  <c:v>Palo Alto Networks</c:v>
                </c:pt>
                <c:pt idx="2">
                  <c:v>Cisco (Secure Firewall, Meraki)</c:v>
                </c:pt>
                <c:pt idx="3">
                  <c:v>Check Point Software</c:v>
                </c:pt>
                <c:pt idx="4">
                  <c:v>Zscaler</c:v>
                </c:pt>
                <c:pt idx="5">
                  <c:v>CrowdStrike</c:v>
                </c:pt>
                <c:pt idx="6">
                  <c:v>Juniper (HPE)</c:v>
                </c:pt>
              </c:strCache>
            </c:strRef>
          </c:cat>
          <c:val>
            <c:numRef>
              <c:f>Hoja1!$B$2:$B$8</c:f>
              <c:numCache>
                <c:formatCode>0.0"%"</c:formatCode>
                <c:ptCount val="7"/>
                <c:pt idx="0">
                  <c:v>30.7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5</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1804.6</c:v>
                </c:pt>
                <c:pt idx="1">
                  <c:v>2163</c:v>
                </c:pt>
                <c:pt idx="2">
                  <c:v>2594.4</c:v>
                </c:pt>
                <c:pt idx="3">
                  <c:v>3342.2</c:v>
                </c:pt>
                <c:pt idx="4">
                  <c:v>4417.4</c:v>
                </c:pt>
                <c:pt idx="5">
                  <c:v>5304.8</c:v>
                </c:pt>
                <c:pt idx="6">
                  <c:v>5955.8</c:v>
                </c:pt>
                <c:pt idx="7">
                  <c:v>6799.6</c:v>
                </c:pt>
                <c:pt idx="8">
                  <c:v>8092</c:v>
                </c:pt>
                <c:pt idx="9">
                  <c:v>8901</c:v>
                </c:pt>
                <c:pt idx="10">
                  <c:v>9702</c:v>
                </c:pt>
                <c:pt idx="11">
                  <c:v>10478</c:v>
                </c:pt>
                <c:pt idx="12">
                  <c:v>11211</c:v>
                </c:pt>
                <c:pt idx="13">
                  <c:v>11884</c:v>
                </c:pt>
                <c:pt idx="14">
                  <c:v>12478</c:v>
                </c:pt>
                <c:pt idx="15">
                  <c:v>12977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290.1</c:v>
                </c:pt>
                <c:pt idx="1">
                  <c:v>412.6</c:v>
                </c:pt>
                <c:pt idx="2">
                  <c:v>600.6</c:v>
                </c:pt>
                <c:pt idx="3">
                  <c:v>734.8</c:v>
                </c:pt>
                <c:pt idx="4">
                  <c:v>1073.9</c:v>
                </c:pt>
                <c:pt idx="5">
                  <c:v>1354.5</c:v>
                </c:pt>
                <c:pt idx="6">
                  <c:v>1926.2</c:v>
                </c:pt>
                <c:pt idx="7">
                  <c:v>2236.7</c:v>
                </c:pt>
                <c:pt idx="8">
                  <c:v>2792</c:v>
                </c:pt>
                <c:pt idx="9">
                  <c:v>3071</c:v>
                </c:pt>
                <c:pt idx="10">
                  <c:v>3396</c:v>
                </c:pt>
                <c:pt idx="11">
                  <c:v>3667</c:v>
                </c:pt>
                <c:pt idx="12">
                  <c:v>3924</c:v>
                </c:pt>
                <c:pt idx="13">
                  <c:v>4159</c:v>
                </c:pt>
                <c:pt idx="14">
                  <c:v>4367</c:v>
                </c:pt>
                <c:pt idx="15">
                  <c:v>4542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75</c:v>
                </c:pt>
                <c:pt idx="1">
                  <c:v>76.6</c:v>
                </c:pt>
                <c:pt idx="2">
                  <c:v>78</c:v>
                </c:pt>
                <c:pt idx="3">
                  <c:v>76.6</c:v>
                </c:pt>
                <c:pt idx="4">
                  <c:v>75.4</c:v>
                </c:pt>
                <c:pt idx="5">
                  <c:v>76.7</c:v>
                </c:pt>
                <c:pt idx="6">
                  <c:v>80.6</c:v>
                </c:pt>
                <c:pt idx="7">
                  <c:v>80.5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16.1</c:v>
                </c:pt>
                <c:pt idx="1">
                  <c:v>19.1</c:v>
                </c:pt>
                <c:pt idx="2">
                  <c:v>23.1</c:v>
                </c:pt>
                <c:pt idx="3">
                  <c:v>22</c:v>
                </c:pt>
                <c:pt idx="4">
                  <c:v>24.3</c:v>
                </c:pt>
                <c:pt idx="5">
                  <c:v>25.5</c:v>
                </c:pt>
                <c:pt idx="6">
                  <c:v>32.3</c:v>
                </c:pt>
                <c:pt idx="7">
                  <c:v>32.9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13</c:v>
                </c:pt>
                <c:pt idx="1">
                  <c:v>16.2</c:v>
                </c:pt>
                <c:pt idx="2">
                  <c:v>20.5</c:v>
                </c:pt>
                <c:pt idx="3">
                  <c:v>19.5</c:v>
                </c:pt>
                <c:pt idx="4">
                  <c:v>21.9</c:v>
                </c:pt>
                <c:pt idx="5">
                  <c:v>23.4</c:v>
                </c:pt>
                <c:pt idx="6">
                  <c:v>30.3</c:v>
                </c:pt>
                <c:pt idx="7">
                  <c:v>30.7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18.6</c:v>
                </c:pt>
                <c:pt idx="1">
                  <c:v>15.3</c:v>
                </c:pt>
                <c:pt idx="2">
                  <c:v>18.8</c:v>
                </c:pt>
                <c:pt idx="3">
                  <c:v>18.2</c:v>
                </c:pt>
                <c:pt idx="4">
                  <c:v>19.4</c:v>
                </c:pt>
                <c:pt idx="5">
                  <c:v>21.6</c:v>
                </c:pt>
                <c:pt idx="6">
                  <c:v>29.3</c:v>
                </c:pt>
                <c:pt idx="7">
                  <c:v>27.3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17.3</c:v>
                </c:pt>
                <c:pt idx="2">
                  <c:v>13.8</c:v>
                </c:pt>
                <c:pt idx="3">
                  <c:v>13.6</c:v>
                </c:pt>
                <c:pt idx="4">
                  <c:v>14.4</c:v>
                </c:pt>
                <c:pt idx="5">
                  <c:v>14.8</c:v>
                </c:pt>
                <c:pt idx="6">
                  <c:v>20.1</c:v>
                </c:pt>
                <c:pt idx="7">
                  <c:v>25.6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90</c:v>
                </c:pt>
                <c:pt idx="1">
                  <c:v>92</c:v>
                </c:pt>
                <c:pt idx="2">
                  <c:v>101</c:v>
                </c:pt>
                <c:pt idx="3">
                  <c:v>88</c:v>
                </c:pt>
                <c:pt idx="4">
                  <c:v>104</c:v>
                </c:pt>
                <c:pt idx="5">
                  <c:v>96</c:v>
                </c:pt>
                <c:pt idx="6">
                  <c:v>90</c:v>
                </c:pt>
                <c:pt idx="7">
                  <c:v>91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73</c:v>
                </c:pt>
                <c:pt idx="1">
                  <c:v>85</c:v>
                </c:pt>
                <c:pt idx="2">
                  <c:v>90</c:v>
                </c:pt>
                <c:pt idx="3">
                  <c:v>82</c:v>
                </c:pt>
                <c:pt idx="4">
                  <c:v>89</c:v>
                </c:pt>
                <c:pt idx="5">
                  <c:v>143</c:v>
                </c:pt>
                <c:pt idx="6">
                  <c:v>99</c:v>
                </c:pt>
                <c:pt idx="7">
                  <c:v>110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70</c:v>
                </c:pt>
                <c:pt idx="1">
                  <c:v>70</c:v>
                </c:pt>
                <c:pt idx="2">
                  <c:v>91</c:v>
                </c:pt>
                <c:pt idx="3">
                  <c:v>69</c:v>
                </c:pt>
                <c:pt idx="4">
                  <c:v>82</c:v>
                </c:pt>
                <c:pt idx="5">
                  <c:v>60</c:v>
                </c:pt>
                <c:pt idx="6">
                  <c:v>60</c:v>
                </c:pt>
                <c:pt idx="7">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540.4</c:v>
                </c:pt>
                <c:pt idx="1">
                  <c:v>661.4</c:v>
                </c:pt>
                <c:pt idx="2">
                  <c:v>890.1</c:v>
                </c:pt>
                <c:pt idx="3">
                  <c:v>1085.2</c:v>
                </c:pt>
                <c:pt idx="4">
                  <c:v>1354.5</c:v>
                </c:pt>
                <c:pt idx="5">
                  <c:v>1644.2</c:v>
                </c:pt>
                <c:pt idx="6">
                  <c:v>1861.8</c:v>
                </c:pt>
                <c:pt idx="7">
                  <c:v>2113.1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334.9</c:v>
                </c:pt>
                <c:pt idx="1">
                  <c:v>331.7</c:v>
                </c:pt>
                <c:pt idx="2">
                  <c:v>488.5</c:v>
                </c:pt>
                <c:pt idx="3">
                  <c:v>606.8</c:v>
                </c:pt>
                <c:pt idx="4">
                  <c:v>857.3</c:v>
                </c:pt>
                <c:pt idx="5">
                  <c:v>1147.8</c:v>
                </c:pt>
                <c:pt idx="6">
                  <c:v>1745.2</c:v>
                </c:pt>
                <c:pt idx="7">
                  <c:v>1853.4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WACC actual</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11.2</c:v>
                </c:pt>
                <c:pt idx="1">
                  <c:v>11.2</c:v>
                </c:pt>
                <c:pt idx="2">
                  <c:v>11.2</c:v>
                </c:pt>
                <c:pt idx="3">
                  <c:v>11.2</c:v>
                </c:pt>
                <c:pt idx="4">
                  <c:v>11.2</c:v>
                </c:pt>
                <c:pt idx="5">
                  <c:v>11.2</c:v>
                </c:pt>
                <c:pt idx="6">
                  <c:v>11.2</c:v>
                </c:pt>
                <c:pt idx="7">
                  <c:v>11.2</c:v>
                </c:pt>
              </c:numCache>
            </c:numRef>
          </c:val>
          <c:smooth val="0"/>
        </c:ser>
        <c:ser>
          <c:idx val="1"/>
          <c:order val="1"/>
          <c:tx>
            <c:strRef>
              <c:f>Hoja1!$C$1</c:f>
              <c:strCache>
                <c:ptCount val="1"/>
                <c:pt idx="0">
                  <c:v>ROE</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32.7</c:v>
                </c:pt>
                <c:pt idx="1">
                  <c:v>28</c:v>
                </c:pt>
                <c:pt idx="2">
                  <c:v>44.4</c:v>
                </c:pt>
                <c:pt idx="3">
                  <c:v>74.1</c:v>
                </c:pt>
                <c:pt idx="4">
                  <c:v>342.9</c:v>
                </c:pt>
                <c:pt idx="5">
                  <c:v>-308.1</c:v>
                </c:pt>
                <c:pt idx="6">
                  <c:v>338.7</c:v>
                </c:pt>
                <c:pt idx="7">
                  <c:v>135.7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-5.92</c:v>
                </c:pt>
                <c:pt idx="1">
                  <c:v>-5.36</c:v>
                </c:pt>
                <c:pt idx="2">
                  <c:v>-3.26</c:v>
                </c:pt>
                <c:pt idx="3">
                  <c:v>-2.67</c:v>
                </c:pt>
                <c:pt idx="4">
                  <c:v>-1.16</c:v>
                </c:pt>
                <c:pt idx="5">
                  <c:v>-1.05</c:v>
                </c:pt>
                <c:pt idx="6">
                  <c:v>-1.59</c:v>
                </c:pt>
                <c:pt idx="7">
                  <c:v>-1.31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2031</c:v>
                </c:pt>
              </c:strCache>
            </c:strRef>
          </c:cat>
          <c:val>
            <c:numRef>
              <c:f>Hoja1!$B$2</c:f>
              <c:numCache>
                <c:formatCode>#,##0</c:formatCode>
                <c:ptCount val="1"/>
                <c:pt idx="0">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21.7</c:v>
                </c:pt>
                <c:pt idx="1">
                  <c:v>34.6</c:v>
                </c:pt>
                <c:pt idx="2">
                  <c:v>40.2</c:v>
                </c:pt>
                <c:pt idx="3">
                  <c:v>74.9</c:v>
                </c:pt>
                <c:pt idx="4">
                  <c:v>30.8</c:v>
                </c:pt>
                <c:pt idx="5">
                  <c:v>0</c:v>
                </c:pt>
                <c:pt idx="6">
                  <c:v>275.5</c:v>
                </c:pt>
                <c:pt idx="7">
                  <c:v>41.6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279</c:v>
                </c:pt>
                <c:pt idx="1">
                  <c:v>241.1</c:v>
                </c:pt>
                <c:pt idx="2">
                  <c:v>1188.3</c:v>
                </c:pt>
                <c:pt idx="3">
                  <c:v>909.7</c:v>
                </c:pt>
                <c:pt idx="4">
                  <c:v>2151.6</c:v>
                </c:pt>
                <c:pt idx="5">
                  <c:v>1613</c:v>
                </c:pt>
                <c:pt idx="6">
                  <c:v>101.5</c:v>
                </c:pt>
                <c:pt idx="7">
                  <c:v>2416.1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Ken Xie (con familia y fideicomisos)</c:v>
                </c:pt>
                <c:pt idx="1">
                  <c:v>Michael Xie (con familia y fideicomisos)</c:v>
                </c:pt>
                <c:pt idx="2">
                  <c:v>BlackRock, Inc.</c:v>
                </c:pt>
                <c:pt idx="3">
                  <c:v>Consejeros y directivos (10 personas)</c:v>
                </c:pt>
              </c:strCache>
            </c:strRef>
          </c:cat>
          <c:val>
            <c:numRef>
              <c:f>Hoja1!$B$2:$B$5</c:f>
              <c:numCache>
                <c:formatCode>0.0"%"</c:formatCode>
                <c:ptCount val="4"/>
                <c:pt idx="0">
                  <c:v>9.8</c:v>
                </c:pt>
                <c:pt idx="1">
                  <c:v>9.3</c:v>
                </c:pt>
                <c:pt idx="2">
                  <c:v>7.4</c:v>
                </c:pt>
                <c:pt idx="3">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c:v>
                </c:pt>
                <c:pt idx="1">
                  <c:v>45.1</c:v>
                </c:pt>
                <c:pt idx="2">
                  <c:v>61.2</c:v>
                </c:pt>
                <c:pt idx="3">
                  <c:v>51.6</c:v>
                </c:pt>
                <c:pt idx="4">
                  <c:v>39.1</c:v>
                </c:pt>
                <c:pt idx="5">
                  <c:v>142</c:v>
                </c:pt>
                <c:pt idx="6">
                  <c:v>-32</c:v>
                </c:pt>
                <c:pt idx="7">
                  <c:v>19.7</c:v>
                </c:pt>
                <c:pt idx="8">
                  <c:v>61.4</c:v>
                </c:pt>
                <c:pt idx="9">
                  <c:v>-16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36.4</c:v>
                </c:pt>
                <c:pt idx="1">
                  <c:v>39.9</c:v>
                </c:pt>
                <c:pt idx="2">
                  <c:v>38.2</c:v>
                </c:pt>
                <c:pt idx="3">
                  <c:v>79</c:v>
                </c:pt>
                <c:pt idx="4">
                  <c:v>35.5</c:v>
                </c:pt>
                <c:pt idx="5">
                  <c:v>33</c:v>
                </c:pt>
                <c:pt idx="6">
                  <c:v>36.3</c:v>
                </c:pt>
                <c:pt idx="7">
                  <c:v>25.8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36.3</c:v>
                </c:pt>
                <c:pt idx="1">
                  <c:v>36.3</c:v>
                </c:pt>
                <c:pt idx="2">
                  <c:v>36.3</c:v>
                </c:pt>
                <c:pt idx="3">
                  <c:v>36.3</c:v>
                </c:pt>
                <c:pt idx="4">
                  <c:v>36.3</c:v>
                </c:pt>
                <c:pt idx="5">
                  <c:v>36.3</c:v>
                </c:pt>
                <c:pt idx="6">
                  <c:v>36.3</c:v>
                </c:pt>
                <c:pt idx="7">
                  <c:v>36.3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2703</c:v>
                </c:pt>
                <c:pt idx="1">
                  <c:v>2688</c:v>
                </c:pt>
                <c:pt idx="2">
                  <c:v>2928</c:v>
                </c:pt>
                <c:pt idx="3">
                  <c:v>3118</c:v>
                </c:pt>
                <c:pt idx="4">
                  <c:v>3277</c:v>
                </c:pt>
                <c:pt idx="5">
                  <c:v>3419</c:v>
                </c:pt>
                <c:pt idx="6">
                  <c:v>3521</c:v>
                </c:pt>
                <c:pt idx="7">
                  <c:v>3598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15781</c:v>
                </c:pt>
                <c:pt idx="1">
                  <c:v>20893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184,05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35.65</c:v>
                </c:pt>
                <c:pt idx="1">
                  <c:v>54.89</c:v>
                </c:pt>
                <c:pt idx="2">
                  <c:v>65.15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184,05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(73,55 – 197,13)</c:v>
                </c:pt>
                <c:pt idx="1">
                  <c:v>Precio objetivo de los analistas (104,00 – 225,00)</c:v>
                </c:pt>
                <c:pt idx="2">
                  <c:v>Comparables: PER NTM (103,24 – 297,30)</c:v>
                </c:pt>
                <c:pt idx="3">
                  <c:v>DCF (WACC y g ± 0,5) (50,60 – 60,34)</c:v>
                </c:pt>
                <c:pt idx="4">
                  <c:v>Escenarios (bajista – alcista) (35,65 – 65,15)</c:v>
                </c:pt>
                <c:pt idx="5">
                  <c:v>DCF con la prima implícita del mercado (4,2 %)</c:v>
                </c:pt>
                <c:pt idx="6">
                  <c:v>Precio actual (184,05)</c:v>
                </c:pt>
              </c:strCache>
            </c:strRef>
          </c:cat>
          <c:val>
            <c:numRef>
              <c:f>Hoja1!$B$2:$B$8</c:f>
              <c:numCache>
                <c:formatCode>#,##0</c:formatCode>
                <c:ptCount val="7"/>
                <c:pt idx="0">
                  <c:v>73.55</c:v>
                </c:pt>
                <c:pt idx="1">
                  <c:v>104</c:v>
                </c:pt>
                <c:pt idx="2">
                  <c:v>103.24</c:v>
                </c:pt>
                <c:pt idx="3">
                  <c:v>50.6</c:v>
                </c:pt>
                <c:pt idx="4">
                  <c:v>35.65</c:v>
                </c:pt>
                <c:pt idx="5">
                  <c:v>61.04</c:v>
                </c:pt>
                <c:pt idx="6">
                  <c:v>183.13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(73,55 – 197,13)</c:v>
                </c:pt>
                <c:pt idx="1">
                  <c:v>Precio objetivo de los analistas (104,00 – 225,00)</c:v>
                </c:pt>
                <c:pt idx="2">
                  <c:v>Comparables: PER NTM (103,24 – 297,30)</c:v>
                </c:pt>
                <c:pt idx="3">
                  <c:v>DCF (WACC y g ± 0,5) (50,60 – 60,34)</c:v>
                </c:pt>
                <c:pt idx="4">
                  <c:v>Escenarios (bajista – alcista) (35,65 – 65,15)</c:v>
                </c:pt>
                <c:pt idx="5">
                  <c:v>DCF con la prima implícita del mercado (4,2 %)</c:v>
                </c:pt>
                <c:pt idx="6">
                  <c:v>Precio actual (184,05)</c:v>
                </c:pt>
              </c:strCache>
            </c:strRef>
          </c:cat>
          <c:val>
            <c:numRef>
              <c:f>Hoja1!$C$2:$C$8</c:f>
              <c:numCache>
                <c:formatCode>#,##0</c:formatCode>
                <c:ptCount val="7"/>
                <c:pt idx="0">
                  <c:v>123.58</c:v>
                </c:pt>
                <c:pt idx="1">
                  <c:v>121</c:v>
                </c:pt>
                <c:pt idx="2">
                  <c:v>194.06</c:v>
                </c:pt>
                <c:pt idx="3">
                  <c:v>9.740000000000002</c:v>
                </c:pt>
                <c:pt idx="4">
                  <c:v>29.500000000000007</c:v>
                </c:pt>
                <c:pt idx="5">
                  <c:v>8.699999999999996</c:v>
                </c:pt>
                <c:pt idx="6">
                  <c:v>1.8400000000000034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