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Galp Energia, SGPS, S.A.</w:t>
      </w:r>
    </w:p>
    <w:p>
      <w:pPr>
        <w:spacing w:after="60"/>
        <w:rPr>
          <w:color w:val="52514E"/>
          <w:sz w:val="22"/>
          <w:szCs w:val="22"/>
        </w:rPr>
      </w:pPr>
      <w:r>
        <w:rPr>
          <w:color w:val="52514E"/>
          <w:sz w:val="22"/>
          <w:szCs w:val="22"/>
        </w:rPr>
        <w:t xml:space="preserve">GALP · Euronext Lisboa · ISIN PTGAL0AM0009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22,65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19,76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-10,0 % (base -12,3 %)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18,65 EUR · mercado 21,56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16.353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Galp Energia, SGPS,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GALP / PTGAL0AM0009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Lisboa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PSI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gas y combustibles (integradas)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Lisboa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www.galp.com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22,65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13,96 – 23,18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16.353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21.082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31,5 M EUR/día (3 meses, Euronext Lisboa)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19,76 EUR</w:t>
      </w:r>
      <w:r>
        <w:t xml:space="preserve"> frente a 22,65 · Rentabilidad a 12 meses </w:t>
      </w:r>
      <w:r>
        <w:rPr>
          <w:b/>
          <w:bCs/>
        </w:rPr>
        <w:t xml:space="preserve">-10,0 % (base -12,3 %)</w:t>
      </w:r>
      <w:r>
        <w:t xml:space="preserve"> · Valor intrínseco 18,65 EUR · con la prima implícita del mercado: 21,56 (-4,8 %) · Alcista / bajista +28,7 % / -50,4 %</w:t>
      </w:r>
    </w:p>
    <w:p>
      <w:pPr>
        <w:spacing w:after="100"/>
      </w:pPr>
      <w:r>
        <w:rPr>
          <w:b/>
        </w:rPr>
        <w:t xml:space="preserve">La recomendación y por qué.</w:t>
      </w:r>
      <w:r>
        <w:t xml:space="preserve"> Mantener con convicción baja: para quien no la tiene, no comprar. El objetivo a 12 meses es de 19,76 EUR (ponderado) y el valor intrínseco de 18,65 EUR, frente a un precio de 22,65 EUR; la rentabilidad a 12 meses con dividendo es del −10,0 % ponderada y del −12,3 % en el caso base, justo en el umbral de Vender (por encima de 22,66 EUR). El objetivo medio de los analistas, 23,83 EUR [20], queda por encima de nuestro rango. La asimetría es de 0,57: el bajista pierde el 50,4 % y el alcista gana el 28,7 %. La razón principal: el precio descuenta que el Brent y los márgenes de refino de la guerra de Irán duren más de lo que marca la curva de futuros. La convicción es baja porque las reglas discrepan (Vender con nuestro WACC, Mantener con la prima del mercado) y el precio está en el umbral; subiría a Vender si el 3T del 26-oct confirma que el margen de refino ya cae por los fletes y el Brent baja de 90 USD.</w:t>
      </w:r>
    </w:p>
    <w:p>
      <w:pPr>
        <w:spacing w:after="100"/>
      </w:pPr>
      <w:r>
        <w:rPr>
          <w:b/>
        </w:rPr>
        <w:t xml:space="preserve">El negocio.</w:t>
      </w:r>
      <w:r>
        <w:t xml:space="preserve"> Galp es una productora del presal de Brasil (131 kboepd en el 3T26, coste de 3,2 USD/bep) con la única refinería de Portugal y un negocio de trading de gas [3, 7]. Crea valor: ROIC del 18,6 % en 2025 frente a un WACC del 8,81 %. La prueba de sostenibilidad da «Sí» porque la proyección no pide crecer: las ventas bajan un 10 % en 2027 y 2028 con la normalización y la reinversión financia un 4,1 % anual.</w:t>
      </w:r>
    </w:p>
    <w:p>
      <w:pPr>
        <w:spacing w:after="100"/>
      </w:pPr>
      <w:r>
        <w:rPr>
          <w:b/>
        </w:rPr>
        <w:t xml:space="preserve">Sector y ciclo.</w:t>
      </w:r>
      <w:r>
        <w:t xml:space="preserve"> Estamos en un pico inducido por un choque de oferta: margen de refino de 33,8 USD/bep en el 3T26 frente a 9,5 un año antes y Brent de 97 USD [7]. La curva de futuros cae de 106 USD al contado a 77,6 USD en dic-28 [14]. Galp ya tiene cubierta parte del margen de refino (−89 M en el semestre) [3].</w:t>
      </w:r>
    </w:p>
    <w:p>
      <w:pPr>
        <w:spacing w:after="100"/>
      </w:pPr>
      <w:r>
        <w:rPr>
          <w:b/>
        </w:rPr>
        <w:t xml:space="preserve">Finanzas.</w:t>
      </w:r>
      <w:r>
        <w:t xml:space="preserve"> Balance sólido: deuda neta de 1.379 M (0,40 veces el EBITDA) más 1.232 M de arrendamientos [3]. Reparte un tercio del flujo de gestión: dividendo de 0,70 EUR por 2026 y recompra de 250 M.</w:t>
      </w:r>
    </w:p>
    <w:p>
      <w:pPr>
        <w:spacing w:after="100"/>
      </w:pPr>
      <w:r>
        <w:rPr>
          <w:b/>
        </w:rPr>
        <w:t xml:space="preserve">Equipo y gobierno.</w:t>
      </w:r>
      <w:r>
        <w:t xml:space="preserve"> Dos consejeros delegados desde enero de 2025, que han cumplido la guía; Amorim Energia controla la junta y preside el consejo [2, 17].</w:t>
      </w:r>
    </w:p>
    <w:p>
      <w:pPr>
        <w:spacing w:after="100"/>
      </w:pPr>
      <w:r>
        <w:rPr>
          <w:b/>
        </w:rPr>
        <w:t xml:space="preserve">Valoración.</w:t>
      </w:r>
      <w:r>
        <w:t xml:space="preserve"> Nuestro BPA RCA de 2028 (1,83 EUR) coincide con el consenso (1,79 EUR) [15]; la diferencia está en el múltiplo. La regla aplica 10,5 veces, su mediana histórica adelantada, y da 19,22 EUR en el caso base. El DCF (19,90 EUR) dice lo mismo: el precio pide un crecimiento del 0,3 % anual frente al −1,9 % de nuestro base, o un margen del 17,7 % frente al 16,5 %. Comparables (17,81 EUR) y suma de partes (13,48 EUR) quedan aún más abajo.</w:t>
      </w:r>
    </w:p>
    <w:p>
      <w:pPr>
        <w:spacing w:after="100"/>
      </w:pPr>
      <w:r>
        <w:rPr>
          <w:b/>
        </w:rPr>
        <w:t xml:space="preserve">Riesgos y catalizadores.</w:t>
      </w:r>
      <w:r>
        <w:t xml:space="preserve"> El mayor riesgo para el accionista es el fin del conflicto: con Brent de 65 USD el valor cae a 11,23 EUR. A favor: la campaña de evaluación de Mopane con TotalEnergies desde el 4T26 y la firma con Moeve en el segundo semestre, que pueden cristalizar valor que no está en nuestro caso base [3]. Los resultados del 3T se publican el 26-oct.</w:t>
      </w:r>
    </w:p>
    <w:p>
      <w:pPr>
        <w:spacing w:after="100"/>
      </w:pPr>
      <w:r>
        <w:rPr>
          <w:b/>
        </w:rPr>
        <w:t xml:space="preserve">Qué cambiaría la decisión.</w:t>
      </w:r>
      <w:r>
        <w:t xml:space="preserve"> Comprar por debajo de 17,73 EUR; Vender por encima de 22,66 EUR. Revisaríamos al alza con recursos comerciales probados en Mopane o con una curva de futuros del Brent para 2028 por encima de 90 USD; a la baja, con un acuerdo de paz que abra Ormuz.</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19,76 EUR</w:t>
      </w:r>
      <w:r>
        <w:t xml:space="preserve"> (rentabilidad -10,0 % (base -12,3 %)) · Valor intrínseco: 18,65 EUR (-17,7 % sobre 22,65) · con la prima implícita del mercado: 21,56 (-4,8 %)</w:t>
      </w:r>
    </w:p>
    <w:p>
      <w:pPr>
        <w:spacing w:after="100"/>
      </w:pPr>
      <w:r>
        <w:t xml:space="preserve">Galp es una petrolera integrada mediana con el mejor activo de su tamaño en Europa: participaciones en los campos del presal de Brasil, que producen 131 kboepd con un coste de 3,2 USD/bep [3, 7], más la refinería de Sines y un negocio de trading de gas. Genera un ROIC del 18,6 % y reparte un tercio del flujo de gestión, con deuda neta de solo 0,40 veces el EBITDA [3].</w:t>
      </w:r>
    </w:p>
    <w:p>
      <w:pPr>
        <w:spacing w:after="100"/>
      </w:pPr>
      <w:r>
        <w:t xml:space="preserve">El precio, 22,65 EUR, está en máximos de cinco años tras subir un 60 % en 2026. A 10,7 veces nuestro BPA RCA de 2027 parece barato, pero ese beneficio todavía lleva la prima de la guerra: el DCF inverso pide un crecimiento del 0,3 % anual hasta 2033 frente al −1,9 % que sale de la curva de futuros, y la regla común de múltiplos sobre el BPA de 2028 da 19,76 EUR.</w:t>
      </w:r>
    </w:p>
    <w:p>
      <w:pPr>
        <w:spacing w:after="100"/>
      </w:pPr>
      <w:r>
        <w:t xml:space="preserve">El mercado acierta en la calidad del activo y en la opción de Namibia, pero paga hoy un beneficio que la curva de futuros no sostiene. Para invertir hay que creer que el Brent se queda por encima de 90 USD hasta 2028 o que Mopane se convierte en un desarrollo comercial con TotalEnergies en los próximos 12-18 meses.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1,47 = 11,91 · 10,5x × 1,83 = 19,22 · 12,8x × 2,24 = 28,67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 -12,3 %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23,83 (nuestro base -19,3 %)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 / -50,4 %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8,8 %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(2,2 % anual proyectado; financiable al ROIC actual: 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17,73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17,73 y 22,66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22,66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17,73 EUR: pasaría a Comprar (ponderada ≥ 15 %, base ≥ 12 % y valor intrínseco por encima del precio).</w:t>
      </w:r>
    </w:p>
    <w:p>
      <w:pPr>
        <w:pStyle w:val="ListParagraph"/>
        <w:numPr>
          <w:ilvl w:val="0"/>
          <w:numId w:val="2"/>
        </w:numPr>
        <w:spacing w:after="60"/>
      </w:pPr>
      <w:r>
        <w:t xml:space="preserve">Precio por encima de 22,66 EUR (el 15-oct cerró en 22,65): pasaría a Vender.</w:t>
      </w:r>
    </w:p>
    <w:p>
      <w:pPr>
        <w:pStyle w:val="ListParagraph"/>
        <w:numPr>
          <w:ilvl w:val="0"/>
          <w:numId w:val="2"/>
        </w:numPr>
        <w:spacing w:after="60"/>
      </w:pPr>
      <w:r>
        <w:t xml:space="preserve">Futuros del Brent para dic-28 por encima de 90 USD durante un trimestre: revisaríamos al alza el BPA de 2028.</w:t>
      </w:r>
    </w:p>
    <w:p>
      <w:pPr>
        <w:pStyle w:val="ListParagraph"/>
        <w:numPr>
          <w:ilvl w:val="0"/>
          <w:numId w:val="2"/>
        </w:numPr>
        <w:spacing w:after="60"/>
      </w:pPr>
      <w:r>
        <w:t xml:space="preserve">Resultado comercial del primer pozo de evaluación de Mopane con estimación de recursos: subiríamos el valor de Namibia en la suma de partes.</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alto prolongado (el DCF inverso pide un 0,3 % de crecimiento anual de las ventas y un margen del 17,7 %) y varios euros por acción por Namibia. Los analistas suben objetivos (de 20,2 a 23,83 EUR en 2026) [2, 20].</w:t>
      </w:r>
    </w:p>
    <w:p>
      <w:pPr>
        <w:keepNext/>
        <w:spacing w:after="100"/>
      </w:pPr>
      <w:r>
        <w:rPr>
          <w:b/>
          <w:bCs/>
        </w:rPr>
        <w:t xml:space="preserve">Lo que creemos nosotros.</w:t>
      </w:r>
    </w:p>
    <w:p>
      <w:pPr>
        <w:spacing w:after="100"/>
      </w:pPr>
      <w:r>
        <w:t xml:space="preserve">Coincidimos en el beneficio (BPA RCA de 2028 de 1,83 EUR frente a 1,79 EUR del consenso), pero no en pagar por él 12,4 veces, por encima de su historia de 8-11 veces. A 12 meses esperamos 19,76 EUR más 0,70 EUR de dividendo.</w:t>
      </w:r>
    </w:p>
    <w:p>
      <w:pPr>
        <w:keepNext/>
        <w:spacing w:after="100"/>
      </w:pPr>
      <w:r>
        <w:rPr>
          <w:b/>
          <w:bCs/>
        </w:rPr>
        <w:t xml:space="preserve">Por qué podemos tener razón.</w:t>
      </w:r>
    </w:p>
    <w:p>
      <w:pPr>
        <w:spacing w:after="100"/>
      </w:pPr>
      <w:r>
        <w:t xml:space="preserve">Los futuros del Brent ya marcan la normalización (77,6 USD en dic-28) y el propio Galp supone un margen de refino de 10 USD/bep en su guía del segundo semestre [3, 14]. La historia de 2022-2024 (margen de 15 a 7 USD/bep en dos años) dice que estos picos no duran.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2,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Producción al alza</w:t>
      </w:r>
      <w:r>
        <w:t xml:space="preserve">: 131 kboepd en el 3T26, un 14 % más que hace un año, con Bacalhau [7].</w:t>
      </w:r>
    </w:p>
    <w:p>
      <w:pPr>
        <w:pStyle w:val="ListParagraph"/>
        <w:numPr>
          <w:ilvl w:val="0"/>
          <w:numId w:val="2"/>
        </w:numPr>
        <w:spacing w:after="60"/>
      </w:pPr>
      <w:r>
        <w:rPr>
          <w:b/>
        </w:rPr>
        <w:t xml:space="preserve">Balance sin presión</w:t>
      </w:r>
      <w:r>
        <w:t xml:space="preserve">: deuda neta de 1.379 M, 0,40 veces el EBITDA [3].</w:t>
      </w:r>
    </w:p>
    <w:p>
      <w:pPr>
        <w:pStyle w:val="ListParagraph"/>
        <w:numPr>
          <w:ilvl w:val="0"/>
          <w:numId w:val="2"/>
        </w:numPr>
        <w:spacing w:after="60"/>
      </w:pPr>
      <w:r>
        <w:rPr>
          <w:b/>
        </w:rPr>
        <w:t xml:space="preserve">Retorno al accionista</w:t>
      </w:r>
      <w:r>
        <w:t xml:space="preserve">: dividendo de 0,70 EUR (+10 %) y recompra de 250 M en 2026 [3].</w:t>
      </w:r>
    </w:p>
    <w:p>
      <w:pPr>
        <w:pStyle w:val="ListParagraph"/>
        <w:numPr>
          <w:ilvl w:val="0"/>
          <w:numId w:val="2"/>
        </w:numPr>
        <w:spacing w:after="60"/>
      </w:pPr>
      <w:r>
        <w:rPr>
          <w:b/>
        </w:rPr>
        <w:t xml:space="preserve">ROIC del 18,6 %</w:t>
      </w:r>
      <w:r>
        <w:t xml:space="preserve"> en 2025 frente a un WACC del 8,81 %.</w:t>
      </w:r>
    </w:p>
    <w:p>
      <w:pPr>
        <w:pStyle w:val="ListParagraph"/>
        <w:numPr>
          <w:ilvl w:val="0"/>
          <w:numId w:val="2"/>
        </w:numPr>
        <w:spacing w:after="60"/>
      </w:pPr>
      <w:r>
        <w:rPr>
          <w:b/>
        </w:rPr>
        <w:t xml:space="preserve">Opción en Namibia</w:t>
      </w:r>
      <w:r>
        <w:t xml:space="preserve">: TotalEnergies opera Mopane y paga el 50 % de la inversión de Galp [11].</w:t>
      </w:r>
    </w:p>
    <w:p>
      <w:pPr>
        <w:pStyle w:val="Heading2"/>
      </w:pPr>
      <w:r>
        <w:t xml:space="preserve">En contra</w:t>
      </w:r>
    </w:p>
    <w:p>
      <w:pPr>
        <w:pStyle w:val="ListParagraph"/>
        <w:numPr>
          <w:ilvl w:val="0"/>
          <w:numId w:val="2"/>
        </w:numPr>
        <w:spacing w:after="60"/>
      </w:pPr>
      <w:r>
        <w:rPr>
          <w:b/>
        </w:rPr>
        <w:t xml:space="preserve">Beneficio de pico</w:t>
      </w:r>
      <w:r>
        <w:t xml:space="preserve">: margen de refino de 33,8 USD/bep en el 3T26 frente a 7,1 USD en 2025 [2, 7].</w:t>
      </w:r>
    </w:p>
    <w:p>
      <w:pPr>
        <w:pStyle w:val="ListParagraph"/>
        <w:numPr>
          <w:ilvl w:val="0"/>
          <w:numId w:val="2"/>
        </w:numPr>
        <w:spacing w:after="60"/>
      </w:pPr>
      <w:r>
        <w:rPr>
          <w:b/>
        </w:rPr>
        <w:t xml:space="preserve">Curva en descenso</w:t>
      </w:r>
      <w:r>
        <w:t xml:space="preserve">: Brent de 106 USD al contado y 77,6 USD para dic-28 [14].</w:t>
      </w:r>
    </w:p>
    <w:p>
      <w:pPr>
        <w:pStyle w:val="ListParagraph"/>
        <w:numPr>
          <w:ilvl w:val="0"/>
          <w:numId w:val="2"/>
        </w:numPr>
        <w:spacing w:after="60"/>
      </w:pPr>
      <w:r>
        <w:rPr>
          <w:b/>
        </w:rPr>
        <w:t xml:space="preserve">Asimetría de 0,57</w:t>
      </w:r>
      <w:r>
        <w:t xml:space="preserve">: el bajista pierde el 50,4 % y el alcista gana el 28,7 %.</w:t>
      </w:r>
    </w:p>
    <w:p>
      <w:pPr>
        <w:pStyle w:val="ListParagraph"/>
        <w:numPr>
          <w:ilvl w:val="0"/>
          <w:numId w:val="2"/>
        </w:numPr>
        <w:spacing w:after="60"/>
      </w:pPr>
      <w:r>
        <w:rPr>
          <w:b/>
        </w:rPr>
        <w:t xml:space="preserve">Fiscalidad alta y cambiante</w:t>
      </w:r>
      <w:r>
        <w:t xml:space="preserve">: tipo RCA del 44-45 % y un impuesto provisional a la exportación de crudo en Brasil [3].</w:t>
      </w:r>
    </w:p>
    <w:p>
      <w:pPr>
        <w:pStyle w:val="ListParagraph"/>
        <w:numPr>
          <w:ilvl w:val="0"/>
          <w:numId w:val="2"/>
        </w:numPr>
        <w:spacing w:after="60"/>
      </w:pPr>
      <w:r>
        <w:rPr>
          <w:b/>
        </w:rPr>
        <w:t xml:space="preserve">Incertidumbre de estructura</w:t>
      </w:r>
      <w:r>
        <w:t xml:space="preserve">: la operación con Moeve dejaría Sines en una sociedad con algo más del 20 % para Galp [13].</w:t>
      </w:r>
    </w:p>
    <w:p>
      <w:pPr>
        <w:pStyle w:val="Heading2"/>
      </w:pPr>
      <w:r>
        <w:t xml:space="preserve">Qué tiene que pasar para que la tesis funcione</w:t>
      </w:r>
    </w:p>
    <w:p>
      <w:pPr>
        <w:spacing w:after="100"/>
      </w:pPr>
      <w:r>
        <w:t xml:space="preserve">La tesis depende de la velocidad de la normalización. La señal de que nos equivocamos sería una curva de futuros del Brent para 2028 por encima de 90 USD o un margen de refino de Galp por encima de 15 USD/bep en el 1T27. Para Namibia, el resultado del primer pozo de evaluación de Mopane con TotalEnergies.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de Galp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USD/bep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USD/bep o &gt; 15 USD/bep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unos 240 M de EBITDA por cada 5 USD al año [3,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(futuro dic-28)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90 USD o &lt; 65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BPA de 2028 del objetivo [14].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kboepd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125 kboepd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upstream con Bacalhau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Sostén del reparto [3].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5,6x / 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 / 10,7x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Galp nace en 1999 de la integración de Petrogal, la petrolera estatal portuguesa, con el gas natural del país. Sale a bolsa en 2006. Su giro lo marca el presal de Brasil: socia de Petrobras en el bloque BM-S-11 (Tupi), descubierto en 2006, que la convirtió en productora. En 2012 Sinopec compró el 30 % de Petrogal Brasil. Amorim Energia es el accionista de referencia desde 2006. Entre 2023 y 2025 vendió Angola y Mozambique, y en 2024 anunció el descubrimiento de Mopane en Namibia. En 2025 el consejero delegado Filipe Silva dimitió y la empresa pasó a dos consejeros delegados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Galp Energia (Petrogal y gas natural).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Lisboa; descubrimiento de Tupi en el presal.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Sinopec entra con el 30 % de Petrogal Brasil.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Descubrimiento de Mopane (Namibia); venta de Angola.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Bacalhau; venta de Mozambique a ADNOC; permuta de Mopane con TotalEnergies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con Moeve para unir refino y comercial; guía subida por la guerra de Irán [12].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Galp es la petrolera integrada portuguesa. Produce crudo en el presal de Brasil (131 kboepd en el 3T26, un 90 % petróleo), donde es socia de Petrobras y opera con Sinopec como minoritario del 30 % en Petrogal Brasil [2, 7]. Refina en Sines (unos 226.000 barriles al día, el 85-90 % del combustible de Portugal) y comercia crudo, productos, gas natural y GNL desde contratos en Nigeria, Argelia y Estados Unidos [2, 10]. Vende a clientes finales en Portugal, España y África (combustibles en estaciones de servicio, gas, electricidad y puntos de recarga) y tiene 2,7 GW de solar, eólica y baterías en la Península [7]. En Namibia descubrió Mopane (PEL 83), donde desde 2026 TotalEnergies es operador con el 40 % [11].</w:t>
      </w:r>
    </w:p>
    <w:p>
      <w:pPr>
        <w:pStyle w:val="Heading2"/>
      </w:pPr>
      <w:r>
        <w:t xml:space="preserve">Cómo gana dinero</w:t>
      </w:r>
    </w:p>
    <w:p>
      <w:pPr>
        <w:spacing w:after="100"/>
      </w:pPr>
      <w:r>
        <w:t xml:space="preserve">El beneficio sale en un 55 % del upstream (1.682 M de 3.039 M de EBITDA RCA en 2025), que vende el barril a precio del Brent con un coste de producción de 3,2 USD/bep y una amortización de unos 10 USD/bep: cada 5 USD/bbl de Brent son unos 90 M de EBITDA por semestre [2, 3]. El refino gana el diferencial entre productos y crudo (margen de refino de Galp: 7,1 USD/bep en 2025, 33,8 en el 3T26), con costes fijos de unos 300 M al año: cada 5 USD/bep son unos 120 M por semestre después de coberturas [2, 3, 7]. El trading de gas y GNL aporta unos 500 M de EBITDA estables; el comercial, 384 M con un tercio de tiendas y servicios [2]. No hay ingresos recurrentes por contrato: casi todo el resultado depende de precios internacionales.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Upstream (Brasil, Namibia)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y midstream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Upstream (Brasil, Namibia)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y midstream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r>
    </w:tbl>
    <w:p>
      <w:pPr>
        <w:spacing w:after="160" w:before="0"/>
      </w:pPr>
    </w:p>
    <w:p>
      <w:pPr>
        <w:pStyle w:val="Heading2"/>
      </w:pPr>
      <w:r>
        <w:t xml:space="preserve">Clientes, recurrencia y poder de precios</w:t>
      </w:r>
    </w:p>
    <w:p>
      <w:pPr>
        <w:spacing w:after="100"/>
      </w:pPr>
      <w:r>
        <w:t xml:space="preserve">Sin concentración relevante: el crudo se vende en cargamentos a refinerías internacionales, el refino abastece al mercado ibérico (32 Mt de productos al semestre) y el comercial atiende a miles de empresas y hogares [3]. El poder de precios es nulo en upstream y refino (precio internacional) y limitado en el comercial, que compite con Repsol, Moeve y BP en la Península.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(kboepd)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(2025); 131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+14 % interanual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Bacalhau en subida desde finales de 2025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de Galp (USD/bep)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(2025); 33,8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Destilados medios tras el cierre de Ormuz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Materias primas procesadas (Mbep)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Temporal en enero-febrero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y GNL vendidos y negociados (TWh)</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con Venture Global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renovable (GW)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351 MW eólicos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Petroleras integradas europeas de tamaño medio: producción de crudo, refino y venta de combustibles. El valor de Galp depende de dos precios internacionales, el Brent y el margen de refino del Atlántico, más que del tamaño de un mercado. Como referencia de volumen se usa el mercado ibérico de productos petrolíferos (unos 64 Mt al año según APETRO y CORES, recogidos por Galp), donde vende Sines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64 Mt de productos petrolíferos al año en la Península (32,0 Mt en el 1S26)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Brent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de 69 USD en el 3T25, 97 USD en el 3T26 y 106 USD el 15-oct; los futuros de dic-27 cotizan a 85,6 USD y los de dic-28 a 77,6 USD [7,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(destilados medios)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del gasóleo en el noroeste de Europa de 373,5 USD/t en el 2T26 frente a 137,5 USD/t un año antes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del presal (Bacalhau)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109 kboepd en 2024 a 131 kboepd en el 3T26 [2,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Galp invierte en HVO/SAF y 100 MW de electrolizador en Sines para sustituir parte del refino fósil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Fletes y logística (Ormuz)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Fletes récord de petroleros en las últimas semanas, que restan margen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Commodities a precio internacional; en el comercial ibérico compiten Repsol, Moeve y BP.</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fijado por el mercado; sin poder individual de los clientes.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OPEP+ y la geopolítica fijan el coste del crudo para el refino.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Refinerías y presal exigen miles de millones y permisos.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Coche eléctrico y biocombustibles en la Península a largo plazo.</w:t>
            </w:r>
          </w:p>
        </w:tc>
      </w:tr>
    </w:tbl>
    <w:p>
      <w:pPr>
        <w:spacing w:after="160" w:before="0"/>
      </w:pPr>
    </w:p>
    <w:p>
      <w:pPr>
        <w:pStyle w:val="Heading2"/>
      </w:pPr>
      <w:r>
        <w:t xml:space="preserve">Ciclo</w:t>
      </w:r>
    </w:p>
    <w:p>
      <w:pPr>
        <w:spacing w:after="100"/>
      </w:pPr>
      <w:r>
        <w:t xml:space="preserve">Pico de ciclo inducido por un choque de oferta: el Brent pasó de 69 USD a 97 USD de media trimestral y el margen de refino de Galp se multiplicó por 3,6 en un año [7]. La curva de futuros descuenta normalización: 106 USD al contado, 85,6 USD para dic-27 y 77,6 USD para dic-28 [14]. En 2020 el sector perdió dinero (Galp, −42 M de RCA); en 2022, con la invasión de Ucrania, el margen de refino llegó a 15 USD/bep y volvió a 7 USD/bep en dos años [2].</w:t>
      </w:r>
    </w:p>
    <w:p>
      <w:pPr>
        <w:pStyle w:val="Heading2"/>
      </w:pPr>
      <w:r>
        <w:t xml:space="preserve">Regulación</w:t>
      </w:r>
    </w:p>
    <w:p>
      <w:pPr>
        <w:spacing w:after="100"/>
      </w:pPr>
      <w:r>
        <w:t xml:space="preserve">Portugal mantiene la contribución extraordinaria sobre el sector energético (CESE); Brasil cobra la participación especial (SPT) en los campos grandes y en 2026 aplicó un impuesto provisional a la exportación de crudo [3]. La UE exige cuotas crecientes de combustibles renovables en transporte y aviación (ReFuelEU, SAF), que Galp atenderá con la unidad de HVO/SAF de Sines [2]. La fusión con Moeve necesita autorización de competencia en España y Portugal [12].</w:t>
      </w:r>
    </w:p>
    <w:p>
      <w:pPr>
        <w:pStyle w:val="Heading2"/>
      </w:pPr>
      <w:r>
        <w:t xml:space="preserve">Tendencias y disrupción</w:t>
      </w:r>
    </w:p>
    <w:p>
      <w:pPr>
        <w:spacing w:after="100"/>
      </w:pPr>
      <w:r>
        <w:t xml:space="preserve">El refino europeo cierra capacidad y depende de importar destilados; la guerra de Irán lo ha convertido en un cuello de botella con márgenes récord [10]. A largo plazo, la electrificación del transporte en la Península reduce la demanda de gasolina y gasóleo. Galp gana con el presal (crudo de bajo coste y bajas emisiones por barril) y con Namibia si Mopane llega a desarrollarse, y pierde con el declive estructural del refino; de ahí la negociación para meter Sines en una sociedad conjunta con Moeve controlada por Mubadala y Carlyle [12,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Única refinería de Portugal (85-90 % del combustible del país) y productor mediano en el presal de Brasil (131 kboepd, frente a más de 2.000 kboepd de Petrobras) [7,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Refino y comercial ibérico; producción en EE. UU., Noruega y Latinoamérica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Moeve (antes Cepsa)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Refinerías de San Roque y La Rábida; socio previsto en la fusión del refino y el comercial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centroeuropea con química (Borouge)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82.151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exploración y GNL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TotalEnergies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TTE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162.807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Operador en Mopane desde 2026 [11,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en combustibles; algo en contratos B2B de gas y electricidad.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en el presal (Tupi, Bacalhau) con coste de producción de 3,2 USD/bep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Barriles del presal en la parte baja de la curva de costes; Sines es de las refinerías complejas de la costa atlántica.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refinería de Portugal: el mercado no admite otra.</w:t>
            </w:r>
          </w:p>
        </w:tc>
      </w:tr>
    </w:tbl>
    <w:p>
      <w:pPr>
        <w:spacing w:after="160" w:before="0"/>
      </w:pPr>
    </w:p>
    <w:p>
      <w:pPr>
        <w:pStyle w:val="Heading2"/>
      </w:pPr>
      <w:r>
        <w:t xml:space="preserve">Amenazas</w:t>
      </w:r>
    </w:p>
    <w:p>
      <w:pPr>
        <w:spacing w:after="100"/>
      </w:pPr>
      <w:r>
        <w:t xml:space="preserve">La principal es el declive de los campos maduros de Tupi sin Namibia: sin Mopane en producción a principios de la década de 2030, la producción vuelve a caer tras el pico de Bacalhau. En refino, el riesgo es la normalización del margen tras la guerra y el aumento de capacidad en Oriente Medio y Asia. La operación con Moeve puede diluir el control de Sines (Galp con algo más del 20 % de la sociedad industrial)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spacing w:after="100"/>
      </w:pPr>
      <w:r>
        <w:t xml:space="preserve">Crecimiento anual compuesto 2021-2025: ingresos </w:t>
      </w:r>
      <w:r>
        <w:rPr>
          <w:b/>
          <w:bCs/>
        </w:rPr>
        <w:t xml:space="preserve">4,9 %</w:t>
      </w:r>
      <w:r>
        <w:t xml:space="preserve">, EBITDA </w:t>
      </w:r>
      <w:r>
        <w:rPr>
          <w:b/>
          <w:bCs/>
        </w:rPr>
        <w:t xml:space="preserve">7,0 %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dependen sobre todo del precio del crudo y de los productos: cayeron de 26.840 M en 2022 a 19.507 M en 2025 con el Brent de 99 a 69 USD, y el EBITDA RCA bajó de 3.849 M a 3.039 M (margen del 14,3 % al 15,6 %, porque el coste de las materias primas cae con el precio) [1, 2, 6]. En 2025 la producción subió a 111 kboepd con el arranque de Bacalhau, que compensó en parte un Brent 11 USD más bajo; el upstream bajó de 2.078 M a 1.682 M y el industrial y midstream subió de 876 M a 952 M por el trading de gas y GNL [2, 9]. En 2026 la guerra de Irán cambia la escala: 2.216 M de EBITDA RCA en el primer semestre (+47 %), guía de unos 4.000 M (antes &gt;2.600 M) y un 3T con margen de refino de 33,8 USD/bep y Brent de 97 USD [3, 7]. No hay crecimiento orgánico de volumen fuera del upstream: el refino procesa ~85-90 Mbep al año.</w:t>
      </w:r>
    </w:p>
    <w:p>
      <w:pPr>
        <w:pStyle w:val="Heading2"/>
      </w:pPr>
      <w:r>
        <w:t xml:space="preserve">Ajustes y partidas no recurrentes</w:t>
      </w:r>
    </w:p>
    <w:p>
      <w:pPr>
        <w:spacing w:after="100"/>
      </w:pPr>
      <w:r>
        <w:t xml:space="preserve">La empresa y el consenso miden el resultado a coste de reposición ajustado (RCA): quitan el efecto inventario (la diferencia entre el coste medio del inventario y el precio de reposición) y las partidas especiales (valor razonable de derivados sin liquidar, plusvalías y deterioros, efecto del tipo de cambio en impuestos diferidos de Brasil). En la cuenta, el EBITDA es el IFRS publicado y la diferencia con el RCA va en «no recurrentes» (2025: +224 M; 2024: −210 M); el beneficio neto y el BPA son los IFRS. El RCA neto fue 457, 881, 1.002, 961 y 1.154 M de 2021 a 2025 [1, 2, 5, 6], y es la base del BPA de la proyección y de la historia del PER. Los derivados movieron el resultado financiero IFRS en −832 M en 2021 y +806 M en 2022.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marzo, con el Brent a 60 USD de hipótesis, la dirección limitó la guía a 2026 (EBITDA &gt;2.600 M, flujo operativo &gt;2.000 M, producción 125-130 kboepd) por la negociación con Moeve, y presentó la entrada de TotalEnergies en Mopane como el paso que da a Galp «un perfil de crecimiento de producción mucho más tangible» [9]. En julio el mensaje fue de captura de un entorno volátil: EBITDA RCA de 1.272 M en el 2T, guía subida a unos 4.000 M (Brent 80 USD, margen de refino 13 USD/bep), dividendo de 0,70 EUR (+10 %) con 0,35 EUR a cuenta en agosto, y la firma con Moeve aplazada al segundo semestre «dado el tamaño de la operación» [3]. La guía del segundo semestre supone un Brent de 70 USD y un margen de 10 USD/bep, por debajo de lo que dio el 3T (97 USD y 33,8 USD/bep) [3, 7]. La dirección no ha dado cifras de recursos de Mopane ni el calendario de la decisión de inversión, y no ha explicado cómo se repartirían deuda y dividendos en la sociedad conjunta con Moeve.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Mozambique Área 4 (Coral Sul) clasificada como mantenida para la venta en 2024 y vendida a ADNOC en 2025: sale de la cuenta RCA y del balance (1.794 M de activos para la venta a dic-24) [1,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deuda neta es baja para el sector: 1.379 M a 30-jun-2026 (0,40 veces el EBITDA RCA de 12 meses), más 1.232 M de arrendamientos (buques FPSO y de GNL, estaciones) [3]. Ha estado entre 1.200 y 1.555 M desde 2022 pese a pagar 4.4 bn en dividendos y recompras en cuatro años, porque las ventas de Angola (2024) y Mozambique (2025) aportaron 1.433 M [1, 5]. El circulante subió 581 M en 2025 y 294 M en el primer semestre de 2026 por el precio de las materias primas: con un Brent alto Galp inmoviliza caja en inventario y clientes, y la libera cuando baja.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3.855</w:t>
      </w:r>
      <w:r>
        <w:t xml:space="preserve">, conversión </w:t>
      </w:r>
      <w:r>
        <w:rPr>
          <w:b/>
          <w:bCs/>
        </w:rPr>
        <w:t xml:space="preserve">79 %</w:t>
      </w:r>
      <w:r>
        <w:t xml:space="preserve"> del beneficio neto; adquisiciones 110, dividendos 2.239, recompras 1.251.</w:t>
      </w:r>
    </w:p>
    <w:p>
      <w:pPr>
        <w:spacing w:after="100"/>
      </w:pPr>
      <w:r>
        <w:t xml:space="preserve">El flujo de gestión (OCF ajustado) fue de 2.179 M en 2025 y 1.789 M en el primer semestre de 2026, con una guía de unos 3.000 M para el año [2, 3]. La inversión orgánica ronda 1.000 M anuales: Bacalhau y pozos de relleno en Tupi en Brasil, la unidad de biocombustibles avanzados (HVO/SAF) y el electrolizador de 100 MW en Sines, y solar y baterías [2, 3]. En 2026 se suman 318 M por 351 MW eólicos en España. El capex de mantenimiento es estimación propia: unos 600-700 M (la amortización RCA fue 664 M en 2025). El flujo libre de 2025 (1.224 M) incluye 1.024 M de ventas de activos; sin ellas habría sido de unos 200 M por la subida del circulante (581 M)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Audit &amp; Associados, SROC, 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IFRS son ruidosas por diseño: el coste medio del inventario y el valor razonable de los derivados de cobertura mueven el beneficio cientos de millones de un trimestre a otro (−383 M de partidas especiales en el 1T26 y +141 M en el 2T26) [3]. Por eso el análisis usa el RCA, que la empresa concilia segmento a segmento [1, 3]. En 2026 Galp cambió el criterio con que valora el crudo propio en tránsito en el RCA (a precio de mercado en vez de coste) sin reexpresar 2025: sube el RCA de 2026 frente al de 2025 [3]. La tasa impositiva es muy alta (44 % del RCA en 2025 y 45 % en el primer semestre) por la participación especial (SPT) de Brasil, la contribución extraordinaria (CESE) en Portugal y el impuesto provisional a la exportación de crudo de Brasil [2,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en el crudo en tránsito (RCA 2026 frente a 2025 sin reexpresar)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la comparación interanual del upstream en 2026; el efecto no se cuantifica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Derivados de cobertura con valor razonable de −358 M en el resultado del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del margen de refino y del gas que limitan la captura del pico: −89 M en el EBITDA del semestre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de 2025 apoyado en ventas de activos (1.024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Mozambique y estaciones en África; sin ellas el flujo libre fue de unos 200 M por el circulante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Fondo de comercio y compras</w:t>
      </w:r>
    </w:p>
    <w:p>
      <w:pPr>
        <w:spacing w:after="100"/>
      </w:pPr>
      <w:r>
        <w:t xml:space="preserve">Fondo de comercio: 44 M en 2025 (el 1 % del capital invertido medio); ha subido más de un 5 % en 0 de 4 años: sin compras. ROIC publicado 18,6 %; sin fondo de comercio, 18,7 %.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8,8 %.</w:t>
      </w:r>
    </w:p>
    <w:p>
      <w:pPr>
        <w:spacing w:after="100"/>
      </w:pPr>
      <w:r>
        <w:t xml:space="preserve">Galp crea valor en todos los años con Brent por encima de 70 USD: ROIC del 18,2 % en 2022, 17,9 % en 2023, 16,7 % en 2024 y 18,6 % en 2025, frente a un WACC del 8,81 %; en 2021 fue del 10,3 %. El ROIC lo mueve el margen del upstream: el presal produce a 3,2 USD/bep [3] y amortiza unos 10 USD/bep, de modo que el capital empleado (7.729 M a dic-25) rinde mucho con crudo caro. La rotación es alta porque el refino factura mucho con poco capital. El ROIC de 2025 está por encima del de Repsol y OMV en la misma base, según sus ROE del consenso (11 % frente al 24,6 % de Galp) [15, 16]. La cifra es cíclica: con Brent de 60 USD y margen de 5 USD/bep caería hacia el 10-12 %.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1.987 M y líneas no dispuestas 2.235 M (75 % comprometidas a más de un año) a 30-jun-2026; deuda bruta 3.366 M (bonos 1.376 M, préstamos 1.990 M); coste medio de la financiación 2,94 % [3].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Provisiones de 1.461 M a 30-jun-2026, sobre todo de abandono de campos en Brasil, que se pagarán a partir de la década de 2040 y no se incluyen en la deuda neta [3]. Pensiones y otros beneficios 222 M. Garantías de la matriz por 8.078 M ligadas a contratos comerciales de filiales (GNL, trading) [3]. Instrumentos financieros derivados pasivos de 665 M (169 M no corrientes y 496 M corrientes) a junio, por las coberturas de margen de refino y de materias primas: su valor razonable restó 358 M al resultado del primer semestre [3]. Los minoritarios (933 M en libros) son sobre todo el 30 % de Sinopec en Petrogal Brasil: su valor económico es muy superior al contable [3].</w:t>
      </w:r>
    </w:p>
    <w:p>
      <w:pPr>
        <w:pStyle w:val="Heading1"/>
      </w:pPr>
      <w:r>
        <w:t xml:space="preserve">12. Asignación de capital</w:t>
      </w:r>
    </w:p>
    <w:p>
      <w:pPr>
        <w:pStyle w:val="Confianza"/>
        <w:spacing w:after="100"/>
      </w:pPr>
      <w:r>
        <w:t xml:space="preserve">Confianza: Media</w:t>
      </w:r>
    </w:p>
    <w:p>
      <w:pPr>
        <w:spacing w:after="100"/>
      </w:pPr>
      <w:r>
        <w:t xml:space="preserve">Galp reparte un tercio del flujo de gestión (OCF) en dividendos y recompras [9]. Dividendo de 0,64 EUR por 2025 (+4 %) y propuesta de 0,70 EUR por 2026 (+10 %), con 0,35 EUR a cuenta pagados en agosto de 2026 [2, 3]. Recompras de 250 M en 2025 (16,47 M de acciones a 15,18 EUR, amortizadas en marzo de 2026) y otro programa de 250 M en curso hasta el 27-nov-2026 (11,69 M de acciones a 19,30 EUR hasta junio)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eólica de 351 MW en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79 M de deuda consolidada)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junio de 2026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Mozambique Área 4 (Coral Sul) a ADNOC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en 2025; parte de los 1.024 M de desinversiones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Permuta: 40 % de PEL 83 (Mopane) a TotalEnergies por 10 % de PEL 56 (Venus) y 9,39 % de PEL 91, con acarreo del 50 % de la inversión de Galp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pago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cayó un 14,7 % el día del anuncio (9-dic-2025).</w:t>
            </w:r>
          </w:p>
        </w:tc>
      </w:tr>
    </w:tbl>
    <w:p>
      <w:pPr>
        <w:spacing w:after="160" w:before="0"/>
      </w:pPr>
    </w:p>
    <w:p>
      <w:pPr>
        <w:spacing w:after="100"/>
      </w:pPr>
      <w:r>
        <w:t xml:space="preserve">La dirección ha sido disciplinada: vendió Angola y Mozambique (1.433 M en 2024-2025) en vez de invertir en desarrollos de gas de retorno incierto, recompró 1.101 M de acciones en 2022-2025 a precios de 13-19 EUR y mantiene la deuda neta por debajo de 0,5 veces el EBITDA [1, 2, 5]. La permuta de Mopane sin pago en caja decepcionó (−14,7 % el día del anuncio) pero quita a Galp la mayor parte de una inversión de varios miles de millones [27]. La compra eólica de 318 M en 2026 en pleno pico de precios eléctricos es la decisión más discutible. Las acciones en circulación bajaron de 829 M en 2021 a unos 722 M hoy (−13 %).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João Carioca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(co-CEO)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desde enero de 2025 tras la salida de Filipe Silva; dirige estrategia, cartera y fusiones (Moeve, Mopane), finanzas y riesgos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João Marques da Silva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(co-CEO) y responsable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desde enero de 2025; dirige el negocio comercial, movilidad y comunicación. El comercial subió su EBITDA un 25 % en 2025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Paula Amorim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 a la familia Amorim, accionista de control a través de Amorim Energia [2,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Nuno Holbech Bastos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upstream</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Brasil y Namibia; cooptado en 2025 y ratificado en la junta de mayo de 2025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Ronald Doesburg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 industrial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refino, biocombustibles e hidrógeno en Sines [2].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EBITDA según la guía de inicio de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 111 kboepd; «un año de cumplimiento por encima de la guía»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RCA &gt;2.600 M y producción 125-130 kboepd (marzo, Brent 60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subida en julio a unos 4.000 M y unos 130 kboepd; 2.216 M en el 1S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nuevo en la cúpula: los dos consejeros delegados llevan desde enero de 2025, tras la dimisión de Filipe Silva [2]. En su primer año y medio han cerrado la permuta de Mopane con TotalEnergies, vendido Mozambique, comprado eólica en España y abierto la negociación con Moeve, y han cumplido la guía [3, 9]. El reparto de la dirección entre dos personas no tiene precedente en las grandes petroleras europeas;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Paula Amorim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João Carioca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João Marques da Silva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Nuno Holbech Bastos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ejecutiva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Amorim Energia (familia Amorim y Sonangol a través de Esperaza)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829 M de acciones (abr-24); con las amortizaciones de 2024-2026 su porcentaje sube a cerca del 40 % si no ha vendido [17,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Parpública (Estado portugués)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no cotizadas; Amorim pidió en 2024 que el Estado vendiera [17,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14,02 M de acciones a 30-jun-2026, para amortizar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(hasta el 100 % del fijo) pesa un 65 % en métricas cuantitativas: flujo de gestión (OCF) 65 %, objetivos estratégicos 10 %, seguridad 10 % y emisiones propias 15 %. El variable trienal (hasta el 60 % del fijo) mide OCF (55 %), rentabilidad total para el accionista frente a TotalEnergies, Repsol, OMV, Eni y los índices PSI20 y SXEGR (25 %) y ROACE (20 %); hay además un incentivo a largo plazo en acciones por TSR y CFFO frente a pares [2]. Premia caja y rentabilidad del capital, no crecimiento a cualquier precio. El consejo tiene 19 miembros: 13 no ejecutivos, 6 de ellos independientes (46,2 % de los no ejecutivos) [2].</w:t>
      </w:r>
    </w:p>
    <w:p>
      <w:pPr>
        <w:pStyle w:val="Heading2"/>
      </w:pPr>
      <w:r>
        <w:t xml:space="preserve">Operaciones vinculadas, estructura de control y defensas</w:t>
      </w:r>
    </w:p>
    <w:p>
      <w:pPr>
        <w:spacing w:after="100"/>
      </w:pPr>
      <w:r>
        <w:t xml:space="preserve">Amorim Energia controla de hecho la junta (35,76 % de los votos en 2024, más con las amortizaciones) y propone a la presidenta, Paula Amorim [2, 17]. Sonangol participa en Amorim Energia a través de Esperaza Holding (45 %). El Estado portugués conserva el 8 % mediante acciones no cotizadas. Todas las acciones tienen los mismos derechos de voto y económicos [2]. La negociación con Moeve dejaría la refinería en una sociedad controlada por Mubadala y Carlyle, con Galp por encima del 20 %.</w:t>
      </w:r>
    </w:p>
    <w:p>
      <w:pPr>
        <w:pStyle w:val="Heading2"/>
      </w:pPr>
      <w:r>
        <w:t xml:space="preserve">Señales de alerta</w:t>
      </w:r>
    </w:p>
    <w:p>
      <w:pPr>
        <w:pStyle w:val="ListParagraph"/>
        <w:numPr>
          <w:ilvl w:val="0"/>
          <w:numId w:val="2"/>
        </w:numPr>
        <w:spacing w:after="60"/>
      </w:pPr>
      <w:r>
        <w:t xml:space="preserve">Dimisión del consejero delegado en enero de 2025 tras una investigación interna (relación personal no comunicada); sustituido por dos consejeros delegados.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revisada el 27-jul-2026: EBITDA RCA de unos 4.000 M (upstream &gt;2.300 M, industrial y midstream &gt;1.100 M, comercial &gt;350 M, renovables unos 80 M), flujo operativo de unos 3.000 M, inversión orgánica de unos 1.000 M y producción de unos 130 kboepd, con Brent de 80 USD de media anual (70 USD en el segundo semestre) y margen de refino de 13 USD/bep (10 USD en el segundo semestre) [3]. La guía de marzo era &gt;2.600 M con Brent a 60 USD [9]. No hay plan a medio plazo publicado: la empresa lo aplaza hasta cerrar la operación con Moeve.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18 analistas [15]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18,40 – 28,00</w:t>
            </w:r>
          </w:p>
        </w:tc>
      </w:tr>
    </w:tbl>
    <w:p>
      <w:pPr>
        <w:spacing w:after="160" w:before="0"/>
      </w:pPr>
    </w:p>
    <w:p>
      <w:pPr>
        <w:pStyle w:val="Heading2"/>
      </w:pPr>
      <w:r>
        <w:t xml:space="preserve">Revisiones de estimaciones</w:t>
      </w:r>
    </w:p>
    <w:p>
      <w:pPr>
        <w:spacing w:after="100"/>
      </w:pPr>
      <w:r>
        <w:t xml:space="preserve">El objetivo medio de los analistas ha subido de 20,2 EUR a finales de 2025 (44 % comprar, 43 % mantener, 13 % vender) a 23,83 EUR [2, 3]. Movimientos recientes: Goldman Sachs subió el objetivo y mantiene Comprar (11-sep), Berenberg mantiene Mantener (21-sep), AlphaValue/Baader bajó a Vender aunque subió el objetivo (19-ago), JB Capital subió a Comprar (8-jul), Morgan Stanley subió a Sobreponderar con objetivo más bajo (3-jul) [20]. El BPA de 2026 del consenso (2,30 EUR) supera en un 70 % el de 2025 (1,51 EUR IFRS; 1,56 EUR RCA), y el de 2028 (1,79 EUR) ya descuenta normalización. Solo hay una fuente gratuita con estimaciones completas; el objetivo de cierre de 2025 sale del informe anual de Galp.</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60 % en 2026 y un 46,7 % en un año con dividendos, frente al 10,8 % y el 15,7 % del Stoxx Europe 600 y el 44,5 % y el 54,2 % del índice europeo de petróleo y gas [19]. El motor es el Brent, que pasó de 61 USD a 106 USD en un año con el ataque de EE. UU. e Israel a Irán a finales de febrero y el cierre de hecho de Ormuz [10, 14]. La beta frente al Stoxx 600 sale negativa en datos mensuales (−0,07) y de 0,40 en semanales: en 2026 la petrolera ha subido cuando caía el mercado, porque el choque petrolero es a la vez su beneficio y el riesgo del resto [19]. La peor jornada del año fue el 9-dic-2025 (−14,7 %), con la permuta de Mopane sin pago en caja [27].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 +17,4 % / +18,4 % / +42,3 %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 +62,2 %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el 9-dic-2025 por la permuta de Mopane con TotalEnergies sin pago en caja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23-jul, con el Brent subiendo un 31 % en el mes hasta el 24-jul por el recrudecimiento en Ormuz y la subida de la guía del 27-jul [3,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un mes hasta el 7-may, tras los resultados del 1T26 del 27-abr (pérdida IFRS de −111 M por los derivados) y con el Brent volátil; causa exacta no confirmada con fuente primaria [4,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3T26: margen de refino de 33,8 USD/bep, producción de 131 kboepd, Brent de 97 USD; resultados el 26-oct antes de la apertura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avisa de que los fletes récord de petroleros pesarán sobre los márgenes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sube el objetivo y mantiene Comprar; Berenberg mantiene Mantener (21-sep); AlphaValue/Baader baja a Vender (19-ago)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firma con Moeve se aplaza al segundo semestre de 2026; estructura con Mubadala y Carlyle al control del refino y Galp con algo más del 20 % [3,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campaña de evaluación de Mopane con TotalEnergies en el 4T26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250 M para amortizar, hasta el 27-nov-2026; 226 M ejecutados a junio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 provisional a la exportación de crudo en Brasil, ya en la cuenta del semestre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del 42,3 % en 12 meses sigue al Brent (de 61 a 106 USD) y al margen de refino de la guerra; la acción está a un 2,3 % de su máximo de cinco años con tendencia alcista y sin avisos de movimiento [14, 19]. No hay colocaciones de accionistas de referencia, ampliaciones ni ofertas pendientes: Amorim y Parpública no han anunciado ventas. Los dos hechos con fecha (firma con Moeve y primer pozo de Mopane) pueden mover el precio en los dos sentidos y ya están en la tesis. Veredicto: no cambia; la decisión la marca la valoración, no el momento.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Galp ha cotizado entre 8 y 11 veces el beneficio RCA del año siguiente desde 2021 (8,1x al cierre de 2021, 10,3x en 2022, 10,9x en 2023 y 10,3x en 2024) [5, 19]. Hoy cotiza a unas 10,7 veces nuestro BPA de 2027 y 12,4 veces el de 2028: el mercado paga un múltiplo normal sobre un beneficio que todavía incluye la prima de guerra en 2027. Se excluye 2021 de la comparación con el PER de los últimos doce meses porque el beneficio IFRS fue de 4 M (derivados).</w:t>
      </w:r>
    </w:p>
    <w:p>
      <w:pPr>
        <w:pStyle w:val="Heading1"/>
      </w:pPr>
      <w:r>
        <w:t xml:space="preserve">18. Comparables cotizados</w:t>
      </w:r>
    </w:p>
    <w:p>
      <w:pPr>
        <w:pStyle w:val="Confianza"/>
        <w:spacing w:after="100"/>
      </w:pPr>
      <w:r>
        <w:t xml:space="preserve">Confianza: Media</w:t>
      </w:r>
    </w:p>
    <w:p>
      <w:pPr>
        <w:spacing w:after="100"/>
      </w:pPr>
      <w:r>
        <w:t xml:space="preserve">Integradas europeas con producción y refino que el mercado compara con Galp: TotalEnergies (socio en Namibia), Repsol (competidor peninsular), Eni, OMV y Equinor (más gas y Noruega). Cifras de MarketScreener, mismo proveedor y misma fecha para todas; capitalización = precio del 15-oct × acciones implícitas (beneficio ÷ BPA); dólares a 1,12 USD/EUR. No se incluyen Shell ni BP (sin página de previsiones accesible en el tiempo del análisis) ni Petrobras (empresa estatal con descuento por riesgo político). El BPA del consenso es el ajustado de cada empresa, comparable con el RCA de Galp.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OMV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2"/>
        <w:gridCol w:w="1056"/>
        <w:gridCol w:w="1188"/>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 / 4,1x / 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 / 5,1x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8,4x / 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1,2x / 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Galp cotiza a 10,7 veces el BPA de los próximos 12 meses frente a una mediana de 8,4 veces en las integradas europeas (Repsol 7,1x, TotalEnergies 8,1x, OMV 8,4x, Eni 9,6x, Equinor 9,8x) y a 4,9 veces el EBITDA frente a 4,1 veces [16, 23, 24, 25, 26]. La prima se explica en parte por el crecimiento de producción (Bacalhau) y la opción de Namibia, y por el menor apalancamiento. Por comparables el valor es de 17,81 EUR. No hay relación útil entre crecimiento y múltiplo en un grupo que depende del mismo precio del crudo.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siguen al precio del crudo y de los productos. 2026e (fijo, con dos trimestres publicados y el avance del 3T) sube un 30,2 % hasta unos 25.400 M: 11.833 M en el primer semestre y un segundo semestre con Brent de 97-106 USD [3, 7, 14]. 2027e y 2028e caen un 10 % cada año, en línea con el consenso (−8,7 % y −9,7 %) [15] y con la curva de futuros del Brent (99 USD para mar-27, 85,6 USD para dic-27 y 77,6 USD para dic-28) [14]. Después, entre el 1 y el 1,5 % nominal: la producción se estabiliza tras Bacalhau y el refino no crece.</w:t>
      </w:r>
    </w:p>
    <w:p>
      <w:pPr>
        <w:keepNext/>
        <w:spacing w:after="100"/>
      </w:pPr>
      <w:r>
        <w:rPr>
          <w:b/>
          <w:bCs/>
        </w:rPr>
        <w:t xml:space="preserve">Márgenes.</w:t>
      </w:r>
    </w:p>
    <w:p>
      <w:pPr>
        <w:spacing w:after="100"/>
      </w:pPr>
      <w:r>
        <w:t xml:space="preserve">El margen EBITDA RCA fue del 15,6 % en 2025 (Brent 69 USD, refino 7,1 USD/bep) [2] y del 18,7 % en el primer semestre de 2026 [3]. Proyectamos 18,9 % en 2026e, 18,0 % en 2027e y 17,5 % en 2028e, y bajamos al 16,5 % a largo plazo: más que en 2025 porque la producción es un 20 % mayor (131 frente a 111 kboepd) con coste de 3,2 USD/bep [3, 7], y menos que en el pico.</w:t>
      </w:r>
    </w:p>
    <w:p>
      <w:pPr>
        <w:keepNext/>
        <w:spacing w:after="100"/>
      </w:pPr>
      <w:r>
        <w:rPr>
          <w:b/>
          <w:bCs/>
        </w:rPr>
        <w:t xml:space="preserve">Inversión y circulante.</w:t>
      </w:r>
    </w:p>
    <w:p>
      <w:pPr>
        <w:spacing w:after="100"/>
      </w:pPr>
      <w:r>
        <w:t xml:space="preserve">Capex orgánico de unos 1.000 M al año (guía 2026) más los pagos de arrendamientos (unos 270 M) que el EBITDA no recoge por la NIIF 16: 6,3 % de las ventas en 2026e con la compra eólica (318 M), 5,8-6,0 % en 2027-2028 y bajada al 4 % al final, por encima de la amortización (3,8 %) [3]. El circulante se mantiene en el 8 % de las ventas (8,0 % en 2025).</w:t>
      </w:r>
    </w:p>
    <w:p>
      <w:pPr>
        <w:keepNext/>
        <w:spacing w:after="100"/>
      </w:pPr>
      <w:r>
        <w:rPr>
          <w:b/>
          <w:bCs/>
        </w:rPr>
        <w:t xml:space="preserve">Coste del capital.</w:t>
      </w:r>
    </w:p>
    <w:p>
      <w:pPr>
        <w:spacing w:after="100"/>
      </w:pPr>
      <w:r>
        <w:t xml:space="preserve">Bund a 10 años del 3,42 % [22]. Beta de 0,9: la de Yahoo frente al Stoxx 600 no sirve (−0,07 mensual y 0,40 semanal) porque en 2026 la petrolera sube cuando cae el mercado [19]; usamos una beta de integrada europea. Prima de mercado del 5,5 % y prima adicional de 1,5 puntos por Brasil (más de la mitad del EBITDA) y por el riesgo de proyecto en Namibia. Coste de la deuda del 4 % antes de impuestos (2,94 % medio en 2026 [3]) y peso del 15 %. WACC del 8,81 %.</w:t>
      </w:r>
    </w:p>
    <w:p>
      <w:pPr>
        <w:keepNext/>
        <w:spacing w:after="100"/>
      </w:pPr>
      <w:r>
        <w:rPr>
          <w:b/>
          <w:bCs/>
        </w:rPr>
        <w:t xml:space="preserve">Valor terminal.</w:t>
      </w:r>
    </w:p>
    <w:p>
      <w:pPr>
        <w:spacing w:after="100"/>
      </w:pPr>
      <w:r>
        <w:t xml:space="preserve">Gordon con crecimiento del 1,5 %, por debajo de la inflación: la cartera de crudo se agota sin nuevos descubrimientos y el refino europeo se reduce con la transición. El valor terminal es el 61 % del valor; el múltiplo implícito es razonable frente a las integradas (EV/EBITDA de 2,6-4,5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(ROIC 18,6 %)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frente al 2,1 %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spacing w:after="100"/>
      </w:pPr>
      <w:r>
        <w:t xml:space="preserve">La proyección reinvierte el 22 % del NOPAT. Con el ROIC del último ejercicio (18,6 %), eso financia un crecimiento del 4,1 % anual, frente al 2,1 % de ingresos proyectado. Supone que el capital nuevo rinde un 4,7 %.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producción +17 % (unos 130 kboepd) y refino estable; precio +22 % por el Brent (de 69 a unos 92 USD) y los productos [3,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(Bacalhau en meseta); precio −13 % con la curva de futuros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precio −11 % hacia un Brent de 78-80 USD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estable;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Declive suave de Tupi (−0,5 %) compensado por el precio.</w:t>
            </w:r>
          </w:p>
        </w:tc>
      </w:tr>
    </w:tbl>
    <w:p>
      <w:pPr>
        <w:spacing w:after="160" w:before="0"/>
      </w:pPr>
    </w:p>
    <w:p>
      <w:pPr>
        <w:spacing w:after="100"/>
      </w:pPr>
      <w:r>
        <w:t xml:space="preserve">Sí, porque la proyección no pide crecer: las ventas caen un 10 % en 2027 y 2028 y luego crecen un 1-1,5 %. La reinversión del 22 % del NOPAT, al ROIC de 2025 (18,6 %), financia un 4,1 % anual, frente al 2,1 % proyectado. La calidad que importa es otra: el ROIC de 2022-2025 (16,7-18,6 %) se logró con Brent de 69-99 USD; con 65 USD y sin la producción de Bacalhau sería menor. No hay prueba de cuota porque el mercado relevante es el precio internacional (mercado final en blanco).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(base: -1,9 %)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8,8 %)</w:t>
            </w:r>
          </w:p>
        </w:tc>
      </w:tr>
    </w:tbl>
    <w:p>
      <w:pPr>
        <w:spacing w:after="160" w:before="0"/>
      </w:pPr>
    </w:p>
    <w:p>
      <w:pPr>
        <w:spacing w:after="100"/>
      </w:pPr>
      <w:r>
        <w:t xml:space="preserve">El DCF da 19,90 EUR por acción, un 12,1 % por debajo del precio, con un valor terminal del 61 % y un WACC del 8,81 %. El DCF inverso dice que el precio de 22,65 EUR pide un crecimiento de las ventas del 0,3 % anual entre 2027 y 2033, frente al −1,9 % de nuestro caso base, o un margen del 17,7 % frente al 16,5 %: en la práctica, que el Brent no vuelva a los 75-80 USD de la curva y que los márgenes de refino de la guerra duren. La rentabilidad implícita es del 8,1 %, por debajo de nuestro WACC: con nuestras cifras, la acción no paga su coste de capital. Con la prima de riesgo que hoy pide el mercado (4,2 %), el DCF sube a 24,06 EUR: la discrepancia es de tasa más que de cifras, y por eso la convicción es baja.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Alto el fuego y reapertura total de Ormuz en 2027: el Brent vuelve a 60-65 USD y el margen de refino a 5 USD/bep, como en 2025. La acción volvería a los 14-15 EUR de finales de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según la curva de futuros: Brent de 85 USD en 2027 y 78 USD en 2028, margen de refino de 8 USD/bep y producción de unos 135 kboepd.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Conflicto prolongado y refino europeo escaso: Brent por encima de 90 USD y margen de 12 USD/bep hasta 2028, con producción al alza.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22,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20,05 EUR (-11,5 %).</w:t>
      </w:r>
    </w:p>
    <w:p>
      <w:pPr>
        <w:spacing w:after="100"/>
      </w:pPr>
      <w:r>
        <w:t xml:space="preserve">La asimetría es desfavorable: el bajista (11,23 EUR) pierde el 50,4 % y el alcista (29,16 EUR) gana el 28,7 %; asimetría de 0,57. El bajista es verosímil porque ya ocurrió: a finales de 2025 la acción cotizaba a 14,63 EUR con Brent de 61-69 USD [19]. Con la acción en máximos de cinco años, el precio no compensa el riesgo de que el conflicto termine.</w:t>
      </w:r>
    </w:p>
    <w:p>
      <w:pPr>
        <w:pStyle w:val="Heading1"/>
      </w:pPr>
      <w:r>
        <w:t xml:space="preserve">22. Suma de partes</w:t>
      </w:r>
    </w:p>
    <w:p>
      <w:pPr>
        <w:pStyle w:val="Confianza"/>
        <w:spacing w:after="100"/>
      </w:pPr>
      <w:r>
        <w:t xml:space="preserve">Confianza: Baja</w:t>
      </w:r>
    </w:p>
    <w:p>
      <w:pPr>
        <w:spacing w:after="100"/>
      </w:pPr>
      <w:r>
        <w:t xml:space="preserve">La suma de partes da 13,48 EUR con múltiplos de mitad de ciclo y Namibia a 1.500 M (unos 2 EUR por acción) como opción con riesgo, y un descuento de holding del 10 % por el control de Amorim y la complejidad de la operación con Moeve. Es la referencia más baja porque aplica múltiplos de productoras (3,5 veces) al upstream; los analistas que llegan a 24-28 EUR atribuyen a Mopane varios euros por acción y usan el EBITDA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Upstream Brasil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2028e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Productoras de crudo a EV/EBITDA de 2,5-4,5 veces (Equinor 2,6x, OMV 3,6x en la tabla de comparables); EBITDA con Brent de 78-80 USD y 135 kboepd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y midstream</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mitad de ciclo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Refino y trading a mitad de ciclo (952 M en 2025 con 7,1 USD/bep de margen); múltiplo de refinerías europeas.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y estaciones de servicio con un tercio de tiendas y servicios.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Renovables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operativos de 2,7 GW; la eólica se pagó a 318 M por 351 MW.</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Namibia (Mopane, Venus, PEL 91), opción con riesgo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directo</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con riesgo: Galp conserva el 40 % de Mopane con acarreo del 50 % de su inversión por TotalEnergies; sin recursos certificados ni decisión de inversión. Equivale a unos 2 EUR por acción.</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capitalizados.</w:t>
            </w:r>
          </w:p>
        </w:tc>
      </w:tr>
    </w:tbl>
    <w:p>
      <w:pPr>
        <w:spacing w:after="160" w:before="0"/>
      </w:pPr>
    </w:p>
    <w:p>
      <w:pPr>
        <w:spacing w:after="100"/>
      </w:pPr>
      <w:r>
        <w:rPr>
          <w:b/>
          <w:bCs/>
        </w:rPr>
        <w:t xml:space="preserve">Valor por acción por suma de partes:</w:t>
      </w:r>
      <w:r>
        <w:t xml:space="preserve"> 13,48 (-40,5 %); con ±1x en los múltiplos, 10,48 – 16,49.</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22,6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18,65 EUR (-17,7 % sobre 22,65).</w:t>
      </w:r>
    </w:p>
    <w:p>
      <w:pPr>
        <w:spacing w:after="100"/>
      </w:pPr>
      <w:r>
        <w:t xml:space="preserve">El DCF pesa la mitad porque recoge la normalización del ciclo año a año (19,90 EUR); los escenarios, un 20 % (20,05 EUR); los comparables, un 15 % (17,81 EUR, con PER de 7,1-9,8 veces de las integradas europeas); y la suma de partes, un 15 % (13,48 EUR), con Namibia a 1.500 M como opción con riesgo. No se usan transacciones. La dispersión es de 13,5 a 20 EUR, toda por debajo del precio; solo el DCF con la prima del mercado (24,06 EUR) lo supera, porque con una prima de riesgo del 4,2 % el coste de capital baja. El consenso de 23,83 EUR [20] queda fuera de nuestro rango central.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(10.7x) a mitad de camino hacia abajo, hacia la mediana de 5 años (10.3x)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bl>
    <w:p>
      <w:pPr>
        <w:spacing w:after="160" w:before="0"/>
      </w:pPr>
    </w:p>
    <w:p>
      <w:pPr>
        <w:spacing w:after="100"/>
      </w:pPr>
      <w:r>
        <w:rPr>
          <w:b/>
          <w:bCs/>
        </w:rPr>
        <w:t xml:space="preserve">Objetivo a 12 meses (ponderado):</w:t>
      </w:r>
      <w:r>
        <w:t xml:space="preserve"> 19,76 EUR · rentabilidad -10,0 % (base -12,3 %) · señal Mantener.</w:t>
      </w:r>
    </w:p>
    <w:p>
      <w:pPr>
        <w:spacing w:after="100"/>
      </w:pPr>
      <w:r>
        <w:t xml:space="preserve">Para comparar, con la regla v2 (historia al cierre, mismo precio): 9,4x / 10,7x / 13,9x, -4,3 %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 (1,83 EUR) está un 2 % por encima del consenso (1,79 EUR) y el de 2027 (2,12 EUR) un 3 % [15]: coincidimos en los beneficios. La distancia está en el múltiplo: los analistas llegan a 23,83 EUR de media (rango 18,40-28,00) [20] porque valoran la empresa por suma de partes con Namibia y con EV/EBITDA de un año de pico, mientras que la regla común aplica a 2028 un PER de 10,5 veces, el de su historia. Es decir, el consenso paga hoy el beneficio de 2026-2027; nosotros, el de 2028 normalizado.</w:t>
      </w:r>
    </w:p>
    <w:p>
      <w:pPr>
        <w:keepNext/>
        <w:spacing w:after="100"/>
      </w:pPr>
      <w:r>
        <w:rPr>
          <w:b/>
          <w:bCs/>
        </w:rPr>
        <w:t xml:space="preserve">Del valor intrínseco al objetivo a 12 meses.</w:t>
      </w:r>
    </w:p>
    <w:p>
      <w:pPr>
        <w:spacing w:after="100"/>
      </w:pPr>
      <w:r>
        <w:t xml:space="preserve">El objetivo a 12 meses (19,76 EUR ponderado) y el valor intrínseco (18,65 EUR) están cerca: los dos dicen que el precio de 22,65 EUR descuenta un Brent alto durante más tiempo del que marca la curva de futuros (85,6 USD para dic-27 y 77,6 USD para dic-28) [14]. Para que el precio se sostenga hace falta que el conflicto dure (alcista: 28,67 EUR) o que Mopane demuestre recursos comerciales en la campaña que empieza en el 4T26.</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con margen de refino de 33,8 USD/bep; posible subida de la guía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campaña de exploración y evaluación de Mopane con TotalEnergies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pozo; un resultado comercial subiría el valor de Namibia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del acuerdo con Moeve (refino y comercial)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Galp con más del 20 % de la sociedad industrial y control conjunto de la comercial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250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Apoyo al precio hasta esa fecha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paz o reapertura de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Brent y del margen de refino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marco tras la operación con Moeve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conflicto y caída del Brent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 11,23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producción de 3,2 USD/bep y balance con deuda baja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Futuros dic-27 por debajo de 75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margen de refino (fletes, nueva capacidad en Asia)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5 USD/bep menos en 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refino del 4T26 por debajo de 20 USD/bep</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impuesto a la exportación de crudo en Brasil y CESE en Portugal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Provisional y negociado con el sector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impuesto en permanente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o retraso en Mopane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(1.500 M de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TotalEnergies paga el 50 % de la inversión de Galp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primer pozo de evaluación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Condiciones de la operación con Moeve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Galp conserva upstream, renovables y trading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Términos de la firma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Declive de los campos maduros (Tupi) tras el pico de Bacalhau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Pozos de relleno en Tupi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por debajo de 125 kboepd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Accionista de control y gobierno con dos consejeros delegados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acción, un voto; consejero independiente coordinador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uno de los co-CEO</w:t>
            </w:r>
          </w:p>
        </w:tc>
      </w:tr>
    </w:tbl>
    <w:p>
      <w:pPr>
        <w:spacing w:after="160" w:before="0"/>
      </w:pPr>
    </w:p>
    <w:p>
      <w:pPr>
        <w:pStyle w:val="Heading2"/>
      </w:pPr>
      <w:r>
        <w:t xml:space="preserve">Pre-mortem</w:t>
      </w:r>
    </w:p>
    <w:p>
      <w:pPr>
        <w:spacing w:after="100"/>
      </w:pPr>
      <w:r>
        <w:t xml:space="preserve">Es octubre de 2029 y Galp vale un 40 % menos. En la primavera de 2027 se firmó un alto el fuego que reabrió Ormuz; el Brent cayó a 65 USD en seis meses y los márgenes de refino europeos volvieron a 5 USD/bep cuando los flujos de destilados de Oriente Medio se normalizaron. El beneficio RCA de 2027 se quedó en la mitad del de 2026 y el mercado dejó de pagar 10 veces un beneficio que bajaba. La operación con Moeve se firmó a finales de 2026 con una valoración de Sines de mitad de ciclo, y el primer pozo de evaluación de Mopane encontró menos crudo del esperado, lo que retrasó la decisión de inversión a 2029. Brasil hizo permanente el impuesto a la exportación de crudo. La señal que lo habría anticipado: la curva de futuros del Brent, que ya en octubre de 2026 marcaba 77,6 USD para dic-28, y la propia guía de Galp, que suponía un margen de 10 USD/bep para el segundo semestre.</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+2 %</w:t>
      </w:r>
    </w:p>
    <w:p>
      <w:pPr>
        <w:spacing w:after="100"/>
      </w:pPr>
      <w:r>
        <w:t xml:space="preserve">La IA no sustituye ningún producto de Galp: vende crudo, combustibles, gas y electricidad. Puede mejorar los costes (optimización de la refinería y del trading, mantenimiento predictivo en los FPSO), donde la empresa ya tiene un área de tecnología y datos en la comisión ejecutiva [2]. El efecto indirecto es positivo: la demanda eléctrica de los centros de datos en la Península sostiene los precios de la electricidad y del gas que Galp vende y produce (2,7 GW renovables, 64 TWh de gas negociados en 2025) [2, 7]. Señal a vigilar: contratos de suministro con centros de datos en la Península. Riesgo de IA: bajo.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Las emisiones del refino (Sines) y su coste de CO2 pesan en el margen; Galp invierte en HVO/SAF y 100 MW de hidrógeno verde en Sines para reducirlas [2]. La seguridad de las operaciones offshore y del refino es material (indicador de eventos de proceso de nivel 1 en el informe) [2]. Solo el 0,6 % de las ventas de 2025 se alinea con la taxonomía europea [2].</w:t>
      </w:r>
    </w:p>
    <w:p>
      <w:pPr>
        <w:pStyle w:val="Heading2"/>
      </w:pPr>
      <w:r>
        <w:t xml:space="preserve">Controversias</w:t>
      </w:r>
    </w:p>
    <w:p>
      <w:pPr>
        <w:spacing w:after="100"/>
      </w:pPr>
      <w:r>
        <w:t xml:space="preserve">En enero de 2025 dimitió el consejero delegado tras una investigación interna por una relación personal no comunicada; la empresa pasó a dos consejeros delegados. No se han encontrado sanciones relevantes en los últimos tres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Moeve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se valora Sines en la sociedad industrial y cómo se reparte la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 el valor del refino justo en el pico de márgenes.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Namibia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recursos recuperables estima Galp en Mopane y cuándo se tomaría la decisión de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asignan varios euros por acción; nosotros, unos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margen de refino de 2027 está ya cubierta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Limita la captura del pico y el riesgo de la normalización.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restó el impuesto provisional a la exportación de crudo en 2026 y cuándo vence?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al BPA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perfil de producción después de 2028 sin Namibia?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crecimiento terminal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 el reparto de un tercio del flujo de gestión con la caja extraordinaria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dividendo extraordinario o recompra mayor.</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29 (10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43,9 %: explica la causa (créditos fiscales, regularizaciones, mezcla de países) y no lo proyectes en el DCF. Explicación: Correcto: la participación especial (SPT) de Brasil, la contribución extraordinaria portuguesa (CESE) y el resultado de derivados elevan el tipo; el DCF usa el 44 % del RCA de 2025 y del 1S26 [2,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47,6 %: explica la causa (créditos fiscales, regularizaciones, mezcla de países) y no lo proyectes en el DCF. Explicación: Correcto: SPT de Brasil y CESE; el tipo RCA fue del 49 %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37,1 %: explica la causa (créditos fiscales, regularizaciones, mezcla de países) y no lo proyectes en el DCF. Explicación: Correcto: el BAI IFRS incluye plusvalías de Mozambique con poca carga fiscal; el tipo RCA fue del 44 % y es el que se proyecta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4,7 % frente a un ROIC de 18,6 %: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8,0 % real: genera una variación de circulante de 473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gráfico de vencimientos del informe del 1S26 (imagen sin texto); 2) nota 14 de las cuentas de 2025; 3) presentación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2) informe del 1S26; 3) no buscado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 2025 (por actividad, no por país); 2) informe de gestión 2025; 3) informe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2025 (sin serie de mercado); 2) indicadores de mercado del 1S26 (solo semestral); 3) APETRO y CORES no consultados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2025; 2) web de sostenibilidad de Galp; 3) no buscado en MSCI y Sustainalytics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votos de remuneración y remuneración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2025, parte I (el consejo va en imagen); 2) parte II, informe de gobierno, no descargado; 3) web de inversores (sin actas en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Galp, comunicaciones de directivos; 2) CMVM, no consultada; 3) prensa sin operaciones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Galp (Mozambique y Mopane sin múltiplo publicado); 2) prensa de la permuta con TotalEnergies (sin pago en caja); 3) operaciones del sector en Europa (Repsol upstream, Moeve) sin EV/EBITDA publicado en las fuentes leídas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CMVM, no consultada; 2) Stock Analysis no cubre Lisboa;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foros portugueses (sin hilos de los últimos tres meses); 2) API de Stocktwits para GLPEF (0 mensajes); 3) RSS de Seeking Alpha GLPEF (solo noticias y un artículo de opinión de marzo de 2026, «Take Profits While You 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and Individual Financial Statements 2025 (cuenta, balance, flujos, segmentos,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https://www.galp.com/corp/Portals/0/Recursos/Investidores/IMR2025/ConsolidatedandIndividualFinancialStatements.pdf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Integrated Management Report 2025 (resultados RCA por segmento, conciliación IFRS-RCA, gobierno,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https://www.galp.com/corp/Portals/0/Recursos/Investidores/IMR2025/IntegratedManagementReport.pdf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Management Report and Accounts, First Half 2026 (2T26 y 1S26, guía 2026 revisada, balance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https://www.galp.com/corp/Portals/0/Recursos/Inv%202Q26/2Q26%20Report.pdf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Management Report, First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https://www.galp.com/corp/Portals/0/Recursos/Inv%201Q26/1Q26%20Report.pdf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4th Quarter and Full Year 2024 Results (cuentas 2023-2024, RCA e IFRS)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https://www.galp.com/corp/Portals/0/Recursos/Inv_4Q24/Galp_4Q24.pdf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4th Quarter and Full Year 2022 Results (cuentas 2021-2022, RCA e IFRS)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https://www.galp.com/corp/Portals/0/Recursos/Investidores/4Q_Results_2022/Galp_4Q22.pdf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3Q26 Trading Update (producción 131 kboepd, margen de refino 33,8 USD/bep, Brent 97 USD; resultados el 26-oct)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https://www.galp.com/corp/Portals/0/Recursos/Inv_3Q26/Trading%20Update_3Q26.pdf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ESEF 2020-2024 de Galp Energia (XBRL, LEI 2138003319Y7NM75FG53)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https://filings.xbrl.org/api/filings?filter[entity.identifier]=2138003319Y7NM75FG53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4Q25 Results Presentation and Transcript (guía 2026, producción 111 kboepd en 2025, Namibia, Moeve)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https://www.galp.com/corp/Portals/0/Recursos/Inv_4Q25/Galp%204Q25%20Results%20Presentation%20and%20Transcript.pdf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Middle East fuel shock delivers record refining margins for Galp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Baird Maritime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https://www.bairdmaritime.com/offshore/refining-processing/middle-east-fuel-shock-delivers-record-refining-margins-for-galp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Galp to launch exploration, appraisal campaign for development of Namibia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Engineering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https://www.engineeringnews.co.za/article/totalenergies-galp-to-launch-exploration-appraisal-campaign-for-development-of-namibia-discovery-2025-12-09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Moeve and Galp negotiating to combine downstream activities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Hydrocarbon Processing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https://hydrocarbonprocessing.com/news/2026/01/moeve-and-galp-negotiating-to-combine-downstream-activities-to-form-leading-european-energy-and-mobility-platforms/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Moeve sees Galp downstream merger deal in second half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Ship &amp; Bunker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https://shipandbunker.com/news/emea/815117-moeve-sees-galp-downstream-merger-deal-in-second-half-of-2026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del Brent (BZ=F, BZZ26, BZZ27, BZZ28), cierres del 14 y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https://finance.yahoo.com/quote/BZ=F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SGPS: previsiones de MarketScreener (EBITDA, BPA, dividendo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https://www.marketscreener.com/quote/stock/GALP-ENERGIA-SGPS-S-A-35373/finances/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OMV, Eni, TotalEnergies y Equinor: datos financieros 2025 de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https://www.marketscreener.com/quote/stock/REPSOL-S-A-75044/finances/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Shareholding structure (Amorim Energia 35,76 %, Parpública 8,03 % de los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SGPS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https://galp.com/corp/en/investors/information-to-shareholders/shareholding-structure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Amorim Group pressures State to sell share in Galp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Essential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https://www.essential-business.pt/2024/11/27/amorim-group-pressures-state-to-sell-share-in-galp/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GALP.LS, EXSA.DE y EXH1.DE (precio, rentabilidades,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https://finance.yahoo.com/quote/GALP.LS/history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consenso de analistas (18, Outperform, objetivo medio 23,83 EUR, rango 18,40-28,00)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https://www.marketscreener.com/quote/stock/GALP-ENERGIA-SGPS-S-A-35373/consensus/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15-oct-2026: 3,42 %)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previsiones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https://www.marketscreener.com/quote/stock/TOTALENERGIES-SE-4717/finances/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previsiones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https://www.marketscreener.com/quote/stock/EQUINOR-ASA-1413290/finances/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previsiones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https://www.marketscreener.com/quote/stock/ENI-S-P-A-12391/finances/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OMV: previsiones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https://www.marketscreener.com/quote/stock/OMV-AG-6492022/finances/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to partner with Galp Energia on Mopane discovery in Namibia (caída de la acción del 11,8 %)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(Dow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https://uk.marketscreener.com/news/totalenergies-to-partner-with-galp-energia-on-mopane-discovery-in-namibia-ce7d51d2de80f625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teve prejuízos de 42 milhões em 2020 (RCA 2019: 560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Diário de Notícias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https://www.dn.pt/arquivo/diario-de-noticias/galp-teve-prejuizos-de-42-milhoes-em-2020-13377213.html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targets Moeve deal signing by end of July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https://econews.pt/2026/04/27/galp-targets-moeve-deal-signing-by-end-of-july/</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79,7 %</w:t>
      </w:r>
      <w:r>
        <w:t xml:space="preserve"> · Secciones con menos del 60 % de campos cubiertos: </w:t>
      </w:r>
      <w:r>
        <w:rPr>
          <w:b/>
          <w:bCs/>
        </w:rPr>
        <w:t xml:space="preserve">gobierno, transacciones, sentimiento</w:t>
      </w:r>
      <w:r>
        <w:t xml:space="preserve"> · Generado el 15 oct 2026.</w:t>
      </w:r>
    </w:p>
    <w:p>
      <w:pPr>
        <w:pStyle w:val="Nota"/>
        <w:spacing w:after="100"/>
      </w:pPr>
      <w:r>
        <w:t xml:space="preserve">Línea cotizada: Euronext Lisboa (GALP), EUR. Cuentas NIIF-UE con cierre en diciembre; 2021-2024 del XBRL ESEF y de los informes de resultados, 2025 de las cuentas consolidadas. El análisis usa el resultado a coste de reposición ajustado (RCA) de la empresa: el EBITDA del motor es el RCA (la diferencia con el IFRS va en «no recurrentes») y el BPA de la proyección y de la historia del PER es el RCA; el beneficio y el BPA de la cuenta son los IFRS publicados. Precio del cierre del 15-oct-2026 (la sesión de Lisboa había cerrado). Las cifras del 3T26 son el avance provisional del 12-oct; los resultados salen el 26-oct. El consenso viene de una sola fuente gratuita (MarketScreener). Los minoritarios del puente se valoran a valor económico estimado (1.800 M), no al contable (933 M). No se han leído el informe de gobierno (parte II) ni las actas de la junta.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Galp Energia, SGPS, S.A. (GALP)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22,65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(13,96 – 23,18)</c:v>
                </c:pt>
                <c:pt idx="1">
                  <c:v>Precio objetivo de los analistas (18,40 – 28,00)</c:v>
                </c:pt>
                <c:pt idx="2">
                  <c:v>Comparables: EV/EBITDA NTM (14,86 – 19,02)</c:v>
                </c:pt>
                <c:pt idx="3">
                  <c:v>Comparables: PER NTM (17,14 – 20,31)</c:v>
                </c:pt>
                <c:pt idx="4">
                  <c:v>DCF (WACC y g ± 0,5) (17,25 – 23,36)</c:v>
                </c:pt>
                <c:pt idx="5">
                  <c:v>Escenarios (bajista – alcista) (11,23 – 29,16)</c:v>
                </c:pt>
                <c:pt idx="6">
                  <c:v>Suma de partes (10,48 – 16,49)</c:v>
                </c:pt>
                <c:pt idx="7">
                  <c:v>DCF con la prima implícita del mercado (4,2 %)</c:v>
                </c:pt>
                <c:pt idx="8">
                  <c:v>Precio actual (22,65)</c:v>
                </c:pt>
              </c:strCache>
            </c:strRef>
          </c:cat>
          <c:val>
            <c:numRef>
              <c:f>Hoja1!$B$2:$B$10</c:f>
              <c:numCache>
                <c:formatCode>#,##0.0</c:formatCode>
                <c:ptCount val="9"/>
                <c:pt idx="0">
                  <c:v>13.96</c:v>
                </c:pt>
                <c:pt idx="1">
                  <c:v>18.4</c:v>
                </c:pt>
                <c:pt idx="2">
                  <c:v>14.86</c:v>
                </c:pt>
                <c:pt idx="3">
                  <c:v>17.14</c:v>
                </c:pt>
                <c:pt idx="4">
                  <c:v>17.25</c:v>
                </c:pt>
                <c:pt idx="5">
                  <c:v>11.23</c:v>
                </c:pt>
                <c:pt idx="6">
                  <c:v>10.48</c:v>
                </c:pt>
                <c:pt idx="7">
                  <c:v>21.81</c:v>
                </c:pt>
                <c:pt idx="8">
                  <c:v>22.54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(13,96 – 23,18)</c:v>
                </c:pt>
                <c:pt idx="1">
                  <c:v>Precio objetivo de los analistas (18,40 – 28,00)</c:v>
                </c:pt>
                <c:pt idx="2">
                  <c:v>Comparables: EV/EBITDA NTM (14,86 – 19,02)</c:v>
                </c:pt>
                <c:pt idx="3">
                  <c:v>Comparables: PER NTM (17,14 – 20,31)</c:v>
                </c:pt>
                <c:pt idx="4">
                  <c:v>DCF (WACC y g ± 0,5) (17,25 – 23,36)</c:v>
                </c:pt>
                <c:pt idx="5">
                  <c:v>Escenarios (bajista – alcista) (11,23 – 29,16)</c:v>
                </c:pt>
                <c:pt idx="6">
                  <c:v>Suma de partes (10,48 – 16,49)</c:v>
                </c:pt>
                <c:pt idx="7">
                  <c:v>DCF con la prima implícita del mercado (4,2 %)</c:v>
                </c:pt>
                <c:pt idx="8">
                  <c:v>Precio actual (22,65)</c:v>
                </c:pt>
              </c:strCache>
            </c:strRef>
          </c:cat>
          <c:val>
            <c:numRef>
              <c:f>Hoja1!$C$2:$C$10</c:f>
              <c:numCache>
                <c:formatCode>#,##0.0</c:formatCode>
                <c:ptCount val="9"/>
                <c:pt idx="0">
                  <c:v>9.219999999999999</c:v>
                </c:pt>
                <c:pt idx="1">
                  <c:v>9.600000000000001</c:v>
                </c:pt>
                <c:pt idx="2">
                  <c:v>4.16</c:v>
                </c:pt>
                <c:pt idx="3">
                  <c:v>3.169999999999998</c:v>
                </c:pt>
                <c:pt idx="4">
                  <c:v>6.109999999999999</c:v>
                </c:pt>
                <c:pt idx="5">
                  <c:v>17.93</c:v>
                </c:pt>
                <c:pt idx="6">
                  <c:v>6.009999999999998</c:v>
                </c:pt>
                <c:pt idx="7">
                  <c:v>4.890000000000001</c:v>
                </c:pt>
                <c:pt idx="8">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Upstream (Brasil, Namibia)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3562</c:v>
                </c:pt>
                <c:pt idx="1">
                  <c:v>2639</c:v>
                </c:pt>
              </c:numCache>
            </c:numRef>
          </c:val>
        </c:ser>
        <c:ser>
          <c:idx val="1"/>
          <c:order val="1"/>
          <c:tx>
            <c:strRef>
              <c:f>Hoja1!$C$1</c:f>
              <c:strCache>
                <c:ptCount val="1"/>
                <c:pt idx="0">
                  <c:v>Industrial y midstream</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9320</c:v>
                </c:pt>
                <c:pt idx="1">
                  <c:v>7446</c:v>
                </c:pt>
              </c:numCache>
            </c:numRef>
          </c:val>
        </c:ser>
        <c:ser>
          <c:idx val="2"/>
          <c:order val="2"/>
          <c:tx>
            <c:strRef>
              <c:f>Hoja1!$D$1</c:f>
              <c:strCache>
                <c:ptCount val="1"/>
                <c:pt idx="0">
                  <c:v>Comercial</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10152</c:v>
                </c:pt>
                <c:pt idx="1">
                  <c:v>10312</c:v>
                </c:pt>
              </c:numCache>
            </c:numRef>
          </c:val>
        </c:ser>
        <c:ser>
          <c:idx val="3"/>
          <c:order val="3"/>
          <c:tx>
            <c:strRef>
              <c:f>Hoja1!$E$1</c:f>
              <c:strCache>
                <c:ptCount val="1"/>
                <c:pt idx="0">
                  <c:v>Renovables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92</c:v>
                </c:pt>
                <c:pt idx="1">
                  <c:v>90</c:v>
                </c:pt>
              </c:numCache>
            </c:numRef>
          </c:val>
        </c:ser>
        <c:ser>
          <c:idx val="4"/>
          <c:order val="4"/>
          <c:tx>
            <c:strRef>
              <c:f>Hoja1!$F$1</c:f>
              <c:strCache>
                <c:ptCount val="1"/>
                <c:pt idx="0">
                  <c:v>Otros y eliminaciones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-1815</c:v>
                </c:pt>
                <c:pt idx="1">
                  <c:v>-981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Upstream (Brasil, Namibia)</c:v>
                </c:pt>
                <c:pt idx="1">
                  <c:v>Industrial y midstream</c:v>
                </c:pt>
                <c:pt idx="2">
                  <c:v>Comercial</c:v>
                </c:pt>
                <c:pt idx="3">
                  <c:v>Renovables</c:v>
                </c:pt>
                <c:pt idx="4">
                  <c:v>Otros y eliminaciones</c:v>
                </c:pt>
              </c:strCache>
            </c:strRef>
          </c:cat>
          <c:val>
            <c:numRef>
              <c:f>Hoja1!$B$2:$B$6</c:f>
              <c:numCache>
                <c:formatCode>General</c:formatCode>
                <c:ptCount val="5"/>
                <c:pt idx="0">
                  <c:v>13.5</c:v>
                </c:pt>
                <c:pt idx="1">
                  <c:v>38.2</c:v>
                </c:pt>
                <c:pt idx="2">
                  <c:v>52.9</c:v>
                </c:pt>
                <c:pt idx="3">
                  <c:v>0.5</c:v>
                </c:pt>
                <c:pt idx="4">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Galp</c:v>
                </c:pt>
                <c:pt idx="1">
                  <c:v>Repsol</c:v>
                </c:pt>
                <c:pt idx="2">
                  <c:v>Moeve (antes Cepsa)</c:v>
                </c:pt>
                <c:pt idx="3">
                  <c:v>OMV</c:v>
                </c:pt>
                <c:pt idx="4">
                  <c:v>Eni</c:v>
                </c:pt>
                <c:pt idx="5">
                  <c:v>TotalEnergies</c:v>
                </c:pt>
              </c:strCache>
            </c:strRef>
          </c:cat>
          <c:val>
            <c:numRef>
              <c:f>Hoja1!$B$2:$B$7</c:f>
              <c:numCache>
                <c:formatCode>0.0"%"</c:formatCode>
                <c:ptCount val="6"/>
                <c:pt idx="0">
                  <c:v>12.1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16117</c:v>
                </c:pt>
                <c:pt idx="1">
                  <c:v>26840</c:v>
                </c:pt>
                <c:pt idx="2">
                  <c:v>20769</c:v>
                </c:pt>
                <c:pt idx="3">
                  <c:v>21311</c:v>
                </c:pt>
                <c:pt idx="4">
                  <c:v>19507</c:v>
                </c:pt>
                <c:pt idx="5">
                  <c:v>25398</c:v>
                </c:pt>
                <c:pt idx="6">
                  <c:v>22858</c:v>
                </c:pt>
                <c:pt idx="7">
                  <c:v>20572</c:v>
                </c:pt>
                <c:pt idx="8">
                  <c:v>20778</c:v>
                </c:pt>
                <c:pt idx="9">
                  <c:v>21090</c:v>
                </c:pt>
                <c:pt idx="10">
                  <c:v>21406</c:v>
                </c:pt>
                <c:pt idx="11">
                  <c:v>21727</c:v>
                </c:pt>
                <c:pt idx="12">
                  <c:v>22053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2322</c:v>
                </c:pt>
                <c:pt idx="1">
                  <c:v>3849</c:v>
                </c:pt>
                <c:pt idx="2">
                  <c:v>3558</c:v>
                </c:pt>
                <c:pt idx="3">
                  <c:v>3297</c:v>
                </c:pt>
                <c:pt idx="4">
                  <c:v>3039</c:v>
                </c:pt>
                <c:pt idx="5">
                  <c:v>4800</c:v>
                </c:pt>
                <c:pt idx="6">
                  <c:v>4114</c:v>
                </c:pt>
                <c:pt idx="7">
                  <c:v>3600</c:v>
                </c:pt>
                <c:pt idx="8">
                  <c:v>3532</c:v>
                </c:pt>
                <c:pt idx="9">
                  <c:v>3480</c:v>
                </c:pt>
                <c:pt idx="10">
                  <c:v>3532</c:v>
                </c:pt>
                <c:pt idx="11">
                  <c:v>3585</c:v>
                </c:pt>
                <c:pt idx="12">
                  <c:v>3639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27.1</c:v>
                </c:pt>
                <c:pt idx="1">
                  <c:v>22.1</c:v>
                </c:pt>
                <c:pt idx="2">
                  <c:v>29.8</c:v>
                </c:pt>
                <c:pt idx="3">
                  <c:v>27.1</c:v>
                </c:pt>
                <c:pt idx="4">
                  <c:v>26.7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14.4</c:v>
                </c:pt>
                <c:pt idx="1">
                  <c:v>14.3</c:v>
                </c:pt>
                <c:pt idx="2">
                  <c:v>17.1</c:v>
                </c:pt>
                <c:pt idx="3">
                  <c:v>15.5</c:v>
                </c:pt>
                <c:pt idx="4">
                  <c:v>15.6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c:v>
                </c:pt>
                <c:pt idx="1">
                  <c:v>8.7</c:v>
                </c:pt>
                <c:pt idx="2">
                  <c:v>11.9</c:v>
                </c:pt>
                <c:pt idx="3">
                  <c:v>11</c:v>
                </c:pt>
                <c:pt idx="4">
                  <c:v>12.1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0</c:v>
                </c:pt>
                <c:pt idx="1">
                  <c:v>5.5</c:v>
                </c:pt>
                <c:pt idx="2">
                  <c:v>6</c:v>
                </c:pt>
                <c:pt idx="3">
                  <c:v>4.9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-6</c:v>
                </c:pt>
                <c:pt idx="6">
                  <c:v>4.7</c:v>
                </c:pt>
                <c:pt idx="7">
                  <c:v>35.2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28</c:v>
                </c:pt>
                <c:pt idx="1">
                  <c:v>20</c:v>
                </c:pt>
                <c:pt idx="2">
                  <c:v>25</c:v>
                </c:pt>
                <c:pt idx="3">
                  <c:v>21</c:v>
                </c:pt>
                <c:pt idx="4">
                  <c:v>25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c:v>
                </c:pt>
                <c:pt idx="1">
                  <c:v>22</c:v>
                </c:pt>
                <c:pt idx="2">
                  <c:v>31</c:v>
                </c:pt>
                <c:pt idx="3">
                  <c:v>22</c:v>
                </c:pt>
                <c:pt idx="4">
                  <c:v>24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c:v>
                </c:pt>
                <c:pt idx="1">
                  <c:v>16</c:v>
                </c:pt>
                <c:pt idx="2">
                  <c:v>27</c:v>
                </c:pt>
                <c:pt idx="3">
                  <c:v>19</c:v>
                </c:pt>
                <c:pt idx="4">
                  <c:v>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275</c:v>
                </c:pt>
                <c:pt idx="1">
                  <c:v>1549</c:v>
                </c:pt>
                <c:pt idx="2">
                  <c:v>1244</c:v>
                </c:pt>
                <c:pt idx="3">
                  <c:v>720</c:v>
                </c:pt>
                <c:pt idx="4">
                  <c:v>67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c:v>
                </c:pt>
                <c:pt idx="1">
                  <c:v>1475</c:v>
                </c:pt>
                <c:pt idx="2">
                  <c:v>1242</c:v>
                </c:pt>
                <c:pt idx="3">
                  <c:v>1040</c:v>
                </c:pt>
                <c:pt idx="4">
                  <c:v>1120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10.3</c:v>
                </c:pt>
                <c:pt idx="1">
                  <c:v>18.2</c:v>
                </c:pt>
                <c:pt idx="2">
                  <c:v>17.9</c:v>
                </c:pt>
                <c:pt idx="3">
                  <c:v>16.7</c:v>
                </c:pt>
                <c:pt idx="4">
                  <c:v>18.6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0.1</c:v>
                </c:pt>
                <c:pt idx="1">
                  <c:v>40.9</c:v>
                </c:pt>
                <c:pt idx="2">
                  <c:v>29</c:v>
                </c:pt>
                <c:pt idx="3">
                  <c:v>22.9</c:v>
                </c:pt>
                <c:pt idx="4">
                  <c:v>24.6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1.52</c:v>
                </c:pt>
                <c:pt idx="1">
                  <c:v>0.74</c:v>
                </c:pt>
                <c:pt idx="2">
                  <c:v>0.9</c:v>
                </c:pt>
                <c:pt idx="3">
                  <c:v>0.8</c:v>
                </c:pt>
                <c:pt idx="4">
                  <c:v>0.84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56</c:v>
                </c:pt>
                <c:pt idx="4">
                  <c:v>54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498</c:v>
                </c:pt>
                <c:pt idx="1">
                  <c:v>420</c:v>
                </c:pt>
                <c:pt idx="2">
                  <c:v>422</c:v>
                </c:pt>
                <c:pt idx="3">
                  <c:v>419</c:v>
                </c:pt>
                <c:pt idx="4">
                  <c:v>480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150</c:v>
                </c:pt>
                <c:pt idx="2">
                  <c:v>500</c:v>
                </c:pt>
                <c:pt idx="3">
                  <c:v>351</c:v>
                </c:pt>
                <c:pt idx="4">
                  <c:v>250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Ejecutivo</c:v>
                </c:pt>
              </c:strCache>
            </c:strRef>
          </c:cat>
          <c:val>
            <c:numRef>
              <c:f>Hoja1!$B$2:$B$3</c:f>
              <c:numCache>
                <c:formatCode>0</c:formatCode>
                <c:ptCount val="2"/>
                <c:pt idx="0">
                  <c:v>1</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Amorim Energia (familia Amorim y Sonangol a través de Esperaza)</c:v>
                </c:pt>
                <c:pt idx="1">
                  <c:v>Parpública (Estado portugués)</c:v>
                </c:pt>
                <c:pt idx="2">
                  <c:v>Autocartera</c:v>
                </c:pt>
              </c:strCache>
            </c:strRef>
          </c:cat>
          <c:val>
            <c:numRef>
              <c:f>Hoja1!$B$2:$B$4</c:f>
              <c:numCache>
                <c:formatCode>0.0"%"</c:formatCode>
                <c:ptCount val="3"/>
                <c:pt idx="0">
                  <c:v>35.76</c:v>
                </c:pt>
                <c:pt idx="1">
                  <c:v>8.03</c:v>
                </c:pt>
                <c:pt idx="2">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36.7</c:v>
                </c:pt>
                <c:pt idx="1">
                  <c:v>11.9</c:v>
                </c:pt>
                <c:pt idx="2">
                  <c:v>-6.7</c:v>
                </c:pt>
                <c:pt idx="3">
                  <c:v>13.4</c:v>
                </c:pt>
                <c:pt idx="4">
                  <c:v>-39.1</c:v>
                </c:pt>
                <c:pt idx="5">
                  <c:v>3.8</c:v>
                </c:pt>
                <c:pt idx="6">
                  <c:v>55.4</c:v>
                </c:pt>
                <c:pt idx="7">
                  <c:v>10.8</c:v>
                </c:pt>
                <c:pt idx="8">
                  <c:v>19.8</c:v>
                </c:pt>
                <c:pt idx="9">
                  <c:v>-4.1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5</c:v>
                </c:pt>
                <c:pt idx="1">
                  <c:v>3.7</c:v>
                </c:pt>
                <c:pt idx="2">
                  <c:v>4.2</c:v>
                </c:pt>
                <c:pt idx="3">
                  <c:v>4.8</c:v>
                </c:pt>
                <c:pt idx="4">
                  <c:v>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4.5</c:v>
                </c:pt>
                <c:pt idx="1">
                  <c:v>4.5</c:v>
                </c:pt>
                <c:pt idx="2">
                  <c:v>4.5</c:v>
                </c:pt>
                <c:pt idx="3">
                  <c:v>4.5</c:v>
                </c:pt>
                <c:pt idx="4">
                  <c:v>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Galp</c:v>
                </c:pt>
                <c:pt idx="1">
                  <c:v>TotalEnergies</c:v>
                </c:pt>
                <c:pt idx="2">
                  <c:v>Repsol</c:v>
                </c:pt>
                <c:pt idx="3">
                  <c:v>Equinor</c:v>
                </c:pt>
                <c:pt idx="4">
                  <c:v>Eni</c:v>
                </c:pt>
                <c:pt idx="5">
                  <c:v>OMV</c:v>
                </c:pt>
              </c:strCache>
            </c:strRef>
          </c:cat>
          <c:val>
            <c:numRef>
              <c:f>Hoja1!$B$2:$B$7</c:f>
              <c:numCache>
                <c:formatCode>0.0"x"</c:formatCode>
                <c:ptCount val="6"/>
                <c:pt idx="0">
                  <c:v>4.9</c:v>
                </c:pt>
                <c:pt idx="1">
                  <c:v>4.3</c:v>
                </c:pt>
                <c:pt idx="2">
                  <c:v>4.1</c:v>
                </c:pt>
                <c:pt idx="3">
                  <c:v>2.6</c:v>
                </c:pt>
                <c:pt idx="4">
                  <c:v>4.5</c:v>
                </c:pt>
                <c:pt idx="5">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973</c:v>
                </c:pt>
                <c:pt idx="1">
                  <c:v>1544</c:v>
                </c:pt>
                <c:pt idx="2">
                  <c:v>1290</c:v>
                </c:pt>
                <c:pt idx="3">
                  <c:v>1176</c:v>
                </c:pt>
                <c:pt idx="4">
                  <c:v>1267</c:v>
                </c:pt>
                <c:pt idx="5">
                  <c:v>1371</c:v>
                </c:pt>
                <c:pt idx="6">
                  <c:v>1488</c:v>
                </c:pt>
                <c:pt idx="7">
                  <c:v>1554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7353</c:v>
                </c:pt>
                <c:pt idx="1">
                  <c:v>11740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22,65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11.23</c:v>
                </c:pt>
                <c:pt idx="1">
                  <c:v>19.9</c:v>
                </c:pt>
                <c:pt idx="2">
                  <c:v>29.16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22,65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(13,96 – 23,18)</c:v>
                </c:pt>
                <c:pt idx="1">
                  <c:v>Precio objetivo de los analistas (18,40 – 28,00)</c:v>
                </c:pt>
                <c:pt idx="2">
                  <c:v>Comparables: EV/EBITDA NTM (14,86 – 19,02)</c:v>
                </c:pt>
                <c:pt idx="3">
                  <c:v>Comparables: PER NTM (17,14 – 20,31)</c:v>
                </c:pt>
                <c:pt idx="4">
                  <c:v>DCF (WACC y g ± 0,5) (17,25 – 23,36)</c:v>
                </c:pt>
                <c:pt idx="5">
                  <c:v>Escenarios (bajista – alcista) (11,23 – 29,16)</c:v>
                </c:pt>
                <c:pt idx="6">
                  <c:v>Suma de partes (10,48 – 16,49)</c:v>
                </c:pt>
                <c:pt idx="7">
                  <c:v>DCF con la prima implícita del mercado (4,2 %)</c:v>
                </c:pt>
                <c:pt idx="8">
                  <c:v>Precio actual (22,65)</c:v>
                </c:pt>
              </c:strCache>
            </c:strRef>
          </c:cat>
          <c:val>
            <c:numRef>
              <c:f>Hoja1!$B$2:$B$10</c:f>
              <c:numCache>
                <c:formatCode>#,##0.0</c:formatCode>
                <c:ptCount val="9"/>
                <c:pt idx="0">
                  <c:v>13.96</c:v>
                </c:pt>
                <c:pt idx="1">
                  <c:v>18.4</c:v>
                </c:pt>
                <c:pt idx="2">
                  <c:v>14.86</c:v>
                </c:pt>
                <c:pt idx="3">
                  <c:v>17.14</c:v>
                </c:pt>
                <c:pt idx="4">
                  <c:v>17.25</c:v>
                </c:pt>
                <c:pt idx="5">
                  <c:v>11.23</c:v>
                </c:pt>
                <c:pt idx="6">
                  <c:v>10.48</c:v>
                </c:pt>
                <c:pt idx="7">
                  <c:v>21.81</c:v>
                </c:pt>
                <c:pt idx="8">
                  <c:v>22.54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(13,96 – 23,18)</c:v>
                </c:pt>
                <c:pt idx="1">
                  <c:v>Precio objetivo de los analistas (18,40 – 28,00)</c:v>
                </c:pt>
                <c:pt idx="2">
                  <c:v>Comparables: EV/EBITDA NTM (14,86 – 19,02)</c:v>
                </c:pt>
                <c:pt idx="3">
                  <c:v>Comparables: PER NTM (17,14 – 20,31)</c:v>
                </c:pt>
                <c:pt idx="4">
                  <c:v>DCF (WACC y g ± 0,5) (17,25 – 23,36)</c:v>
                </c:pt>
                <c:pt idx="5">
                  <c:v>Escenarios (bajista – alcista) (11,23 – 29,16)</c:v>
                </c:pt>
                <c:pt idx="6">
                  <c:v>Suma de partes (10,48 – 16,49)</c:v>
                </c:pt>
                <c:pt idx="7">
                  <c:v>DCF con la prima implícita del mercado (4,2 %)</c:v>
                </c:pt>
                <c:pt idx="8">
                  <c:v>Precio actual (22,65)</c:v>
                </c:pt>
              </c:strCache>
            </c:strRef>
          </c:cat>
          <c:val>
            <c:numRef>
              <c:f>Hoja1!$C$2:$C$10</c:f>
              <c:numCache>
                <c:formatCode>#,##0.0</c:formatCode>
                <c:ptCount val="9"/>
                <c:pt idx="0">
                  <c:v>9.219999999999999</c:v>
                </c:pt>
                <c:pt idx="1">
                  <c:v>9.600000000000001</c:v>
                </c:pt>
                <c:pt idx="2">
                  <c:v>4.16</c:v>
                </c:pt>
                <c:pt idx="3">
                  <c:v>3.169999999999998</c:v>
                </c:pt>
                <c:pt idx="4">
                  <c:v>6.109999999999999</c:v>
                </c:pt>
                <c:pt idx="5">
                  <c:v>17.93</c:v>
                </c:pt>
                <c:pt idx="6">
                  <c:v>6.009999999999998</c:v>
                </c:pt>
                <c:pt idx="7">
                  <c:v>4.890000000000001</c:v>
                </c:pt>
                <c:pt idx="8">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