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Genmab A/S</w:t>
      </w:r>
    </w:p>
    <w:p>
      <w:pPr>
        <w:spacing w:after="60"/>
        <w:rPr>
          <w:color w:val="52514E"/>
          <w:sz w:val="22"/>
          <w:szCs w:val="22"/>
        </w:rPr>
      </w:pPr>
      <w:r>
        <w:rPr>
          <w:color w:val="52514E"/>
          <w:sz w:val="22"/>
          <w:szCs w:val="22"/>
        </w:rPr>
        <w:t xml:space="preserve">GMAB · Nasdaq Copenhague (también ADS en el Nasdaq de EE. UU., 10 ADS = 1 acción) · ISIN DK0010272202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379,20 USD (2.529,01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448,86 USD (2.993,60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+18,4 % (base +18,8 %)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255,04 USD (1.700,95 DKK) · mercado 309,72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23.435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Genmab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GMAB / DK0010272202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 (también ADS en el Nasdaq de EE. UU., 10 ADS = 1 acción)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Valby (Copenhague)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https://www.genmab.com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379,20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226,71 – 390,30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23.435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27.420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259 M DKK/día (≈ 39 M USD; 3 meses, solo Copenhague)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448,86 USD (2.993,60 DKK)</w:t>
      </w:r>
      <w:r>
        <w:t xml:space="preserve"> frente a 379,20 (2.529,01 DKK) · Rentabilidad a 12 meses </w:t>
      </w:r>
      <w:r>
        <w:rPr>
          <w:b/>
          <w:bCs/>
        </w:rPr>
        <w:t xml:space="preserve">+18,4 % (base +18,8 %)</w:t>
      </w:r>
      <w:r>
        <w:t xml:space="preserve"> · Valor intrínseco 255,04 USD (1.700,95 DKK) · con la prima implícita del mercado: 309,72 (2.065,63 DKK) (-18,3 %) · Alcista / bajista -3,6 % / -59,9 %</w:t>
      </w:r>
    </w:p>
    <w:p>
      <w:pPr>
        <w:spacing w:after="100"/>
      </w:pPr>
      <w:r>
        <w:rPr>
          <w:b/>
        </w:rPr>
        <w:t xml:space="preserve">La recomendación y por qué.</w:t>
      </w:r>
      <w:r>
        <w:t xml:space="preserve"> Mantener con convicción baja. El objetivo a 12 meses es de 448,86 USD (2.993,60 DKK), con una rentabilidad ponderada del 18,4 % y del 18,8 % en el base, pero el valor intrínseco es de 255,04 USD (1.700,95 DKK), un 32,7 % por debajo del precio de 379,20 USD (2.529 DKK), y la regla no da Comprar con el valor intrínseco por debajo del precio. El objetivo medio de los analistas (395,19 USD; 2.635,67 DKK) queda entre las dos cifras [29]. La asimetría es de −0,06: ni el escenario alcista (365,46 USD) llega al precio. La convicción es baja porque las dos cifras se separan 76 puntos y el control v2 da solo un 7 %; subiría si las fases 3 de petosemtamab confirman los datos de fase 2 y bajaría con cualquier fracaso clínico.</w:t>
      </w:r>
    </w:p>
    <w:p>
      <w:pPr>
        <w:spacing w:after="100"/>
      </w:pPr>
      <w:r>
        <w:rPr>
          <w:b/>
        </w:rPr>
        <w:t xml:space="preserve">El negocio.</w:t>
      </w:r>
      <w:r>
        <w:t xml:space="preserve"> Genmab cobra regalías de DARZALEX (2.443 M USD en 2025, el 66 % de los ingresos) y Kesimpta casi sin coste, y con ellas financia una I+D de 1.606 M [2]. Las patentes de daratumumab caducan en 2029 en EE. UU. y en 2031 en Europa [1]. Para sustituirlas compró ProfoundBio (Rina-S) y Merus (petosemtamab) por ≈9.800 M, con 5.500 M de deuda [2]. El ROIC cae del 56,2 % de 2024 al 14,3 % en 2025, 4,6 puntos sobre el WACC (9,68 %). Sostenibilidad del crecimiento: </w:t>
      </w:r>
      <w:r>
        <w:rPr>
          <w:b/>
        </w:rPr>
        <w:t xml:space="preserve">En parte</w:t>
      </w:r>
      <w:r>
        <w:t xml:space="preserve">: la calidad demostrada (regalías) caduca y lo que la sustituye depende de ensayos abiertos.</w:t>
      </w:r>
    </w:p>
    <w:p>
      <w:pPr>
        <w:spacing w:after="100"/>
      </w:pPr>
      <w:r>
        <w:rPr>
          <w:b/>
        </w:rPr>
        <w:t xml:space="preserve">Finanzas.</w:t>
      </w:r>
      <w:r>
        <w:t xml:space="preserve"> Ingresos +25 % en el primer semestre de 2026 y guía subida a 4.325-4.525 M [3], pero el beneficio neto baja (356 M frente a 531 M) por los intereses. Deuda neta de ≈3.900 M a junio (≈3,1 veces el EBITDA LTM estimado) [3]. Cuentas limpias (Beneish −2,51); el riesgo contable es el posible deterioro de los 9.123 M de intangibles de Merus.</w:t>
      </w:r>
    </w:p>
    <w:p>
      <w:pPr>
        <w:spacing w:after="100"/>
      </w:pPr>
      <w:r>
        <w:rPr>
          <w:b/>
        </w:rPr>
        <w:t xml:space="preserve">Equipo y gobierno.</w:t>
      </w:r>
      <w:r>
        <w:t xml:space="preserve"> Fundador al mando desde 2010 con el 1,06 % del capital y guías cumplidas [1, 2]; sin accionista de control. Resta la remuneración: el consejo tuvo que retirar la suya en la junta de marzo y el consejero delegado cobró 10,7 M USD, sobre todo en acciones sin objetivos de rentabilidad publicados [2, 20].</w:t>
      </w:r>
    </w:p>
    <w:p>
      <w:pPr>
        <w:spacing w:after="100"/>
      </w:pPr>
      <w:r>
        <w:rPr>
          <w:b/>
        </w:rPr>
        <w:t xml:space="preserve">Valoración.</w:t>
      </w:r>
      <w:r>
        <w:t xml:space="preserve"> El DCF (262,23 USD) y los escenarios pesan un 90 % porque recogen la caducidad año a año; los comparables, un 10 %. El DCF inverso exige un crecimiento del 12,7 % anual hasta 2035 con un margen del 43,3 %, frente a nuestro 7,4 % y 33 %: el precio descuenta que Genmab duplica sus ventas tras perder DARZALEX y con márgenes de empresa de regalías. Con la prima del mercado el valor sube a 309,72 USD, aún un 18,3 % bajo el precio.</w:t>
      </w:r>
    </w:p>
    <w:p>
      <w:pPr>
        <w:spacing w:after="100"/>
      </w:pPr>
      <w:r>
        <w:rPr>
          <w:b/>
        </w:rPr>
        <w:t xml:space="preserve">Riesgos y catalizadores.</w:t>
      </w:r>
      <w:r>
        <w:t xml:space="preserve"> Los dos riesgos mayores son un fracaso de petosemtamab en fase 3 (deterioro y −20-30 % de valor) y una caída de DARZALEX antes de 2029 por la negociación de precios de Medicare. Catalizadores: resultados del 5-nov-2026, datos de fase 3 de Rina-S en ovario (2027) y de petosemtamab (2026-2027) y las presentaciones a la FDA de EPKINLY en primera línea [15]. El foro de particulares está eufórico tras DLBCL-2 [38]: buena parte de la noticia ya está en el precio (+36,9 % en tres meses).</w:t>
      </w:r>
    </w:p>
    <w:p>
      <w:pPr>
        <w:spacing w:after="100"/>
      </w:pPr>
      <w:r>
        <w:rPr>
          <w:b/>
        </w:rPr>
        <w:t xml:space="preserve">Qué cambiaría la decisión.</w:t>
      </w:r>
      <w:r>
        <w:t xml:space="preserve"> Compraríamos por debajo del valor intrínseco (255,04 USD; 1.700,95 DKK) si la calidad mejora; venderíamos por encima de 498,74 USD (3.326 DKK). Pasaríamos a Vender si una fase 3 de petosemtamab o Rina-S falla, y revisaríamos al alza si petosemtamab se aprueba en 2027 con ventas de lanzamiento por encima de lo previsto.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(la tesis de valor, a varios años, es negativa) · Objetivo a 12 meses: </w:t>
      </w:r>
      <w:r>
        <w:rPr>
          <w:b/>
          <w:bCs/>
        </w:rPr>
        <w:t xml:space="preserve">448,86 USD (2.993,60 DKK)</w:t>
      </w:r>
      <w:r>
        <w:t xml:space="preserve"> (rentabilidad +18,4 % (base +18,8 %)) · Valor intrínseco: 255,04 USD (1.700,95 DKK) (-32,7 % sobre 379,20) · con la prima implícita del mercado: 309,72 (2.065,63 DKK) (-18,3 %)</w:t>
      </w:r>
    </w:p>
    <w:p>
      <w:pPr>
        <w:spacing w:after="100"/>
      </w:pPr>
      <w:r>
        <w:t xml:space="preserve">Genmab es una de las biotecnológicas más rentables de Europa: inventó daratumumab, cuyas regalías (2.443 M USD en 2025, +21 %) y las de Kesimpta le dan un 83 % de los ingresos con margen casi total, y tiene plataformas de anticuerpos biespecíficos y ADC que ya han producido siete medicamentos aprobados [1, 2]. Con ese dinero está construyendo una farmacéutica propia: EPKINLY ya vende y ha logrado dos fases 3 positivas en 2026 [15, 16], y Rina-S y petosemtamab se lanzarían en 2027 [18].</w:t>
      </w:r>
    </w:p>
    <w:p>
      <w:pPr>
        <w:spacing w:after="100"/>
      </w:pPr>
      <w:r>
        <w:t xml:space="preserve">El precio (2.529 DKK, 23.435 M USD de capitalización) descuenta que esa transformación sale bien y deprisa: el DCF inverso pide un crecimiento del 12,7 % anual hasta 2035 con un margen del 43,3 %, cuando las patentes de daratumumab caducan en 2029 (EE. UU.) y 2031 (Europa) y se llevan el 66 % de los ingresos [1]. Cotiza a 23,5 veces el beneficio de los próximos 12 meses, el doble que los comparables (12,2), y por encima de Royalty Pharma y Halozyme [34, 35, 36].</w:t>
      </w:r>
    </w:p>
    <w:p>
      <w:pPr>
        <w:spacing w:after="100"/>
      </w:pPr>
      <w:r>
        <w:t xml:space="preserve">Para invertir hay que creer que dos productos aún no aprobados y EPKINLY (que reparte beneficio con AbbVie) sustituyen 2.900 M de regalías casi sin coste antes de 2031 y siguen creciendo. Puede pasar, y por eso el objetivo a 12 meses es positivo, pero no hay margen de seguridad: con nuestro caso base, que ya supone dos lanzamientos con éxito, el valor es un 32,7 % menor que 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448,86 USD (2.993,60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12,16 = 164,16 · 25,2x × 17,88 = 450,58 · 32,8x × 22,26 = 730,13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 / 18,8 %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395,19 (nuestro base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255,04 USD (1.700,95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(DKK al tipo de 0,1499 USD por DKK)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379,20 USD (2.529,01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 -59,9 %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9,7 %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309,72 USD (2.065,63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 frente a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(8,6 %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255,04 (1.700,95 DKK)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255,04 y 498,74 (1.700,95 y 3.326,26 DKK)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498,74 (3.326,26 DKK)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una fase 3 de petosemtamab o Rina-S no alcanza su objetivo principal, pasaríamos a Vender (escenario bajista: 152,05 USD).</w:t>
      </w:r>
    </w:p>
    <w:p>
      <w:pPr>
        <w:pStyle w:val="ListParagraph"/>
        <w:numPr>
          <w:ilvl w:val="0"/>
          <w:numId w:val="2"/>
        </w:numPr>
        <w:spacing w:after="60"/>
      </w:pPr>
      <w:r>
        <w:t xml:space="preserve">Si el precio baja de 255,04 USD (1.700,95 DKK) y el ROIC del año completo con Merus supera el WACC en 5 puntos, reconsideraríamos Comprar.</w:t>
      </w:r>
    </w:p>
    <w:p>
      <w:pPr>
        <w:pStyle w:val="ListParagraph"/>
        <w:numPr>
          <w:ilvl w:val="0"/>
          <w:numId w:val="2"/>
        </w:numPr>
        <w:spacing w:after="60"/>
      </w:pPr>
      <w:r>
        <w:t xml:space="preserve">Si el precio supera 498,74 USD (3.326 DKK), pasaríamos a Vender.</w:t>
      </w:r>
    </w:p>
    <w:p>
      <w:pPr>
        <w:pStyle w:val="ListParagraph"/>
        <w:numPr>
          <w:ilvl w:val="0"/>
          <w:numId w:val="2"/>
        </w:numPr>
        <w:spacing w:after="60"/>
      </w:pPr>
      <w:r>
        <w:t xml:space="preserve">Si las ventas de DARZALEX en EE. UU. caen dos trimestres seguidos antes de 2029 (negociación de Medicare), recortaríamos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Genmab supera la caducidad de DARZALEX sin bache: crecimiento del 12,7 % anual hasta 2035 y un margen del 43,3 %, gracias a EPKINLY en primera línea, Rina-S y petosemtamab. El consenso de BPA de 2028 (25,94 USD) y su objetivo medio (395 USD) lo reflejan [29].</w:t>
      </w:r>
    </w:p>
    <w:p>
      <w:pPr>
        <w:keepNext/>
        <w:spacing w:after="100"/>
      </w:pPr>
      <w:r>
        <w:rPr>
          <w:b/>
          <w:bCs/>
        </w:rPr>
        <w:t xml:space="preserve">Lo que creemos nosotros.</w:t>
      </w:r>
    </w:p>
    <w:p>
      <w:pPr>
        <w:spacing w:after="100"/>
      </w:pPr>
      <w:r>
        <w:t xml:space="preserve">Los lanzamientos pueden salir bien (nuestro base lo supone) y aun así la caída de 2029-2031 es inevitable: en 2029 los ingresos bajan un 13 % y el margen pasa del 35 % al 24 %. Con productos propios, que necesitan fuerza comercial y reparten beneficio, el margen de largo plazo es del 33 %, no del 43 %.</w:t>
      </w:r>
    </w:p>
    <w:p>
      <w:pPr>
        <w:keepNext/>
        <w:spacing w:after="100"/>
      </w:pPr>
      <w:r>
        <w:rPr>
          <w:b/>
          <w:bCs/>
        </w:rPr>
        <w:t xml:space="preserve">Por qué podemos tener razón.</w:t>
      </w:r>
    </w:p>
    <w:p>
      <w:pPr>
        <w:spacing w:after="100"/>
      </w:pPr>
      <w:r>
        <w:t xml:space="preserve">Porque perder regalías es perder ingresos con margen casi total, y ninguna farmacéutica comparable gana un 43 % vendiendo sus propios productos (Roche 29 %, Novartis 31 % de margen EBIT [14]). La historia de Genmab con márgenes del 35-41 % es la de una empresa de regalías, que deja de serlo en 2031.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79,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Regalías en pleno crecimiento hasta 2028</w:t>
      </w:r>
      <w:r>
        <w:t xml:space="preserve">: DARZALEX vendió 4.239 M USD en el 3T26 y la guía de 2026 ya subió a 4.425 M de ingresos [3, 7].</w:t>
      </w:r>
    </w:p>
    <w:p>
      <w:pPr>
        <w:pStyle w:val="ListParagraph"/>
        <w:numPr>
          <w:ilvl w:val="0"/>
          <w:numId w:val="2"/>
        </w:numPr>
        <w:spacing w:after="60"/>
      </w:pPr>
      <w:r>
        <w:rPr>
          <w:b/>
        </w:rPr>
        <w:t xml:space="preserve">Dos fases 3 positivas de EPKINLY en 2026</w:t>
      </w:r>
      <w:r>
        <w:t xml:space="preserve">: reducción del riesgo del 60 % en segunda línea y del 51 % en primera línea de linfoma difuso [15, 16].</w:t>
      </w:r>
    </w:p>
    <w:p>
      <w:pPr>
        <w:pStyle w:val="ListParagraph"/>
        <w:numPr>
          <w:ilvl w:val="0"/>
          <w:numId w:val="2"/>
        </w:numPr>
        <w:spacing w:after="60"/>
      </w:pPr>
      <w:r>
        <w:rPr>
          <w:b/>
        </w:rPr>
        <w:t xml:space="preserve">Cartera tardía con designaciones de terapia innovadora</w:t>
      </w:r>
      <w:r>
        <w:t xml:space="preserve">: Rina-S (cinco fases 3) y petosemtamab (dos fases 3) [3].</w:t>
      </w:r>
    </w:p>
    <w:p>
      <w:pPr>
        <w:pStyle w:val="ListParagraph"/>
        <w:numPr>
          <w:ilvl w:val="0"/>
          <w:numId w:val="2"/>
        </w:numPr>
        <w:spacing w:after="60"/>
      </w:pPr>
      <w:r>
        <w:rPr>
          <w:b/>
        </w:rPr>
        <w:t xml:space="preserve">Plataformas que generan regalías nuevas</w:t>
      </w:r>
      <w:r>
        <w:t xml:space="preserve">: TECVAYLI, TALVEY y RYBREVANT ya aportan 111 M en 2025 [2].</w:t>
      </w:r>
    </w:p>
    <w:p>
      <w:pPr>
        <w:pStyle w:val="ListParagraph"/>
        <w:numPr>
          <w:ilvl w:val="0"/>
          <w:numId w:val="2"/>
        </w:numPr>
        <w:spacing w:after="60"/>
      </w:pPr>
      <w:r>
        <w:rPr>
          <w:b/>
        </w:rPr>
        <w:t xml:space="preserve">Cuentas limpias y guías cumplidas</w:t>
      </w:r>
      <w:r>
        <w:t xml:space="preserve">: Beneish −2,51 y guía de 2025 dentro del rango [2].</w:t>
      </w:r>
    </w:p>
    <w:p>
      <w:pPr>
        <w:pStyle w:val="Heading2"/>
      </w:pPr>
      <w:r>
        <w:t xml:space="preserve">En contra</w:t>
      </w:r>
    </w:p>
    <w:p>
      <w:pPr>
        <w:pStyle w:val="ListParagraph"/>
        <w:numPr>
          <w:ilvl w:val="0"/>
          <w:numId w:val="2"/>
        </w:numPr>
        <w:spacing w:after="60"/>
      </w:pPr>
      <w:r>
        <w:rPr>
          <w:b/>
        </w:rPr>
        <w:t xml:space="preserve">Caducidad del 66 % de los ingresos</w:t>
      </w:r>
      <w:r>
        <w:t xml:space="preserve">: patentes de daratumumab en 2029 (EE. UU.) y 2031 (Europa) [1].</w:t>
      </w:r>
    </w:p>
    <w:p>
      <w:pPr>
        <w:pStyle w:val="ListParagraph"/>
        <w:numPr>
          <w:ilvl w:val="0"/>
          <w:numId w:val="2"/>
        </w:numPr>
        <w:spacing w:after="60"/>
      </w:pPr>
      <w:r>
        <w:rPr>
          <w:b/>
        </w:rPr>
        <w:t xml:space="preserve">Precio que exige un 12,7 % de crecimiento anual hasta 2035</w:t>
      </w:r>
      <w:r>
        <w:t xml:space="preserve"> con un margen del 43,3 %: valor intrínseco 32,7 % por debajo.</w:t>
      </w:r>
    </w:p>
    <w:p>
      <w:pPr>
        <w:pStyle w:val="ListParagraph"/>
        <w:numPr>
          <w:ilvl w:val="0"/>
          <w:numId w:val="2"/>
        </w:numPr>
        <w:spacing w:after="60"/>
      </w:pPr>
      <w:r>
        <w:rPr>
          <w:b/>
        </w:rPr>
        <w:t xml:space="preserve">Deuda de 5.375 M USD</w:t>
      </w:r>
      <w:r>
        <w:t xml:space="preserve"> por una compra cuyo activo principal sigue en fase 3 [3].</w:t>
      </w:r>
    </w:p>
    <w:p>
      <w:pPr>
        <w:pStyle w:val="ListParagraph"/>
        <w:numPr>
          <w:ilvl w:val="0"/>
          <w:numId w:val="2"/>
        </w:numPr>
        <w:spacing w:after="60"/>
      </w:pPr>
      <w:r>
        <w:rPr>
          <w:b/>
        </w:rPr>
        <w:t xml:space="preserve">ROIC del 14,3 % tras Merus</w:t>
      </w:r>
      <w:r>
        <w:t xml:space="preserve">, solo 4,6 puntos sobre el WACC, y bajando con el año completo de la compra.</w:t>
      </w:r>
    </w:p>
    <w:p>
      <w:pPr>
        <w:pStyle w:val="ListParagraph"/>
        <w:numPr>
          <w:ilvl w:val="0"/>
          <w:numId w:val="2"/>
        </w:numPr>
        <w:spacing w:after="60"/>
      </w:pPr>
      <w:r>
        <w:rPr>
          <w:b/>
        </w:rPr>
        <w:t xml:space="preserve">Ensayos fallidos recientes</w:t>
      </w:r>
      <w:r>
        <w:t xml:space="preserve">: DLBCL-1 sin supervivencia global y acasunlimab abandonado [3, 17].</w:t>
      </w:r>
    </w:p>
    <w:p>
      <w:pPr>
        <w:pStyle w:val="ListParagraph"/>
        <w:numPr>
          <w:ilvl w:val="0"/>
          <w:numId w:val="2"/>
        </w:numPr>
        <w:spacing w:after="60"/>
      </w:pPr>
      <w:r>
        <w:rPr>
          <w:b/>
        </w:rPr>
        <w:t xml:space="preserve">Remuneración discutida</w:t>
      </w:r>
      <w:r>
        <w:t xml:space="preserve">: el consejo retiró su propuesta en la junta de marzo de 2026 [20].</w:t>
      </w:r>
    </w:p>
    <w:p>
      <w:pPr>
        <w:pStyle w:val="Heading2"/>
      </w:pPr>
      <w:r>
        <w:t xml:space="preserve">Qué tiene que pasar para que la tesis funcione</w:t>
      </w:r>
    </w:p>
    <w:p>
      <w:pPr>
        <w:spacing w:after="100"/>
      </w:pPr>
      <w:r>
        <w:t xml:space="preserve">La tesis del mercado depende de que petosemtamab y Rina-S lleguen al mercado en 2027 y vendan lo bastante para cubrir la caída de las regalías de DARZALEX en 2029. Señales: los datos de fase 3 de petosemtamab en cabeza y cuello (LiGeR-HN1 y HN2) y de Rina-S en ovario resistente a platino (RAINFOL-02, reclutamiento cerrado en marzo de 2026) [3], y la evolución de las ventas de DARZALEX en EE. UU. (2.528 M en el 3T26) [7].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DARZALEX en EE. UU.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 M USD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de 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≈60 % de las regalías hasta 2029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mundiales de EPKINLY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M USD (2T26, +45 %)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interanual &lt;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primer producto propio y el que más pesa en la sustitución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Fase 3 de petosemtamab (LiGeR-HN1/HN2)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Reclutando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principal no alcanzado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los 9.123 M de intangibles de Merus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veces (jun-26, estimación)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covenants del préstamo A y el vencimiento de 2030 [2].</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23,5x / 17,3x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30,0x / 23,5x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Genmab nació en 1999 en Copenhague como empresa de anticuerpos humanos con la tecnología de ratones transgénicos de Medarex y salió a bolsa en Copenhague en 2000 [1]. Su gran acierto fue daratumumab, licenciado a J&amp;J en 2012, que se convirtió en DARZALEX, el tratamiento de referencia del mieloma múltiple; sus regalías financiaron todo lo demás [1]. La segunda fuente de valor son las plataformas (DuoBody para biespecíficos, HexaBody), que dieron TECVAYLI, TALVEY y RYBREVANT a J&amp;J y epcoritamab, su primer producto propio [1]. Cotiza también en el Nasdaq desde 2019. Desde 2023 vende sus propios medicamentos y en 2024-2025 compró ProfoundBio y Merus para sustituir las regalías de DARZALEX antes de que caduquen [3,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Copenhague; Jan van de Winkel, cofundador, es primer ejecutivo desde 2010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Copenhague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mundial de daratumumab a J&amp;J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DARZALEX en EE. UU. (primera venta)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en el Nasdaq (ADS)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AbbVie para epcoritamab; aprobación de Kesimpta (Novartis)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EPKINLY: primera venta propia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ProfoundBio (Rina-S) por ≈1.800 M USD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Merus (petosemtamab) por ≈8.000 M USD con 5.500 M de deuda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Fases 3 positivas de epcoritamab en segunda línea (DLBCL-4) y primera línea (DLBCL-2) de linfoma difuso; DLBCL-1 sin mejora de supervivencia [15, 16,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Genmab descubre y desarrolla anticuerpos contra el cáncer. Tiene dos negocios. El primero cobra regalías: J&amp;J vende DARZALEX (mieloma múltiple) y otros tres anticuerpos de su tecnología, Novartis vende Kesimpta (esclerosis múltiple) y Amgen TEPEZZA; Genmab cobra un porcentaje de cada venta sin gasto comercial [1, 3]. El segundo vende medicamentos propios: EPKINLY (epcoritamab, linfoma; con AbbVie) y Tivdak (cáncer de cuello de útero; con Pfizer), y prepara dos lanzamientos propios, Rina-S (ovario y endometrio) y petosemtamab (cabeza y cuello) [3]. Clientes: los socios farmacéuticos (regalías) y hospitales y distribuidores especializados en EE. UU. y Japón (ventas propias). Sede en Copenhague, con centros en Utrecht, Princeton y Tokio y 3.119 empleados [3].</w:t>
      </w:r>
    </w:p>
    <w:p>
      <w:pPr>
        <w:pStyle w:val="Heading2"/>
      </w:pPr>
      <w:r>
        <w:t xml:space="preserve">Cómo gana dinero</w:t>
      </w:r>
    </w:p>
    <w:p>
      <w:pPr>
        <w:spacing w:after="100"/>
      </w:pPr>
      <w:r>
        <w:t xml:space="preserve">El 83 % de los ingresos de 2025 fueron regalías [2]: casi todo margen, porque los costes de desarrollo y venta los paga el socio. Con ellas Genmab financia una I+D de 1.606 M USD (43 % de los ingresos) y una estructura comercial creciente [2]. Las ventas propias dejan menos margen: en EPKINLY reparte el beneficio con AbbVie (116 M pagados en el semestre por 242 M de ventas registradas) [3]. El apalancamiento operativo es alto: cada dólar más de regalías llega casi entero al beneficio, y cada dólar perdido sale entero. No hay estacionalidad relevante. Lo que hay es un plazo: las regalías de DARZALEX caen desde 2029 (patente de EE. UU.) y 2031 (Europa)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 DARZALEX</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 Kesimpta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regalías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propias y colaboración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Hitos y reembolsos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 DARZALEX</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 Kesimpta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regalías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propias y colaboración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Hitos y reembolsos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r>
    </w:tbl>
    <w:p>
      <w:pPr>
        <w:spacing w:after="160" w:before="0"/>
      </w:pPr>
    </w:p>
    <w:p>
      <w:pPr>
        <w:pStyle w:val="Heading2"/>
      </w:pPr>
      <w:r>
        <w:t xml:space="preserve">Clientes, recurrencia y poder de precios</w:t>
      </w:r>
    </w:p>
    <w:p>
      <w:pPr>
        <w:spacing w:after="100"/>
      </w:pPr>
      <w:r>
        <w:t xml:space="preserve">Concentración extrema: J&amp;J paga más del 70 % de los ingresos (66 % solo DARZALEX en 2025) y Novartis ≈12 % [1, 2]. Los contratos de licencia duran hasta que caduca la última patente relevante o 13 años desde la primera venta en cada país, lo que llegue después [1]. El poder de precios no es de Genmab sino de sus socios: DARZALEX ganó cuota en todas las regiones (+23 % de ventas en 2025) [1, 8]. Un arbitraje decidió que Genmab no cobra por las patentes propias de J&amp;J de la versión subcutánea, que ya es la mayor parte de las ventas [1]. En sus productos propios compite contra Roche (glofitamab y mosunetuzumab en linfoma) y, en ovario, contra AbbVie (Elahere)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mundiales de DARZALEX (J&amp;J)</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11.670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14.351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58 % en EE. UU. (8.266 M) [8]; 3T26: 4.239 M (2.528 M en EE. UU.)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 de DARZALEX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menos que las ventas por los tramos, la parte de Halozyme en la versión subcutánea y el tipo de cambio pactado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mundiales de EPKINLY/TEPKINLY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M USD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M USD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Genmab registra las de EE. UU. y Japón (242 M) y cobra un 22-26 % del resto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Regalías de Kesimpta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de EE. UU. extendida hasta mayo de 2031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a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2.639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de Merus y fuerza comercial para Rina-S y petosemtamab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medicamentos oncológicos con receta, a precio de lista, mundial: es donde compiten DARZALEX (mieloma), EPKINLY (linfoma), Tivdak, Rina-S y petosemtamab. Usamos la cifra del IQVIA Institute (252.000 M USD en 2024 y 441.000 M en 2029) [9], contrastada con el resumen de DCAT del mismo informe [10]; no encontramos una segunda estimación independiente gratuita del mismo perímetro (hueco). Para el negocio de regalías, el mercado que importa es el de mieloma múltiple, donde DARZALEX vendió 14.351 M en 2025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≈252.000 M USD en 2024 (gasto mundial en medicamentos oncológicos a precio de lista)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modalidades (biespecíficos, ADC)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IQVIA prevé que el gasto en ADC y biespecíficos crezca de forma significativa hasta 2029 [9]; EPKINLY +48 % en el semestre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supervivencia más larga en mieloma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DARZALEX +23 % en 2025 y 4.239 M en el 3T26 [7,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Caducidad de patentes y biosimilares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daratumumab: 2029 EE. UU., 2031 Europa; biosimilares de PD-1 frenan el gasto en 2028-2029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en EE. UU. (Ley de Reducción de la Inflación, precio de nación más favorecida)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20-F lo cita como riesgo para precios y reembolso [1]; IQVIA prevé que el crecimiento se frene desde 2027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Éxito clínico de los ensayos de fase 3</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fases 3 de epcoritamab en 2026: dos positivas, una sin supervivencia [15, 16,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linfoma compiten tres biespecíficos CD3xCD20 (Roche tiene dos) y las CAR-T; en mieloma, J&amp;J y Sanofi (isatuximab)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Pagadores públicos y aseguradoras negocian precios; en EE. UU. aumenta la presión regulatoria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externalizada en pocos fabricantes, que el 20-F cita como riesgo, pero sustituibles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Desarrollar un anticuerpo oncológico cuesta miles de millones y diez años; las patentes protegen hasta 2029-2038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año hay terapias nuevas (CAR-T, trispecíficos, ADC) que desplazan líneas de tratamiento [1, 9].</w:t>
            </w:r>
          </w:p>
        </w:tc>
      </w:tr>
    </w:tbl>
    <w:p>
      <w:pPr>
        <w:spacing w:after="160" w:before="0"/>
      </w:pPr>
    </w:p>
    <w:p>
      <w:pPr>
        <w:pStyle w:val="Heading2"/>
      </w:pPr>
      <w:r>
        <w:t xml:space="preserve">Ciclo</w:t>
      </w:r>
    </w:p>
    <w:p>
      <w:pPr>
        <w:spacing w:after="100"/>
      </w:pPr>
      <w:r>
        <w:t xml:space="preserve">El gasto oncológico creció un 11,9 % anual en 2020-2024, con una pausa en 2022, y no cayó ni en 2008-09 ni en 2020: el cáncer no espera al ciclo [9]. IQVIA prevé que el crecimiento se frene desde 2027 por biosimilares [9]. Para Genmab el ciclo que importa no es el económico sino el de sus patentes y ensayos.</w:t>
      </w:r>
    </w:p>
    <w:p>
      <w:pPr>
        <w:pStyle w:val="Heading2"/>
      </w:pPr>
      <w:r>
        <w:t xml:space="preserve">Regulación</w:t>
      </w:r>
    </w:p>
    <w:p>
      <w:pPr>
        <w:spacing w:after="100"/>
      </w:pPr>
      <w:r>
        <w:t xml:space="preserve">En EE. UU., la Ley de Reducción de la Inflación permite negociar el precio de Medicare de los biológicos a los 13 años de su aprobación; DARZALEX (2015) y sus regalías pueden verse afectados antes de la caducidad de la patente en 2029 [1]. La FDA concede designaciones de terapia innovadora que aceleran las aprobaciones (Rina-S en endometrio, petosemtamab en cabeza y cuello) [3]. La retirada de EPKINLY en una indicación por la fase 3 DLBCL-1 sin supervivencia está en discusión con los reguladores [17, 19].</w:t>
      </w:r>
    </w:p>
    <w:p>
      <w:pPr>
        <w:pStyle w:val="Heading2"/>
      </w:pPr>
      <w:r>
        <w:t xml:space="preserve">Tendencias y disrupción</w:t>
      </w:r>
    </w:p>
    <w:p>
      <w:pPr>
        <w:spacing w:after="100"/>
      </w:pPr>
      <w:r>
        <w:t xml:space="preserve">Los anticuerpos biespecíficos y los conjugados anticuerpo-fármaco (ADC) son las dos modalidades que más crecen en oncología [9, 10], y Genmab tiene plataforma propia en las dos (DuoBody, la de ProfoundBio y la Biclonics de Merus). La tendencia a combinar biespecíficos con quimioterapia en primera línea (DLBCL-2) amplía el mercado de EPKINLY [15]. El riesgo es la saturación: varios grupos desarrollan ADC contra el receptor de folato y biespecíficos EGFR en cabeza y cuello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cuota propia medible en oncología (≈0,2 % del gasto mundial con ventas propias de 398 M USD); a través de DARZALEX participa en el primer anticuerpo del mieloma múltiple (14.351 M de ventas en 2025) [8,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Glofitamab y mosunetuzumab compiten con EPKINLY en linfoma [1,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en EPKINLY y competidor en ovario con Elahere (ADC del receptor de folato) frente a Rina-S [1,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(DARZALEX, TECVAYLI, TALVEY, RYBREVANT); margen antes de impuestos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Isatuximab (anti-CD38) compite con DARZALEX [1,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en Kesimpta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Regeneron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Biespecíficos CD20xCD3 (odronextamab) y anti-PD-1 en cabeza y cuello [1,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desarrollador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médicos cambian de tratamiento cuando hay datos mejores; la combinación con R-CHOP en primera línea crearía hábito si se aprueba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hasta 2029-2031 (daratumumab, ofatumumab), 2031 (Tivdak) y 2038 (epcoritamab); plataformas DuoBody y Biclonics licenciadas a J&amp;J, AbbVie, BioNTech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regalías no tienen coste comercial; margen operativo del 28,6 % con un 43 % de I+D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 pequeña frente a Roche, AbbVie o J&amp;J en ventas propias [B4, B6, B7].</w:t>
            </w:r>
          </w:p>
        </w:tc>
      </w:tr>
    </w:tbl>
    <w:p>
      <w:pPr>
        <w:spacing w:after="160" w:before="0"/>
      </w:pPr>
    </w:p>
    <w:p>
      <w:pPr>
        <w:pStyle w:val="Heading2"/>
      </w:pPr>
      <w:r>
        <w:t xml:space="preserve">Amenazas</w:t>
      </w:r>
    </w:p>
    <w:p>
      <w:pPr>
        <w:spacing w:after="100"/>
      </w:pPr>
      <w:r>
        <w:t xml:space="preserve">La amenaza principal no es un competidor sino el calendario: la patente de daratumumab en EE. UU. caduca en 2029 y la europea en 2031, y con ellas el 66 % de los ingresos [1, 2]. En sus productos propios, Roche tiene dos biespecíficos de linfoma y más fuerza comercial, y la fase 3 DLBCL-1 de EPKINLY en monoterapia no mejoró la supervivencia [17, 19]. En cabeza y cuello, petosemtamab compite con otros biespecíficos EGFR en desarrollo. Probabilidad de erosión del foso en cinco años: alta, salvo que los dos lanzamientos de 2027 funcionen.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2021-2025: ingresos </w:t>
      </w:r>
      <w:r>
        <w:rPr>
          <w:b/>
          <w:bCs/>
        </w:rPr>
        <w:t xml:space="preserve">29,2 %</w:t>
      </w:r>
      <w:r>
        <w:t xml:space="preserve">, EBITDA </w:t>
      </w:r>
      <w:r>
        <w:rPr>
          <w:b/>
          <w:bCs/>
        </w:rPr>
        <w:t xml:space="preserve">n.d.</w:t>
      </w:r>
      <w:r>
        <w:t xml:space="preserve">, BPA </w:t>
      </w:r>
      <w:r>
        <w:rPr>
          <w:b/>
          <w:bCs/>
        </w:rPr>
        <w:t xml:space="preserve">21,2 %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1.337 M USD en 2021 a 3.720 M en 2025 [2] sin una sola compra que los explique: el motor fueron las regalías de DARZALEX (2.443 M en 2025, +21 %, el 66 % de los ingresos [1, 2]) y de Kesimpta (443 M, +37 %) [2]. Las ventas propias (EPKINLY en EE. UU. y Japón, Tivdak fuera de EE. UU.) suman 398 M (11 %) [2]. El margen operativo cayó del 35,1 % de 2021 al 28,6 % de 2025 porque la I+D (1.606 M, 43 % de los ingresos) y la estructura comercial crecen para lanzar productos propios, y 2025 cargó 185 M de costes de la compra de Merus y el cierre de acasunlimab [2]. En el primer semestre de 2026 los ingresos crecen un 25 % (2.051 M) pero el beneficio neto baja a 356 M (531 M) por los 186 M de gasto financiero neto de la deuda de Merus [3]. 2021-2022 no son del todo comparables en el detalle: solo hay cifras clave reexpresadas en USD.</w:t>
      </w:r>
    </w:p>
    <w:p>
      <w:pPr>
        <w:pStyle w:val="Heading2"/>
      </w:pPr>
      <w:r>
        <w:t xml:space="preserve">Ajustes y partidas no recurrentes</w:t>
      </w:r>
    </w:p>
    <w:p>
      <w:pPr>
        <w:spacing w:after="100"/>
      </w:pPr>
      <w:r>
        <w:t xml:space="preserve">Cifras NIIF publicadas. La empresa da un «resultado operativo ajustado» que excluye los costes de adquisición e integración (43 M en 2024, 185 M en 2025, 90 M previstos en 2026) y la amortización de intangibles comprados (13 M en 2025, 47 M en 2026) [2, 3]. Como se repiten tres años seguidos, no los tratamos como no recurrentes: quedan dentro del EBITDA y del BPA. El tipo impositivo de 2026 (3,6 % estimado en el semestre) está rebajado por créditos fiscales de Merus y la propia empresa dice que no es representativo [3]. El beneficio financiero de 2024 (354 M) incluye ganancias de cambio y de la cartera de valores que ya no existe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febrero (resultados de 2025) la dirección presentó 2026 como el año de transición: guía de ingresos de 4.065-4.395 M USD y de beneficio operativo ajustado de 900-1.400 M, con la I+D de petosemtamab y Rina-S y la preparación de sus lanzamientos absorbiendo el crecimiento de las regalías [3]. En agosto, con el semestre, subió la guía a 4.325-4.525 M de ingresos y 1.065-1.385 M de beneficio operativo ajustado por DARZALEX (ventas de J&amp;J previstas de 16.500-16.900 M) y EPKINLY (+48 % en el semestre) [3]. El mensaje cambió de «construir» a «ejecutar»: cinco ensayos de fase 3 con Rina-S, dos con petosemtamab y lanzamientos previstos desde 2027 [3]. Lo que más preguntaron los analistas, según la prensa especializada, fue cómo se sustituyen las regalías de DARZALEX desde 2029 y el ritmo de reducción de la deuda; la dirección no ha dado un objetivo de ingresos para 2030 ni una cifra de pico de ventas por producto más allá de los «al menos 1.000 M en 2029» de petosemtamab que dio al cerrar Merus [1, 3]. No hemos leído las transcripciones completas (de pago): hueco registrado.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Merus N.V., consolidada desde el 12-dic-2025 (7.215 M USD en caja, 97 USD por acción): entra en el balance (intangibles de 9.123 M) y casi nada en la cuenta de 2025.; 2024: ProfoundBio, comprada en mayo de 2024 por 1.783 M USD netos de caja (Rina-S): fondo de comercio de 355 M e intangibles de ≈1.700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Genmab pasó de una caja neta de 2.954 M USD a fin de 2024 a una deuda neta de 3.559 M a fin de 2025 por la compra de Merus [2]: la mayor decisión de capital de su historia. A junio de 2026, la deuda bruta contable es de 5.135 M (5.375 M nominales tras amortizar 125 M) y la caja de 1.503 M [3]. Con un EBITDA LTM de ≈1.165 M (estimación propia), la deuda neta es de ≈3,1 veces; baja rápido si las regalías siguen creciendo, pero el vencimiento grande (préstamo A, 2030) llega justo después de la caída de las regalías de DARZALEX en EE. UU. (2029). El circulante es casi todo cuentas a cobrar de regalías (1.112 M), que cobra trimestralmente.</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4.018</w:t>
      </w:r>
      <w:r>
        <w:t xml:space="preserve">, conversión </w:t>
      </w:r>
      <w:r>
        <w:rPr>
          <w:b/>
          <w:bCs/>
        </w:rPr>
        <w:t xml:space="preserve">102 %</w:t>
      </w:r>
      <w:r>
        <w:t xml:space="preserve"> del beneficio neto; adquisiciones 8.998, dividendos 0, recompras 1.071.</w:t>
      </w:r>
    </w:p>
    <w:p>
      <w:pPr>
        <w:spacing w:after="100"/>
      </w:pPr>
      <w:r>
        <w:t xml:space="preserve">La conversión en caja es buena y estable: el flujo operativo de 2023-2025 (1.071-1.186 M USD) iguala o supera el beneficio neto, porque las regalías se cobran a un trimestre y el capex es mínimo (55 M en 2025, 1,5 % de los ingresos) [2]. En 2024-2025 la caja fue a compras (ProfoundBio 1.783 M, Merus 7.215 M) y a recompras (560 M y 430 M) [2]. En el primer semestre de 2026 el flujo operativo cae a 54 M (349 M) por 191 M de intereses y costes de la operación pagados, 320 M de pagos de acreedores (cierre de acasunlimab, bonus, retenciones de Merus) [3]: un semestre anómalo, no la nueva normalidad. Todo el capex es de mantenimiento; la inversión de crecimiento está en la I+D, que va a la cuenta.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Statsautoriseret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sencillas y limpias: los ingresos son regalías que informa el socio (J&amp;J, Novartis) y ventas de producto, con auditoría de Deloitte sin salvedades desde 2024 tras el cambio desde PwC [2]. No hay capitalización de I+D: los 1.606 M de 2025 van a gastos. Los pagos en acciones (128 M en 2025, 3,4 % de los ingresos) son moderados para una biotecnológica [6]. Lo que más pesa es la compra de Merus: 9.123 M de intangibles sin fondo de comercio nuevo, que dependen del éxito clínico de petosemtamab; un fracaso de la fase 3 obligaría a un deterioro de varios miles de millones [2]. El tipo impositivo de 2026 (3,6 % en el semestre) está rebajado por créditos de Merus y no se repetirá [3]. Lectura de los indicadores: Altman Z de 3,14 (zona segura, aunque baja desde niveles muy altos por la deuda), Piotroski F de 4 (débil por la caída del ROA y la subida del apalancamiento en 2025, efecto de la compra y no del negocio) y Beneish M de −2,51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PwC fue sustituida por Deloitte desde el ejercicio 2024 [2]; rotación ordinaria, sin desacuerdos publicados.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Merus tratada con 9.123 M de intangibles y sin fondo de comercio nuevo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está en petosemtamab y la plataforma Biclonics; si la fase 3 falla, el deterioro sería de miles de millones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 2026 rebajado por créditos fiscales de Merus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3,6 % del semestre no es repetible; la propia empresa lo advierte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355 M en 2025 (el 6 % del capital invertido medio); ha subido más de un 5 % en 0 de 4 años: sin compras. ROIC publicado 14,3 %; sin fondo de comercio, 15,2 %. Sin compras relevantes: el publicado ya es el ROIC del negocio.</w:t>
      </w:r>
    </w:p>
    <w:p>
      <w:pPr>
        <w:spacing w:after="100"/>
      </w:pPr>
      <w:r>
        <w:rPr>
          <w:b/>
          <w:bCs/>
        </w:rPr>
        <w:t xml:space="preserve">ROIC incremental</w:t>
      </w:r>
      <w:r>
        <w:t xml:space="preserve"> (variación del NOPAT sobre variación del capital invertido en el periodo): 8,9 % · </w:t>
      </w:r>
      <w:r>
        <w:rPr>
          <w:b/>
          <w:bCs/>
        </w:rPr>
        <w:t xml:space="preserve">WACC</w:t>
      </w:r>
      <w:r>
        <w:t xml:space="preserve">: 9,7 %.</w:t>
      </w:r>
    </w:p>
    <w:p>
      <w:pPr>
        <w:spacing w:after="100"/>
      </w:pPr>
      <w:r>
        <w:t xml:space="preserve">Genmab creó mucho valor mientras fue una empresa de regalías: ROIC del 106,7 % en 2021, 129,2 % en 2022 y 56,2 % en 2024, con capital invertido de solo 332-1.479 M USD, porque las regalías no necesitan activos. La compra de Merus lo cambió todo: el capital invertido salta a 5.943 M a final de 2025 y el ROIC baja al 14,3 % (15,2 % sin fondo de comercio), apenas 4,6 puntos por encima del WACC del 9,68 %. Con el año completo de Merus (capital de ≈9.000-10.000 M) el ROIC de 2026 rondará el 10 %, a la par del WACC: la compra solo crea valor si petosemtamab vende miles de millones. El ROIC incremental histórico (8,9 %) ya refleja que el capital de las compras rinde mucho menos que las regalías. Frente a los comparables de regalías, Halozyme tiene un ROIC del 32,1 % y Royalty Pharma del 5,4 % [35, 36].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1.503 M USD a 30-jun-2026 (30 M restringidos) [3], más una línea de crédito garantizada de 500 M a cinco años y otra sin garantía de 300 M, sin disponer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en las cuentas (hueco registrado).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deuda de Merus (5.500 M nominales en diciembre de 2025) se reparte en un préstamo A de 1.000 M (SOFR + margen, 5,48 % a fin de 2025, vence en diciembre de 2030), un préstamo B de 2.000 M (6,73 %, diciembre de 2032; margen rebajado de 3 a 2 puntos en junio de 2026), bonos garantizados de 1.500 M al 6,25 % (2032) y bonos sin garantía de 1.000 M al 7,25 % (2033) [2, 3]. Los préstamos están garantizados con prácticamente todos los activos (11.100 M de valor contable pignorado) y llevan covenants, que se cumplen [2, 3]. Cuatro swaps de 406 M cada uno fijan el SOFR en ≈3,4 % hasta junio de 2028 [3]. Hay litigios por patentes (Chugai contra EPKINLY en Japón) y una demanda de AbbVie por secretos comerciales, sin provisión [1, 3]. Pensiones: planes de aportación definida, sin déficit relevante [2].</w:t>
      </w:r>
    </w:p>
    <w:p>
      <w:pPr>
        <w:pStyle w:val="Heading1"/>
      </w:pPr>
      <w:r>
        <w:t xml:space="preserve">12. Asignación de capital</w:t>
      </w:r>
    </w:p>
    <w:p>
      <w:pPr>
        <w:pStyle w:val="Confianza"/>
        <w:spacing w:after="100"/>
      </w:pPr>
      <w:r>
        <w:t xml:space="preserve">Confianza: Media</w:t>
      </w:r>
    </w:p>
    <w:p>
      <w:pPr>
        <w:spacing w:after="100"/>
      </w:pPr>
      <w:r>
        <w:t xml:space="preserve">Genmab no paga dividendo y no ha anunciado que vaya a hacerlo. Recompra acciones de forma regular, sobre todo para cubrir las RSU (342.130 acciones por 96 M USD en febrero-marzo de 2026) y ocasionalmente para reducir capital (2,2 millones de acciones por 430 M en 2025, amortizadas en abril de 2026) [3]. La prioridad declarada para la caja es invertir en la cartera propia y reducir la deuda de Merus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Merus N.V. (petosemtamab, plataforma Biclonics)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5.500 M de deuda nueva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pronto: dos fases 3 de petosemtamab en marcha; lanzamiento previsto en 2027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ProfoundBio (Rina-S y plataforma de ADC)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Bien encaminado: Rina-S tiene designación de terapia innovadora en endometrio y cinco fases 3 [3]; datos de fase 2 con 45,9 % de respuesta en ovario resistente a platino presentados en octubre de 2026 [3].</w:t>
            </w:r>
          </w:p>
        </w:tc>
      </w:tr>
    </w:tbl>
    <w:p>
      <w:pPr>
        <w:spacing w:after="160" w:before="0"/>
      </w:pPr>
    </w:p>
    <w:p>
      <w:pPr>
        <w:spacing w:after="100"/>
      </w:pPr>
      <w:r>
        <w:t xml:space="preserve">La dirección ha asignado bien el capital de las regalías durante una década (recompras moderadas, sin dividendo, todo a I+D propia), pero 2024-2025 marcan un cambio de perfil: 9.000 M en dos compras, la mayor con 5.500 M de deuda [2]. El ROIC incremental histórico del 8,9 % y el ROIC de 2025 del 14,3 % muestran que el capital nuevo rinde menos que el viejo. La compra de Merus tiene lógica (sustituir las regalías de DARZALEX antes de 2029) y Rina-S avanza bien, pero se pagó una prima por un activo aún en fase 3 [18]. El veredicto queda abierto hasta las fases 3 de petosemtamab; la dilución es baja (acciones diluidas de 66,0 M en 2021 a 62,7 M en 2025 por recompras)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G. J. van de Winkel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director científico hasta 2010. Con él los ingresos pasaron de menos de 100 M USD a 3.720 M y Genmab pasó de las regalías a vender productos propios; también decidió las compras de ProfoundBio y Merus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Pagano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Genmab EE. UU. y en la industria; montó la financiación de 5.500 M de Merus y rebajó en un punto el margen del préstamo B en junio de 2026 [1,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Deirdre P. Connelly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Expresidenta de GSK Norteamérica y 26 años en Eli Lilly; lanzó más de 20 medicamentos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Judith Klimovsky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desarrollo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ensayos de fase 3 de epcoritamab, Rina-S y petosemtamab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Tahamtan Ahmadi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médico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Lidera la medicina experimental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3.500-3.700 M USD; beneficio operativo ajustado 1.055-1.405 M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3.720 M; beneficio operativo ajustado 1.263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4.065-4.395 M; agosto: 4.325-4.525 M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2.051 M (+25 %)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fundador al mando desde 2010, con un 1,06 % del capital [1]. Ha cumplido las guías anuales recientes (2025 dentro del rango y por arriba en ingresos) [2], y en 2026 ya la ha subido [3]. El punto débil es la ejecución de los ensayos: la fase 3 DLBCL-1 de EPKINLY no mejoró la supervivencia y acasunlimab se abandonó en 2025 [2]. Sucesión: el consejero delegado tiene 64 años y no hay sucesor anunciado; es la principal pregunta de gobierno para 2027-2029, justo cuando caen las regalías.</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Deirdre P. Connelly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Retribuciones;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Pernille Erenbjerg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Gersel Pedersen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Retribuciones; 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Paolo Paoletti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Rolf Hoffmann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O'Farrell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Auditoría y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Schultz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Mijke Zachariasse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Kavanagh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Anders Gersel Pedersen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0,14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Orbis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y sale alrededor del 5 % (avisos de marzo a junio de 2026: 3,11-3,17 millones de acciones)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Darwin Global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5 % el 28-sep-2026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13G de marzo de 2025 citado en el 20-F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y dirección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Totalmente diluido; el consejero delegado, 1,06 %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915.601 acciones a 30-jun-2026 tras amortizar 1,9 millones en abril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Kavanagh (consejero por los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10,7 M USD en 2025: 1,5 M de salario, 0,3 M de pensión, 1,5 M de bonus y 7,4 M en acciones restringidas (RSU) [2]. El bonus puede llegar al 150 % del salario y lo que pase del 100 % se paga en RSU a tres años; los demás directivos, hasta el 90 % [1]. Las RSU se conceden a discreción del consejo y el 20-F no detalla métricas de rentabilidad sobre el capital: por eso no damos el variable por ligado a rentabilidad. Indemnización: dos años de salario más 12 meses de preaviso, y con cambio de control dos años más y dos veces el mayor bonus [1]. El consejo cobra en efectivo y RSU solo por permanencia; en la junta de marzo de 2026 tuvo que retirar su propuesta por la oposición de accionistas y asesores de voto, y la aprobó en una junta extraordinaria el 7-oct-2026 tras recalibrar el grupo de comparación, sin bajar importes [20, 21, 22].</w:t>
      </w:r>
    </w:p>
    <w:p>
      <w:pPr>
        <w:pStyle w:val="Heading2"/>
      </w:pPr>
      <w:r>
        <w:t xml:space="preserve">Operaciones vinculadas, estructura de control y defensas</w:t>
      </w:r>
    </w:p>
    <w:p>
      <w:pPr>
        <w:spacing w:after="100"/>
      </w:pPr>
      <w:r>
        <w:t xml:space="preserve">Sin accionista de control: el mayor tiene ≈5-6 % y hay una sola clase de acciones, con un voto por acción [1]. La presidenta y la vicepresidenta son independientes y presiden la comisión de auditoría y el consejo; seis consejeros los elige la junta cada año y tres los empleados (ley danesa) [1]. No hay blindajes estatutarios; sí un régimen danés de control de inversión extranjera en sectores sensibles que podría afectar a una oferta [1]. La única defensa de facto son las indemnizaciones por cambio de control de la dirección (hasta cuatro años de salario para el consejero delegado) [1].</w:t>
      </w:r>
    </w:p>
    <w:p>
      <w:pPr>
        <w:pStyle w:val="Heading2"/>
      </w:pPr>
      <w:r>
        <w:t xml:space="preserve">Señales de alerta</w:t>
      </w:r>
    </w:p>
    <w:p>
      <w:pPr>
        <w:pStyle w:val="ListParagraph"/>
        <w:numPr>
          <w:ilvl w:val="0"/>
          <w:numId w:val="2"/>
        </w:numPr>
        <w:spacing w:after="60"/>
      </w:pPr>
      <w:r>
        <w:t xml:space="preserve">Junta de marzo de 2026: retirada de la remuneración del consejo por falta de apoyo; aprobada en la extraordinaria de octubre sin bajar los importes [20, 22].</w:t>
      </w:r>
    </w:p>
    <w:p>
      <w:pPr>
        <w:pStyle w:val="ListParagraph"/>
        <w:numPr>
          <w:ilvl w:val="0"/>
          <w:numId w:val="2"/>
        </w:numPr>
        <w:spacing w:after="60"/>
      </w:pPr>
      <w:r>
        <w:t xml:space="preserve">Remuneración del consejero delegado de 10,7 M USD en 2025, el 69 % en RSU que no dependen de objetivos publicados de rentabilidad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revisada el 6-ago-2026: ingresos de 4.325-4.525 M USD (antes 4.065-4.395 M), regalías de 3.625-3.750 M, ventas propias y colaboración de 595-640 M, gastos operativos ajustados de 2.810-2.950 M y beneficio operativo ajustado de 1.065-1.385 M (excluye 90 M de costes de integración y 47 M de amortización de intangibles comprados) [3]. Supone ventas de DARZALEX de 16.500-16.900 M y un USD/DKK de 6,2 [3]. A medio plazo: petosemtamab con al menos 1.000 M de ventas en 2029 y lanzamiento en 2027; la compra de Merus, acrecitiva al EBITDA a finales de 2029 [18]. Próximos resultados: 5-nov-2026.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en DKK convertidos a 6,6693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334,98 – 579,97</w:t>
            </w:r>
          </w:p>
        </w:tc>
      </w:tr>
    </w:tbl>
    <w:p>
      <w:pPr>
        <w:spacing w:after="160" w:before="0"/>
      </w:pPr>
    </w:p>
    <w:p>
      <w:pPr>
        <w:pStyle w:val="Heading2"/>
      </w:pPr>
      <w:r>
        <w:t xml:space="preserve">Revisiones de estimaciones</w:t>
      </w:r>
    </w:p>
    <w:p>
      <w:pPr>
        <w:spacing w:after="100"/>
      </w:pPr>
      <w:r>
        <w:t xml:space="preserve">Una sola fuente gratuita con estimaciones completas (MarketScreener, en DKK); contrastamos objetivo y recomendación con Stock Analysis para el ADS: 12 analistas, «Strong Buy», objetivo medio 44,4 USD por ADS (≈444 USD por acción), mínimo 33,5 y máximo 58 [29, 30]. Las estimaciones de ingresos de 2026 han subido con la guía de agosto (de 4.230 M a 4.425 M en el punto medio) [3]; Barclays subió en septiembre su objetivo a 2.900 DKK (titular de MarketScreener). No tenemos la serie de revisiones de BPA a 3 y 12 meses (hueco).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subido un 24,8 % en 2026 y un 21,8 % en un año, frente al 0,5 % y el 8,5 % del OMXC25, pero en cinco años pierde un 2,4 % anual [28]: cayó un 64,5 % entre diciembre de 2022 y abril de 2025 por la cercanía de la caducidad de DARZALEX y las dudas sobre la cartera propia [28]. La recuperación desde el mínimo de 1.512 DKK (3-jun-2026) se explica por tres hechos: la guía subida en agosto, la fase 3 DLBCL-4 positiva (29-jun) y la DLBCL-2 en primera línea (5-oct) [3, 28]. La beta frente al OMXC25 es 1,01 y frente al S&amp;P 500 (ADS) 0,65 [28,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 / +36,9 % / +41,3 % / +22,5 %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+65,9 %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3 EPCORE DLBCL-4 positiva (29-jun: HR 0,40 en supervivencia libre de progresión) y guía de 2026 subida el 6-ago [3, 16,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3 EPCORE DLBCL-2 positiva en primera línea (5-oct: HR 0,49) y datos de fase 2 de Rina-S en ovario (45,9 % de respuestas, 4-oct); el 8-oct, −5,3 % de recogida de beneficios [15, 28,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 −6,5 % (19-ene) tras la fase 3 DLBCL-1 de EPKINLY sin mejora de supervivencia global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 −6,6 % (18-feb) tras los resultados de 2025 (ingresos 50 M por debajo de lo esperado) y una guía de 2026 con el beneficio lastrado por la deuda de Merus [3,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 −6,7 % (8-may) tras el 1T26: beneficio neto de 53 M y flujo operativo de 3 M por intereses y pagos de la integración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primera prueba de la guía subida en agosto; las ventas de DARZALEX del 3T (4.239 M, 2.528 M en EE. UU.) ya se conocen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EPCORE DLBCL-2 positiva: epcoritamab + R-CHOP reduce un 51 % el riesgo de progresión o muerte en primera línea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extraordinaria aprueba la remuneración del consejo para 2026, retirada en marzo por falta de apoyo [20,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Darwin Global Management supera el 5 % (5,11 %); Orbis oscila alrededor del 5 % desde marzo. No hay colocaciones anunciadas [23,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que DLBCL-1 no alcanzó la supervivencia global, único objetivo principal en EE. UU.; Genmab y AbbVie discuten con los reguladores el futuro de esa indicación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Ampliaciones pequeñas por ejercicio de warrants de empleados (decenas de miles de acciones); ninguna ampliación ni convertible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venta de un consejero en 12 meses: 526 acciones de un consejero elegido por los empleados (≈0,9 M DKK)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36,9 % en tres meses y está en máximos de 52 semanas (aviso P2) por dos fases 3 positivas de EPKINLY y una guía subida, hechos que el informe ya recoge en la proyección. No hay ningún hecho pendiente ajeno al análisis que pueda mover el precio más de un 5 % (ni colocaciones, ni ampliaciones, ni ofertas); los resultados del 5-nov no aplazan nada (regla 11). Las caídas fuertes del año tienen causa conocida (DLBCL-1, resultados de 2025 y del 1T26). Veredicto: no cambia; la señal la decide la valoración.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Genmab cotizaba a 35-57 veces el BPA del año siguiente en 2020-2022, cuando el mercado pagaba la cartera y las regalías crecientes sin mirar la caducidad, y bajó a 13,5 veces a finales de 2024, cuando la caducidad de DARZALEX (2029) quedaba a cuatro años y las ventas propias no compensaban [2, 28]. Hoy cotiza a ≈22,9 veces nuestro BPA de 2027, por debajo de la mediana de cinco años (28,1x) pero muy por encima del mínimo. Ha cambiado algo estructural: la deuda de Merus (5.375 M) y el plazo de las regalías. Los precios de cierre están convertidos a USD al tipo de cierre de cada año del BCE [33].</w:t>
      </w:r>
    </w:p>
    <w:p>
      <w:pPr>
        <w:pStyle w:val="Heading1"/>
      </w:pPr>
      <w:r>
        <w:t xml:space="preserve">18. Comparables cotizados</w:t>
      </w:r>
    </w:p>
    <w:p>
      <w:pPr>
        <w:pStyle w:val="Confianza"/>
        <w:spacing w:after="100"/>
      </w:pPr>
      <w:r>
        <w:t xml:space="preserve">Confianza: Media</w:t>
      </w:r>
    </w:p>
    <w:p>
      <w:pPr>
        <w:spacing w:after="100"/>
      </w:pPr>
      <w:r>
        <w:t xml:space="preserve">Biotecnológicas rentables de tamaño medio con un producto dominante y riesgo de caducidad (Incyte, United Therapeutics, BioMarin, Jazz, Exelixis), una de referencia de calidad (Vertex) y dos modelos de regalías (Royalty Pharma, Halozyme), que es como gana hoy Genmab el 83 % de sus ingresos [34, 35, 36]. No usamos Roche, AbbVie o J&amp;J (diez veces mayores y diversificadas) ni argenx o BioNTech (sin beneficio comparable). PER adelantado de Stock Analysis sobre BPA ajustado; el de Genmab es NIIF, cercano al ajustado porque apenas ajusta (integración y amortización de compras).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Genmab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Incyte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Therapeutics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BioMarin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Jazz Pharmaceuticals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Exelixis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Royalty Pharma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Halozyme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14,1x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12,2x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 / 5,9x / 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un EV/EBITDA de 23,5 veces los últimos 12 meses y un PER de 23,5 veces los próximos 12, Genmab cotiza muy por encima de la mediana de sus comparables (PER de 12,2 veces), que van de 9,6 (BioMarin, Jazz) a 34,4 (Vertex) [34, 35, 36]. La prima se explica por el crecimiento a corto plazo (ingresos +19 % en 2026) y por la opción de los lanzamientos de 2027, pero los dos comparables de regalías (Royalty Pharma 10,9 veces, Halozyme 12,2) muestran a cuánto cotizan unas regalías con fecha de caducidad. Por eso los comparables pesan solo un 10 %: valoran un BPA de 2027 que no se mantiene en 2029, y el valor implícito por PER de los próximos 12 meses (197,27 USD de mediana) queda muy por debajo del precio.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Merus (petosemtamab)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Genmab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97 USD por acción en efectivo; sin ventas propias relevantes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ProfoundBio (Rina-S)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cotizada; precio en caja de 1.783 M netos [2].</w:t>
            </w:r>
          </w:p>
        </w:tc>
      </w:tr>
    </w:tbl>
    <w:p>
      <w:pPr>
        <w:spacing w:after="160" w:before="0"/>
      </w:pPr>
    </w:p>
    <w:p>
      <w:pPr>
        <w:spacing w:after="160" w:before="0"/>
      </w:pPr>
    </w:p>
    <w:p>
      <w:pPr>
        <w:spacing w:after="100"/>
      </w:pPr>
      <w:r>
        <w:t xml:space="preserve">Las compras de biotecnológicas en oncología se pagan por la cartera, no por el beneficio: no hay múltiplos de EBITDA útiles. Genmab, sin accionista de control y con 23.400 M de capitalización, es un objetivo posible para una gran farmacéutica que quiera las plataformas y los lanzamientos de 2027, pero la caducidad de DARZALEX y la deuda lo hacen menos probable antes de ver las fases 3 de petosemtamab.</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año 2026 queda fijo en el punto medio de la guía revisada (4.425 M USD, +19 %) [3]. 2027 (+18,6 %) y 2028 (+17 %) siguen con DARZALEX a +12-15 % (ventas de J&amp;J de 16.500-16.900 M en 2026 [3]), Kesimpta, EPKINLY (+48 % en el semestre) y los lanzamientos de Rina-S y petosemtamab en 2027 [18]; el consenso es algo más alto (≈5.222 M en 2027 y 6.528 M en 2028 [29]). En 2029 caduca la patente de EE. UU. (≈58 % de las ventas de DARZALEX [8]) y los ingresos caen un 13 %; en 2031 caduca Europa y Kesimpta en EE. UU. (−2 %) [1]. Después, los productos propios crecen del 12 % al 4 % hasta 2035.</w:t>
      </w:r>
    </w:p>
    <w:p>
      <w:pPr>
        <w:keepNext/>
        <w:spacing w:after="100"/>
      </w:pPr>
      <w:r>
        <w:rPr>
          <w:b/>
          <w:bCs/>
        </w:rPr>
        <w:t xml:space="preserve">Márgenes.</w:t>
      </w:r>
    </w:p>
    <w:p>
      <w:pPr>
        <w:spacing w:after="100"/>
      </w:pPr>
      <w:r>
        <w:t xml:space="preserve">El margen EBITDA de 2026 (27,1 %) sale de la guía: beneficio operativo ajustado de 1.225 M menos 137 M de integración y amortización de compras [3]. Sube al 35 % en 2028 porque las regalías crecen sin coste, cae al 24 % en 2029 al perder ≈1.900 M de regalías casi sin coste y se recupera hasta el 33 % en 2035, en línea con farmacéuticas que venden productos propios (Roche 29 %, Novartis 31 % de margen EBIT [14]) y por debajo del 35-41 % de la historia de Genmab, porque EPKINLY comparte beneficio con AbbVie [3].</w:t>
      </w:r>
    </w:p>
    <w:p>
      <w:pPr>
        <w:keepNext/>
        <w:spacing w:after="100"/>
      </w:pPr>
      <w:r>
        <w:rPr>
          <w:b/>
          <w:bCs/>
        </w:rPr>
        <w:t xml:space="preserve">Inversión y circulante.</w:t>
      </w:r>
    </w:p>
    <w:p>
      <w:pPr>
        <w:spacing w:after="100"/>
      </w:pPr>
      <w:r>
        <w:t xml:space="preserve">El capex es mínimo (1,2-1,6 % de las ventas, como el 1,5 % de 2025 [2]) y converge con la amortización. El circulante se mantiene en el 26 % de las ventas, el nivel de 2025 (cuentas a cobrar de regalías de 1.112 M frente a 3.720 M de ingresos). La inversión que de verdad sostiene el crecimiento es la I+D, que va a la cuenta y por tanto al margen.</w:t>
      </w:r>
    </w:p>
    <w:p>
      <w:pPr>
        <w:keepNext/>
        <w:spacing w:after="100"/>
      </w:pPr>
      <w:r>
        <w:rPr>
          <w:b/>
          <w:bCs/>
        </w:rPr>
        <w:t xml:space="preserve">Coste del capital.</w:t>
      </w:r>
    </w:p>
    <w:p>
      <w:pPr>
        <w:spacing w:after="100"/>
      </w:pPr>
      <w:r>
        <w:t xml:space="preserve">Flujos en USD: tasa libre del Tesoro a 10 años, 5,21 % [32]; beta 1,0 (1,01 frente al OMXC25 y 0,65 del ADS frente al S&amp;P 500 [28, 30]; tomamos 1 por la deuda nueva); prima de mercado 5,5 % y sin prima adicional, porque el riesgo de los ensayos está en los escenarios. Coste de la deuda 6,4 % antes de impuestos (préstamos al 5,5-6,7 % y bonos al 6,25-7,25 % [2]) con un peso del 18 % a valor de mercado. WACC resultante: 9,68 %.</w:t>
      </w:r>
    </w:p>
    <w:p>
      <w:pPr>
        <w:keepNext/>
        <w:spacing w:after="100"/>
      </w:pPr>
      <w:r>
        <w:rPr>
          <w:b/>
          <w:bCs/>
        </w:rPr>
        <w:t xml:space="preserve">Valor terminal.</w:t>
      </w:r>
    </w:p>
    <w:p>
      <w:pPr>
        <w:spacing w:after="100"/>
      </w:pPr>
      <w:r>
        <w:t xml:space="preserve">Gordon con un 2,5 % de crecimiento, coherente con la inflación del dólar y por debajo de la tasa libre menos medio punto. El último año explícito (2035) ya crece al 4 % con un margen del 33 %: el valor terminal pesa un 59 % del valor. El múltiplo de salida de referencia (11 veces el EBITDA) está en la parte baja de los comparables porque en 2035 Genmab será una farmacéutica de productos propios con patentes de 2038 en adelante [1].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243,32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(reinvierte el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 (histórico: 8,9 %)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 frente al 8,6 %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772 M, el 5 % del NOPAT, con un capex bruto medio del 1,4 % de las ventas). En un negocio de activos ligeros, el crecimiento medio del 8,6 %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DARZALEX (+21 % de ventas en el semestre), Kesimpta (+31 %) y EPKINLY (+48 %); precio: subidas moderadas de los socios; otros: hitos de los socios de Merus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DARZALEX y Kesimpta siguen ganando cuota y entran Rina-S y petosemtamab (lanzamientos previstos en 2027) [3,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primer año completo de los dos lanzamientos y EPKINLY en segunda línea de linfoma difuso (DLBCL-4)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caduca la patente de daratumumab en EE. UU. y se pierde ≈60 % de las regalías de DARZALEX, compensado en parte por los productos propios [1,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EPKINLY en primera línea (si se aprueba con DLBCL-2) y petosemtamab por encima de 1.000 M, el objetivo de la empresa para 2029 [15, 18].</w:t>
            </w:r>
          </w:p>
        </w:tc>
      </w:tr>
    </w:tbl>
    <w:p>
      <w:pPr>
        <w:spacing w:after="160" w:before="0"/>
      </w:pPr>
    </w:p>
    <w:p>
      <w:pPr>
        <w:spacing w:after="100"/>
      </w:pPr>
      <w:r>
        <w:t xml:space="preserve">En parte. Las pruebas del motor pasan (la proyección apenas necesita capital: reinversión del 5 % del NOPAT), pero en un negocio sin inversión neta la prueba de verdad es la cuota y el poder de precios, y aquí el crecimiento no lo sostiene la calidad demostrada sino el éxito de ensayos todavía abiertos. El foso histórico (regalías de DARZALEX y Kesimpta) tiene fecha de caducidad (2029-2031) [1]; lo que lo sustituye (EPKINLY, Rina-S, petosemtamab) solo ha demostrado poder de precios en EPKINLY, que reparte el beneficio con AbbVie [3]. Además, la mitad del crecimiento proyectado de 2027-2028 depende de lanzamientos aún no aprobados [18]. Mantenemos el caso base, que ya cae un 13 % en 2029, y no un recorte mayor, porque las tres fases 3 de epcoritamab de 2026 (dos positivas) y las designaciones de terapia innovadora de Rina-S y petosemtamab hacen razonable el escenario central [3, 15, 16].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 (base: 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9,7 %)</w:t>
            </w:r>
          </w:p>
        </w:tc>
      </w:tr>
    </w:tbl>
    <w:p>
      <w:pPr>
        <w:spacing w:after="160" w:before="0"/>
      </w:pPr>
    </w:p>
    <w:p>
      <w:pPr>
        <w:spacing w:after="100"/>
      </w:pPr>
      <w:r>
        <w:t xml:space="preserve">El DCF da 262,23 USD por acción (1.748 DKK), un 30,8 % por debajo del precio, con el valor terminal pesando un 59 %. La síntesis ponderada (DCF 50 %, escenarios 40 %, comparables 10 %) queda en 255,04 USD (1.700,95 DKK). El DCF inverso es la pregunta central: para justificar 2.529 DKK, Genmab tendría que crecer un 12,7 % anual entre 2027 y 2035 con un margen implícito del 43,3 %, frente al 7,4 % y el 33 % de nuestro caso base. Es decir, el precio descuenta que los productos propios no solo sustituyen las regalías de DARZALEX, sino que en 2035 la empresa vende el doble que hoy con márgenes de empresa de regalías. Eso no tiene precedente en la propia Genmab (que nunca ha lanzado sola un producto) y supera a los mejores de su grupo. Con la prima de riesgo que hoy pide el mercado (4,2 %, WACC del 8,61 %) el valor sube a 309,72 USD, todavía un 18,3 % por debajo del precio. La rentabilidad anual implícita en el precio es del 7,9 %, por debajo de nuestro WACC (9,7 %) y del que pide el mercado (8,6 %): el precio es exigente.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de las dos fases 3 de petosemtamab o la de Rina-S en ovario fracasa o llega tarde (como DLBCL-1 no logró supervivencia), y la caída de las regalías de 2029 no se compensa: ingresos 4 puntos por debajo cada año y margen 5 puntos menor, con deterioro de parte de los 9.123 M de intangibles de Merus.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lanzamientos de 2027 salen en plazo y EPKINLY gana la primera línea de linfoma difuso; los ingresos caen un 13 % en 2029 y vuelven a crecer desde 2030 hasta ≈8.100 M en 2035 con un margen del 33 %.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Petosemtamab supera los 1.000 M en 2029 y Rina-S se convierte en el estándar en ovario resistente a platino; DARZALEX crece más de lo previsto hasta 2028 y la caída de 2029 es menor: ingresos 3 puntos por encima cada año y margen 3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379,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260,49 USD (-31,3 %).</w:t>
      </w:r>
    </w:p>
    <w:p>
      <w:pPr>
        <w:spacing w:after="100"/>
      </w:pPr>
      <w:r>
        <w:t xml:space="preserve">La asimetría es mala: el alcista (365,46 USD) queda un 3,6 % por debajo del precio y el bajista (152,05 USD) un 59,9 %, con una asimetría de −0,06. Incluso si todo sale bien, el valor intrínseco no supera el precio actual: el mercado ya paga el escenario alcista. Con la prima del mercado el alcista llega a 448,55 USD, solo un 18 % por encima. No compensa comprar por valor intrínseco.</w:t>
      </w:r>
    </w:p>
    <w:p>
      <w:pPr>
        <w:pStyle w:val="Heading1"/>
      </w:pPr>
      <w:r>
        <w:t xml:space="preserve">22. Suma de partes</w:t>
      </w:r>
    </w:p>
    <w:p>
      <w:pPr>
        <w:pStyle w:val="Confianza"/>
        <w:spacing w:after="100"/>
      </w:pPr>
      <w:r>
        <w:t xml:space="preserve">Confianza: Media</w:t>
      </w:r>
    </w:p>
    <w:p>
      <w:pPr>
        <w:spacing w:after="100"/>
      </w:pPr>
      <w:r>
        <w:t xml:space="preserve">No aplica de forma fiable: las regalías y los productos propios comparten I+D y estructura, y la empresa no publica el beneficio de cada negocio. La caducidad de las regalías se recoge en la proyección del DCF año a año.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379,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255,04 USD (-32,7 % sobre 379,20).</w:t>
      </w:r>
    </w:p>
    <w:p>
      <w:pPr>
        <w:spacing w:after="100"/>
      </w:pPr>
      <w:r>
        <w:t xml:space="preserve">Pesamos el DCF (50 %) y los escenarios (40 %) porque recogen año a año la caducidad de las regalías, que es lo que define a Genmab. Los comparables pesan un 10 %: valoran el beneficio de los próximos 12 meses, que en 2029 cae, y dan 197,27 USD de mediana por PER. Las transacciones no pesan (sin múltiplos publicados). La dispersión entre métodos es grande, de 152 USD (bajista) a 365 USD (alcista), y ninguno llega al precio de 379,20 USD; solo el objetivo a 12 meses por PER (448,86 USD) lo supera, porque aplica a nuestro BPA normalizado un PER parecido al actual. La distancia entre las dos cifras es la tesis: el mercado paga hoy el éxito de la cartera, y en 12 meses puede seguir pagándolo si las fases 3 salen bien, pero el valor que generan los flujos no llega.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(22.9x) × 1.1 (tope: la mediana de 5 años, 28.5x,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+92,5 %</w:t>
            </w:r>
          </w:p>
        </w:tc>
      </w:tr>
    </w:tbl>
    <w:p>
      <w:pPr>
        <w:spacing w:after="160" w:before="0"/>
      </w:pPr>
    </w:p>
    <w:p>
      <w:pPr>
        <w:spacing w:after="100"/>
      </w:pPr>
      <w:r>
        <w:rPr>
          <w:b/>
          <w:bCs/>
        </w:rPr>
        <w:t xml:space="preserve">Objetivo a 12 meses (ponderado):</w:t>
      </w:r>
      <w:r>
        <w:t xml:space="preserve"> 448,86 USD (2.993,60 DKK) · rentabilidad +18,4 % (base +18,8 %) · señal Mantener.</w:t>
      </w:r>
    </w:p>
    <w:p>
      <w:pPr>
        <w:spacing w:after="100"/>
      </w:pPr>
      <w:r>
        <w:t xml:space="preserve">Para comparar, con la regla v2 (historia al cierre, mismo precio): 11,9x / 22,9x / 29,8x, 7,3 % Mantener; con el tope anterior del base (×1,3, 14-oct mediodía): 19,1 %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(23,14 USD) queda un 11 % por debajo del consenso (173 DKK = 25,94 USD) y el de 2027e (16,56) un 4 % por debajo (17,23) [29]: proyectamos ingresos de 2028 un 6 % menores (6.140 frente a 6.528 M) por prudencia con los lanzamientos. Pero el objetivo a 12 meses no usa el BPA de 2028 sino la media de 2028-2030 (17,88), porque el mercado mirará la caída de 2029; aun así, nuestro base (450,58 USD) queda un 14 % por encima del objetivo medio de los analistas (395,19 USD; 2.635,67 DKK), porque la regla aplica un PER de 25,2 veces, cerca de la historia de Genmab, a ese BPA. No lo acercamos al consenso: la diferencia sale del múltiplo, y el control v2 (base al PER actual de 22,9 veces) da un +7 %.</w:t>
      </w:r>
    </w:p>
    <w:p>
      <w:pPr>
        <w:keepNext/>
        <w:spacing w:after="100"/>
      </w:pPr>
      <w:r>
        <w:rPr>
          <w:b/>
          <w:bCs/>
        </w:rPr>
        <w:t xml:space="preserve">Del valor intrínseco al objetivo a 12 meses.</w:t>
      </w:r>
    </w:p>
    <w:p>
      <w:pPr>
        <w:spacing w:after="100"/>
      </w:pPr>
      <w:r>
        <w:t xml:space="preserve">El objetivo a 12 meses (448,86 USD; 2.993,60 DKK; +18,4 % ponderado y +18,8 % el base) y el valor intrínseco (255,04 USD; 1.700,95 DKK; −32,7 %) están a 76 puntos de distancia, la mayor que puede darse en este método. El objetivo dice que, si los lanzamientos siguen su curso, el mercado puede seguir pagando un PER de 25 veces el beneficio medio de 2028-2030 dentro de un año; el valor intrínseco dice que los flujos que vendrán después de la caducidad no justifican el precio. Para cerrar la distancia hacia arriba haría falta que petosemtamab y Rina-S superen claramente lo proyectado (el escenario alcista no basta). La tesis de valor es a más de un año y negativa.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subida; ventas de DARZALEX del 3T ya conocidas (4.239 M)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a la FDA de EPKINLY + R-CHOP en primera línea (DLBCL-2)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el mayor mercado de linfoma difuso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fase 3 de Rina-S (RAINFOL-02, ovario resistente a platino)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Binario: aprobación o ≈−15 % de valor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fase 3 de petosemtamab (LiGeR-HN1/HN2) y lanzamiento previsto en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Binario sobre los 9.123 M de intangibles de Merus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un año completo de deuda y lanzamientos.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Caducidad de la patente de daratumumab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≈60 % de las regalías de DARZALEX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o retraso de la fase 3 de petosemtamab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Clínico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designaciones de terapia innovadora y datos de fase 2 sólidos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LiGeR-HN1/HN2 o retraso de la presentación a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Caducidad de las regalías de DARZALEX (2029 EE. UU., 2031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base; adelanto de un año: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propios y otras regalías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de biosimilares o acuerdos de J&amp;J.</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Rina-S en ovario resistente a platino (RAINFOL-02)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Clínico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45,9 % de respuestas en fase 2 [38]; cinco fases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RAINFOL-02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Negociación de precios de Medicare para DARZALEX antes de 2029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versión subcutánea es más reciente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medicamentos seleccionados por los CMS.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covenants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regalías hasta 2028 para amortizar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 EBITDA &gt; 3,5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linfoma (Roche) y retirada de una indicación de EPKINLY tras DLBCL-1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DLBCL-2 y DLBCL-4 positivas [15,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la indicación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J&amp;J y de AbbVie (litigio por secretos comerciales)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licencia a largo plazo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Arbitrajes o demandas nuevas.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fundador (64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amplio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salida sin sucesor.</w:t>
            </w:r>
          </w:p>
        </w:tc>
      </w:tr>
    </w:tbl>
    <w:p>
      <w:pPr>
        <w:spacing w:after="160" w:before="0"/>
      </w:pPr>
    </w:p>
    <w:p>
      <w:pPr>
        <w:pStyle w:val="Heading2"/>
      </w:pPr>
      <w:r>
        <w:t xml:space="preserve">Pre-mortem</w:t>
      </w:r>
    </w:p>
    <w:p>
      <w:pPr>
        <w:spacing w:after="100"/>
      </w:pPr>
      <w:r>
        <w:t xml:space="preserve">Octubre de 2029: la acción ha perdido un 40 %. En 2027 la FDA aprobó petosemtamab, pero la segunda fase 3 (2L/3L) no mejoró la supervivencia y los oncólogos lo reservaron para pocos pacientes: vendió 400 M en 2029, no 1.000 M. Rina-S llegó a ovario resistente a platino, pero tres ADC del receptor de folato se repartieron el mercado. EPKINLY creció en primera línea, pero AbbVie se llevó la mitad del beneficio. En 2029 caducó la patente de EE. UU. de daratumumab y los ingresos cayeron un 18 % con un margen EBITDA del 20 %; Genmab reconoció un deterioro de 3.000 M en los intangibles de Merus, la deuda neta superó 3,5 veces el EBITDA y la empresa suspendió las recompras. El mercado, que en 2026 pagaba 23 veces el beneficio, pasó a valorarla como Royalty Pharma o BioMarin (10 veces) sobre un beneficio la mitad de alto. Las señales que lo anticipaban: el ROIC del 14,3 % tras Merus, la DLBCL-1 sin supervivencia y un precio que exigía un 12,7 % de crecimiento anual.</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w:t>
      </w:r>
    </w:p>
    <w:p>
      <w:pPr>
        <w:spacing w:after="100"/>
      </w:pPr>
      <w:r>
        <w:t xml:space="preserve">La IA no amenaza el producto (anticuerpos para el cáncer) ni las regalías, que dependen de patentes y de la eficacia clínica. Puede ayudar en el descubrimiento de anticuerpos y en el diseño de ensayos, donde Genmab gasta 1.606 M al año [2]: un ahorro del 5-10 % del tiempo de desarrollo valdría poco frente al tamaño de los activos actuales. El riesgo es indirecto: competidores con plataformas de diseño por IA podrían acelerar biespecíficos rivales en las mismas dianas (CD20xCD3, EGFR). Señal: aprobaciones de anticuerpos diseñados con IA en las indicaciones de EPKINLY o petosemtamab. Riesgo de IA para el negocio: bajo.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en Genmab es el acceso y precio de los medicamentos (presión regulatoria en EE. UU. sobre biológicos de 13 años: DARZALEX) [1], la seguridad de los ensayos clínicos (síndrome de liberación de citoquinas en los biespecíficos) y el gobierno: la junta de 2026 tuvo que retirar la remuneración del consejo y aprobarla en una junta extraordinaria en octubre tras consultar a los accionistas [20, 22]. Las emisiones son poco relevantes para un desarrollador sin fábricas propias.</w:t>
      </w:r>
    </w:p>
    <w:p>
      <w:pPr>
        <w:pStyle w:val="Heading2"/>
      </w:pPr>
      <w:r>
        <w:t xml:space="preserve">Controversias</w:t>
      </w:r>
    </w:p>
    <w:p>
      <w:pPr>
        <w:spacing w:after="100"/>
      </w:pPr>
      <w:r>
        <w:t xml:space="preserve">Sin sanciones de reguladores en los tres últimos años según el 20-F. Litigios por patentes con Chugai (EPKINLY en Japón) y una demanda de AbbVie por secretos comerciales presentada en el 4T25, sin provisión [1,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Petosemtamab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esperan los datos de LiGeR-HN1 y HN2 y qué ventas suponen para 2029 en el plan de compra de Merus?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9.123 M de intangibles y el lanzamiento de 2027 [18].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Caducidad de DARZALEX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regalías de DARZALEX cae en 2029 y cuál sigue cubierta por patentes de la versión subcutánea u otros países?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arbitraje excluyó las patentes subcutáneas de J&amp;J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esperan con una cartera de productos propios, sin regalías de DARZALEX?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43,3 %; nuestro base, un 33 %.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apalancamiento y cuánto de la caja de 2027-2028 irá a amortizar el préstamo A antes de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860 M en 2030, justo tras la caducidad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EPKINLY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la indicación de tercera línea de linfoma difuso tras DLBCL-1?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DLBCL-1 no logró la supervivencia global [17].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diferenciará frente a Elahere de AbbVie, que es también su socio en EPKINLY?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directa en ovario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¿Introducirán objetivos de rentabilidad (ROIC, TSR) en las RSU de la dirección?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69 % del pago del consejero delegado son RSU sin métricas publicadas [2].</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($GMAB)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tras la fase 3 DLBCL-2 del 5-oct: mensajes de «nuevo estándar» en primera línea y objetivos de 50-100 USD por ADS sin cifras que los sostengan; algún mensaje que la llama «aburrida pero constante»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destacan que DARZALEX supera las previsiones de ventas; otros que el potencial es «ajustado» y que la tesis depende de varios resultados binarios (petosemtamab, Rina-S, EPKINLY en primera línea)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especializada (European Biotechnology, The Pharma Letter)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del «revés» de julio: la DLBCL-1 no mejoró la supervivencia global, el único objetivo principal en EE. UU. [19,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EPKINLY en primera línea de linfoma difuso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(HR 0,49 en supervivencia libre de progresión) pero aún sin supervivencia global ni aprobación; y EPKINLY se reparte con AbbVie [3, 15].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Caducidad de DARZALEX en 2029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del informe: el 66 % de los ingresos caduca entre 2029 y 2031 [1,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binarios de petosemtamab y Rina-S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la compra de Merus (≈8.000 M) depende de dos fases 3 [18].</w:t>
            </w:r>
          </w:p>
        </w:tc>
      </w:tr>
    </w:tbl>
    <w:p>
      <w:pPr>
        <w:spacing w:after="160" w:before="0"/>
      </w:pPr>
    </w:p>
    <w:p>
      <w:pPr>
        <w:spacing w:after="100"/>
      </w:pPr>
      <w:r>
        <w:t xml:space="preserve">El foro de particulares está eufórico tras la DLBCL-2 y la acción en máximos de 52 semanas, mientras los artículos de análisis más extensos siguen divididos por la caducidad de DARZALEX y los resultados binarios. La euforia no cambia la valoración, pero sí advierte de que buena parte de la buena noticia ya está en el precio (+37 % en tres meses) y de que una fase 3 negativa de petosemtamab o Rina-S tendría el efecto contrario. No hemos encontrado debate en foros daneses (Euroinvestor, Shareholders.dk) accesible sin registro.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41 (25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26,5 % real: genera una variación de circulante de 165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26,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6-K (solo dan beneficio operativo y neto); 2) XBRL de los 6-K (sin amortización trimestral); 3) restas de acumulados (solo ingresos y beneficio operativo)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Transcripciones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(403); 2) Seeking Alpha (de pago); 3) prensa especializada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Detalle del balance de 2021 y 2022 en USD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cifras clave en USD); 2) XBRL de la SEC (solo 2023-2025 en USD); 3) 20-F de 2022 en DKK (no reexpresado)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independiente del tamaño del mercado oncológico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IQVIA (usada); 2) Evaluate Pharma (de pago); 3) DCAT (resume el mismo informe de IQVIA)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IQVIA (no publica cuotas); 2) informes anuales de los grandes; 3) estimación (no fiable con el perímetro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las cita); 2) MSCI y Sustainalytics (de pago o bloqueados);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 y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las juntas de 2024-2026 (sin recuento); 2) web de inversores (403); 3) prensa danesa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 informe anual (coste de personal 763 M / 2.694 empleados = 0,28 M, pero incluye pagos en acciones); 3) cálculo propio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transacciones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las compras de Genmab (sin ventas ni EBITDA del comprado); 2) operaciones de oncología 2020-2025 (Seagen, ImmunoGen, Mirati: múltiplos de prensa sin nota oficial leída); 3) cálculo propio sin cifras primarias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Finanstilsynet (xlsx mensual, solo por encima del 0,5 %: ninguna publicada leída); 2) Stock Analysis (1,00 % de las acciones en el ADS, no la acción danesa);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la foto actual gratis); 2) Stock Analysis (de pago); 3) Investing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(riesgos, patentes y plazo de las regalías de daratumumab, contratos con J&amp;J, AbbVie, Novartis y Pfizer, Item 6 y 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https://www.sec.gov/Archives/edgar/data/1434265/000143426526000014/gmab-20251231_d2.htm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(ESEF): cifras clave 2021-2025 en USD, cuenta, balance, flujos, deuda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Genmab A/S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https://filings.xbrl.org/529900MTJPDPE4MHJ122/2025-12-31/ESEF/DK/0/genmab-2025-12-31-1-en/reports/genmab-2025-12-31-1-en.xhtml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for the First Half of 2026 (6-K): cuenta, regalías por producto, deuda (nota 7), recompras, guía 2026 revisada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https://www.sec.gov/Archives/edgar/data/1434265/000143426526000108/gmab-20260630.htm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for the First Quarter of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https://www.sec.gov/Archives/edgar/data/1434265/000143426526000076/genmabinterimreportq12026.htm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for the First Nine Months of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https://www.sec.gov/Archives/edgar/data/1434265/000143426525000092/genmabinterimreportq32025.htm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(companyfacts) de los 20-F: cuenta, balance y flujos 2023-2025 en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https://data.sec.gov/api/xbrl/companyfacts/CIK0001434265.json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Announces Net Sales of DARZALEX for Third Quarter of 2026 (6-K): 4.239 M USD, 2.528 M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https://www.sec.gov/Archives/edgar/data/1434265/000143426526000136/gmab_20261013xex99d1.htm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Announces Net Sales of DARZALEX for 2025 (6-K): 14.351 M USD, 8.266 M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https://www.sec.gov/Archives/edgar/data/1434265/000143426526000004/gmab_20260121xex99d1.htm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Oncology Trends 2025: gasto mundial en medicamentos oncológicos 252.000 M USD en 2024 y 441.000 M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https://www.iqvia.com/insights/the-iqvia-institute/reports-and-publications/reports/global-oncology-trends-2025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Modalities &amp; More Upsides in the Oncology Drug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DCAT Value Chain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https://www.dcatvci.org/features/new-modalities-more-upsides-in-the-oncology-drug-market/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 10-K 2025 (XBRL: ingresos 61.160 M USD, resultado operativo 15.075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https://data.sec.gov/api/xbrl/companyfacts/CIK0001551152.json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10-K 2025 (XBRL: ingresos 14.343 M USD, resultado operativo 3.578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https://data.sec.gov/api/xbrl/companyfacts/CIK0000872589.json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10-K 2025 (XBRL: ventas 94.193 M USD, beneficio antes de impuestos 32.581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https://data.sec.gov/api/xbrl/companyfacts/CIK0000200406.json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Novartis y Sanofi: cuentas 2025 (ingresos y EBIT tomados de los análisis del repositorio del 14-oct-2026, que citan sus informes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 Novartis / 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and AbbVie Announce Epcoritamab in Combination with R-CHOP Demonstrates Statistically Significant Improvement in PFS (EPCORE DLBCL-2)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https://www.sec.gov/Archives/edgar/data/1434265/000143426526000132/gmab_20261015xex99d1.htm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Announces Positive Phase 3 Results for Epcoritamab Plus Lenalidomide (EPCORE DLBCL-4)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https://www.sec.gov/Archives/edgar/data/1434265/000143426526000100/gmab_20260629xex99d1.htm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Announces Topline Results for Epcoritamab from Phase 3 EPCORE DLBCL-1 (supervivencia global HR 0,96, no significativa)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https://www.sec.gov/Archives/edgar/data/1434265/000143426526000002/gmab_20260116xex99d1.htm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Announces Completion of Tender Offer for Merus (97 USD por acción; petosemtamab con al menos 1.000 M de ventas potenciales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https://www.sec.gov/Archives/edgar/data/1434265/000143426525000110/gmab_20251212xex991.htm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and AbbVie's epcoritamab fails in phase 3 lymphoma study (confirmación del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Biotechnology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https://european-biotechnology.com/latest-news/genmab-abbvies-epcoritamab-phase-3-lymphoma/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Passing of Genmab A/S' Annual General Meeting (19-mar-2026: remuneración del consejo para 2026 retirada)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https://www.sec.gov/Archives/edgar/data/1434265/000143426526000044/gmab_20260319xex99d1x1.htm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para la junta extraordinaria del 7-oct-2026 (remuneración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https://www.sec.gov/Archives/edgar/data/1434265/000143426526000116/gmab_20260908xex99d3.htm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 Adopted at the Extraordinary General Meeting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https://www.sec.gov/Archives/edgar/data/1434265/000143426526000134/gmab_20261007xex99d1.htm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Orbis Investment Management (abr-jun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https://www.sec.gov/Archives/edgar/data/1434265/000143426526000092/gmab_20260615xex99d1.htm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Darwin Global Management, 5,11 % (28-sep-2026)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https://www.sec.gov/Archives/edgar/data/1434265/000143426526000129/gmab_20261002xex99d1.htm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Transactions with Shares by Managerial Employees (29-may-2026: venta de 526 acciones de M. Kavanagh)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https://www.sec.gov/Archives/edgar/data/1434265/000143426526000085/gmab_29052026xex99d1.htm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Transactions with Shares by Managerial Employees (27-feb-2026)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https://www.sec.gov/Archives/edgar/data/1434265/000143426526000031/gmab_20260227ex99d2.htm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Announces Initiation of Share Buy-Back Program (17-feb-2026)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https://www.sec.gov/Archives/edgar/data/1434265/000143426526000016/gmab_20260217xex99d1.htm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GMAB.CO, ^OMXC25 y EXV4.DE (precio, rango, rentabilidades,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https://finance.yahoo.com/quote/GMAB.CO/history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A/S: estimaciones anuales 2026-2028 (ingresos, EBITDA, EBIT, beneficio, BPA en DKK), 17 analistas, objetivo medio 2.635,67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https://www.marketscreener.com/quote/stock/GENMAB-A-S-447532/finances/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GMAB: estadísticas y previsiones (ADS; objetivo medio 44,4 USD, 12 analistas, «Strong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https://stockanalysis.com/stocks/gmab/forecast/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del Tesoro de EE. UU. a 10 años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(EUR/USD 1,1208 y EUR/DKK 7,475 el 15-oct-2026; cierres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biofarmacia (Incyte, United Therapeutics, Vertex, BioMarin, Jazz, Exelixis): estadísticas al cierre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(ficha sectorial del repositorio, sectores/biofarma-neurologia-2026-10-15)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Royalty Pharma (RPRX):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https://stockanalysis.com/stocks/rprx/statistics/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Halozyme (HALO):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https://stockanalysis.com/stocks/halo/statistics/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análisis sobre GMAB (resultados, conferencias, «late-stage trial setback» del 24-jul-2026)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https://seekingalpha.com/symbol/GMAB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$GMAB (30 mensajes, 1-12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https://api.stocktwits.com/api/2/streams/symbol/GMAB.json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análisis de lectores sobre GMAB («Darzalex Growth Fuels Rally, Upside Is Tight», «Multiple Binaries Could Alter The Thesis», «Multiple Late-Stage Readouts Ahead», «H1 Preview: Darzalex Beats The Sales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https://seekingalpha.com/api/sa/combined/GMAB.xml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Setback for Genmab and AbbVie's lymphoma drug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Pharma Letter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https://www.thepharmaletter.com/biotech-news/setback-for-genmab-and-abbvie-s-lymphoma-drug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 propio: BPA 2027e-2030e por escenario (ventas × margen EBITDA − amortización − financiero − impuestos ÷ 61,9 M de acciones), notas/supuestos.mjs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ninguna</w:t>
      </w:r>
      <w:r>
        <w:t xml:space="preserve"> · Generado el 15 oct 2026.</w:t>
      </w:r>
    </w:p>
    <w:p>
      <w:pPr>
        <w:pStyle w:val="Nota"/>
        <w:spacing w:after="100"/>
      </w:pPr>
      <w:r>
        <w:t xml:space="preserve">Se analiza la acción de Copenhague (GMAB, DKK), que es la que compraría un inversor europeo; el ADS del Nasdaq (GMAB) equivale a 1/10 de acción. Las cuentas se publican en USD desde 2025 (con 2021-2024 reexpresados en las cifras clave), así que todo el informe va en USD y el precio se convierte a 6,6693 DKK por USD (BCE, 15-oct-2026) [33]; el motor da los niveles también en DKK. 2021 y 2022 solo tienen cifras clave en USD (sin amortizaciones, circulante ni balance detallado). El precio es el cierre de Copenhague del 15-oct-2026 (2.529 DKK). El consenso de MarketScreener está en DKK y se ha convertido al mismo tipo. El BPA del objetivo a 12 meses es la media de 2028e-2030e porque 2028 es el último año antes de que caduque la patente de daratumumab en EE. UU.: aplicar el PER a un BPA de 2028 sin normalizar supondría que el mercado ignorará la caída de 2029.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Genmab A/S (GMAB)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379,20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(226,71 – 390,30)</c:v>
                </c:pt>
                <c:pt idx="1">
                  <c:v>Precio objetivo de los analistas (334,98 – 579,97)</c:v>
                </c:pt>
                <c:pt idx="2">
                  <c:v>Comparables: PER NTM (165,74 – 304,80)</c:v>
                </c:pt>
                <c:pt idx="3">
                  <c:v>DCF (WACC y g ± 0,5) (228,31 – 306,90)</c:v>
                </c:pt>
                <c:pt idx="4">
                  <c:v>Escenarios (bajista – alcista) (152,05 – 365,46)</c:v>
                </c:pt>
                <c:pt idx="5">
                  <c:v>DCF con la prima implícita del mercado (4,2 %)</c:v>
                </c:pt>
                <c:pt idx="6">
                  <c:v>Precio actual (379,20)</c:v>
                </c:pt>
              </c:strCache>
            </c:strRef>
          </c:cat>
          <c:val>
            <c:numRef>
              <c:f>Hoja1!$B$2:$B$8</c:f>
              <c:numCache>
                <c:formatCode>#,##0</c:formatCode>
                <c:ptCount val="7"/>
                <c:pt idx="0">
                  <c:v>226.71</c:v>
                </c:pt>
                <c:pt idx="1">
                  <c:v>334.98</c:v>
                </c:pt>
                <c:pt idx="2">
                  <c:v>165.74</c:v>
                </c:pt>
                <c:pt idx="3">
                  <c:v>228.31</c:v>
                </c:pt>
                <c:pt idx="4">
                  <c:v>152.05</c:v>
                </c:pt>
                <c:pt idx="5">
                  <c:v>292.02</c:v>
                </c:pt>
                <c:pt idx="6">
                  <c:v>377.3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(226,71 – 390,30)</c:v>
                </c:pt>
                <c:pt idx="1">
                  <c:v>Precio objetivo de los analistas (334,98 – 579,97)</c:v>
                </c:pt>
                <c:pt idx="2">
                  <c:v>Comparables: PER NTM (165,74 – 304,80)</c:v>
                </c:pt>
                <c:pt idx="3">
                  <c:v>DCF (WACC y g ± 0,5) (228,31 – 306,90)</c:v>
                </c:pt>
                <c:pt idx="4">
                  <c:v>Escenarios (bajista – alcista) (152,05 – 365,46)</c:v>
                </c:pt>
                <c:pt idx="5">
                  <c:v>DCF con la prima implícita del mercado (4,2 %)</c:v>
                </c:pt>
                <c:pt idx="6">
                  <c:v>Precio actual (379,20)</c:v>
                </c:pt>
              </c:strCache>
            </c:strRef>
          </c:cat>
          <c:val>
            <c:numRef>
              <c:f>Hoja1!$C$2:$C$8</c:f>
              <c:numCache>
                <c:formatCode>#,##0</c:formatCode>
                <c:ptCount val="7"/>
                <c:pt idx="0">
                  <c:v>163.59</c:v>
                </c:pt>
                <c:pt idx="1">
                  <c:v>244.99</c:v>
                </c:pt>
                <c:pt idx="2">
                  <c:v>139.06</c:v>
                </c:pt>
                <c:pt idx="3">
                  <c:v>78.58999999999997</c:v>
                </c:pt>
                <c:pt idx="4">
                  <c:v>213.40999999999997</c:v>
                </c:pt>
                <c:pt idx="5">
                  <c:v>67.69</c:v>
                </c:pt>
                <c:pt idx="6">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Regalías: DARZALEX</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1635</c:v>
                </c:pt>
                <c:pt idx="1">
                  <c:v>2019</c:v>
                </c:pt>
                <c:pt idx="2">
                  <c:v>2443</c:v>
                </c:pt>
              </c:numCache>
            </c:numRef>
          </c:val>
        </c:ser>
        <c:ser>
          <c:idx val="1"/>
          <c:order val="1"/>
          <c:tx>
            <c:strRef>
              <c:f>Hoja1!$C$1</c:f>
              <c:strCache>
                <c:ptCount val="1"/>
                <c:pt idx="0">
                  <c:v>Regalías: Kesimpta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217</c:v>
                </c:pt>
                <c:pt idx="1">
                  <c:v>323</c:v>
                </c:pt>
                <c:pt idx="2">
                  <c:v>443</c:v>
                </c:pt>
              </c:numCache>
            </c:numRef>
          </c:val>
        </c:ser>
        <c:ser>
          <c:idx val="2"/>
          <c:order val="2"/>
          <c:tx>
            <c:strRef>
              <c:f>Hoja1!$D$1</c:f>
              <c:strCache>
                <c:ptCount val="1"/>
                <c:pt idx="0">
                  <c:v>Otras regalías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137</c:v>
                </c:pt>
                <c:pt idx="1">
                  <c:v>175</c:v>
                </c:pt>
                <c:pt idx="2">
                  <c:v>216</c:v>
                </c:pt>
              </c:numCache>
            </c:numRef>
          </c:val>
        </c:ser>
        <c:ser>
          <c:idx val="3"/>
          <c:order val="3"/>
          <c:tx>
            <c:strRef>
              <c:f>Hoja1!$E$1</c:f>
              <c:strCache>
                <c:ptCount val="1"/>
                <c:pt idx="0">
                  <c:v>Ventas propias y colaboración</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106</c:v>
                </c:pt>
                <c:pt idx="1">
                  <c:v>315</c:v>
                </c:pt>
                <c:pt idx="2">
                  <c:v>468</c:v>
                </c:pt>
              </c:numCache>
            </c:numRef>
          </c:val>
        </c:ser>
        <c:ser>
          <c:idx val="4"/>
          <c:order val="4"/>
          <c:tx>
            <c:strRef>
              <c:f>Hoja1!$F$1</c:f>
              <c:strCache>
                <c:ptCount val="1"/>
                <c:pt idx="0">
                  <c:v>Hitos y reembolsos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295</c:v>
                </c:pt>
                <c:pt idx="1">
                  <c:v>289</c:v>
                </c:pt>
                <c:pt idx="2">
                  <c:v>150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Regalías: DARZALEX</c:v>
                </c:pt>
                <c:pt idx="1">
                  <c:v>Regalías: Kesimpta</c:v>
                </c:pt>
                <c:pt idx="2">
                  <c:v>Otras regalías</c:v>
                </c:pt>
                <c:pt idx="3">
                  <c:v>Ventas propias y colaboración</c:v>
                </c:pt>
                <c:pt idx="4">
                  <c:v>Hitos y reembolsos</c:v>
                </c:pt>
              </c:strCache>
            </c:strRef>
          </c:cat>
          <c:val>
            <c:numRef>
              <c:f>Hoja1!$B$2:$B$6</c:f>
              <c:numCache>
                <c:formatCode>General</c:formatCode>
                <c:ptCount val="5"/>
                <c:pt idx="0">
                  <c:v>65.7</c:v>
                </c:pt>
                <c:pt idx="1">
                  <c:v>11.9</c:v>
                </c:pt>
                <c:pt idx="2">
                  <c:v>5.8</c:v>
                </c:pt>
                <c:pt idx="3">
                  <c:v>12.6</c:v>
                </c:pt>
                <c:pt idx="4">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2020</c:v>
                </c:pt>
                <c:pt idx="1">
                  <c:v>2024</c:v>
                </c:pt>
                <c:pt idx="2">
                  <c:v>2029e</c:v>
                </c:pt>
              </c:strCache>
            </c:strRef>
          </c:cat>
          <c:val>
            <c:numRef>
              <c:f>Hoja1!$B$2:$B$4</c:f>
              <c:numCache>
                <c:formatCode>#,##0</c:formatCode>
                <c:ptCount val="3"/>
                <c:pt idx="0">
                  <c:v>144000</c:v>
                </c:pt>
                <c:pt idx="1">
                  <c:v>252000</c:v>
                </c:pt>
                <c:pt idx="2">
                  <c:v>441000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Genmab</c:v>
                </c:pt>
                <c:pt idx="1">
                  <c:v>Roche</c:v>
                </c:pt>
                <c:pt idx="2">
                  <c:v>AbbVie</c:v>
                </c:pt>
                <c:pt idx="3">
                  <c:v>Johnson &amp; Johnson</c:v>
                </c:pt>
                <c:pt idx="4">
                  <c:v>Sanofi</c:v>
                </c:pt>
                <c:pt idx="5">
                  <c:v>Novartis</c:v>
                </c:pt>
                <c:pt idx="6">
                  <c:v>Regeneron</c:v>
                </c:pt>
              </c:strCache>
            </c:strRef>
          </c:cat>
          <c:val>
            <c:numRef>
              <c:f>Hoja1!$B$2:$B$8</c:f>
              <c:numCache>
                <c:formatCode>0.0"%"</c:formatCode>
                <c:ptCount val="7"/>
                <c:pt idx="0">
                  <c:v>28.6</c:v>
                </c:pt>
                <c:pt idx="1">
                  <c:v>29.2</c:v>
                </c:pt>
                <c:pt idx="2">
                  <c:v>24.6</c:v>
                </c:pt>
                <c:pt idx="3">
                  <c:v>34.6</c:v>
                </c:pt>
                <c:pt idx="4">
                  <c:v>27.8</c:v>
                </c:pt>
                <c:pt idx="5">
                  <c:v>31.1</c:v>
                </c:pt>
                <c:pt idx="6">
                  <c:v>24.9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1337</c:v>
                </c:pt>
                <c:pt idx="1">
                  <c:v>2031</c:v>
                </c:pt>
                <c:pt idx="2">
                  <c:v>2390</c:v>
                </c:pt>
                <c:pt idx="3">
                  <c:v>3121</c:v>
                </c:pt>
                <c:pt idx="4">
                  <c:v>3720</c:v>
                </c:pt>
                <c:pt idx="5">
                  <c:v>4425</c:v>
                </c:pt>
                <c:pt idx="6">
                  <c:v>5248</c:v>
                </c:pt>
                <c:pt idx="7">
                  <c:v>6140</c:v>
                </c:pt>
                <c:pt idx="8">
                  <c:v>5342</c:v>
                </c:pt>
                <c:pt idx="9">
                  <c:v>6143</c:v>
                </c:pt>
                <c:pt idx="10">
                  <c:v>6020</c:v>
                </c:pt>
                <c:pt idx="11">
                  <c:v>6743</c:v>
                </c:pt>
                <c:pt idx="12">
                  <c:v>7350</c:v>
                </c:pt>
                <c:pt idx="13">
                  <c:v>7791</c:v>
                </c:pt>
                <c:pt idx="14">
                  <c:v>8102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2">
                  <c:v>815</c:v>
                </c:pt>
                <c:pt idx="3">
                  <c:v>1032</c:v>
                </c:pt>
                <c:pt idx="4">
                  <c:v>1136</c:v>
                </c:pt>
                <c:pt idx="5">
                  <c:v>1199</c:v>
                </c:pt>
                <c:pt idx="6">
                  <c:v>1627</c:v>
                </c:pt>
                <c:pt idx="7">
                  <c:v>2149</c:v>
                </c:pt>
                <c:pt idx="8">
                  <c:v>1282</c:v>
                </c:pt>
                <c:pt idx="9">
                  <c:v>1659</c:v>
                </c:pt>
                <c:pt idx="10">
                  <c:v>1565</c:v>
                </c:pt>
                <c:pt idx="11">
                  <c:v>1955</c:v>
                </c:pt>
                <c:pt idx="12">
                  <c:v>2278</c:v>
                </c:pt>
                <c:pt idx="13">
                  <c:v>2493</c:v>
                </c:pt>
                <c:pt idx="14">
                  <c:v>2674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100</c:v>
                </c:pt>
                <c:pt idx="1">
                  <c:v>100</c:v>
                </c:pt>
                <c:pt idx="2">
                  <c:v>98.6</c:v>
                </c:pt>
                <c:pt idx="3">
                  <c:v>95.4</c:v>
                </c:pt>
                <c:pt idx="4">
                  <c:v>93.6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34.1</c:v>
                </c:pt>
                <c:pt idx="3">
                  <c:v>33.1</c:v>
                </c:pt>
                <c:pt idx="4">
                  <c:v>30.5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35.1</c:v>
                </c:pt>
                <c:pt idx="1">
                  <c:v>42.6</c:v>
                </c:pt>
                <c:pt idx="2">
                  <c:v>32.3</c:v>
                </c:pt>
                <c:pt idx="3">
                  <c:v>31.1</c:v>
                </c:pt>
                <c:pt idx="4">
                  <c:v>28.6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35.2</c:v>
                </c:pt>
                <c:pt idx="1">
                  <c:v>36.9</c:v>
                </c:pt>
                <c:pt idx="2">
                  <c:v>26.4</c:v>
                </c:pt>
                <c:pt idx="3">
                  <c:v>36.3</c:v>
                </c:pt>
                <c:pt idx="4">
                  <c:v>25.9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25.2</c:v>
                </c:pt>
                <c:pt idx="5">
                  <c:v>14.6</c:v>
                </c:pt>
                <c:pt idx="6">
                  <c:v>25.3</c:v>
                </c:pt>
                <c:pt idx="7">
                  <c:v>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112</c:v>
                </c:pt>
                <c:pt idx="3">
                  <c:v>108</c:v>
                </c:pt>
                <c:pt idx="4">
                  <c:v>109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88</c:v>
                </c:pt>
                <c:pt idx="3">
                  <c:v>23</c:v>
                </c:pt>
                <c:pt idx="4">
                  <c:v>28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542</c:v>
                </c:pt>
                <c:pt idx="3">
                  <c:v>230</c:v>
                </c:pt>
                <c:pt idx="4">
                  <c:v>222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314</c:v>
                </c:pt>
                <c:pt idx="1">
                  <c:v>510</c:v>
                </c:pt>
                <c:pt idx="2">
                  <c:v>1003</c:v>
                </c:pt>
                <c:pt idx="3">
                  <c:v>1073</c:v>
                </c:pt>
                <c:pt idx="4">
                  <c:v>1118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470</c:v>
                </c:pt>
                <c:pt idx="1">
                  <c:v>750</c:v>
                </c:pt>
                <c:pt idx="2">
                  <c:v>631</c:v>
                </c:pt>
                <c:pt idx="3">
                  <c:v>1133</c:v>
                </c:pt>
                <c:pt idx="4">
                  <c:v>963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106.7</c:v>
                </c:pt>
                <c:pt idx="1">
                  <c:v>129.2</c:v>
                </c:pt>
                <c:pt idx="2">
                  <c:v>88.8</c:v>
                </c:pt>
                <c:pt idx="3">
                  <c:v>56.2</c:v>
                </c:pt>
                <c:pt idx="4">
                  <c:v>14.3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9.7</c:v>
                </c:pt>
                <c:pt idx="1">
                  <c:v>9.7</c:v>
                </c:pt>
                <c:pt idx="2">
                  <c:v>9.7</c:v>
                </c:pt>
                <c:pt idx="3">
                  <c:v>9.7</c:v>
                </c:pt>
                <c:pt idx="4">
                  <c:v>9.7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13.8</c:v>
                </c:pt>
                <c:pt idx="1">
                  <c:v>20.5</c:v>
                </c:pt>
                <c:pt idx="2">
                  <c:v>14.7</c:v>
                </c:pt>
                <c:pt idx="3">
                  <c:v>23.1</c:v>
                </c:pt>
                <c:pt idx="4">
                  <c:v>17.5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2">
                  <c:v>-4.98</c:v>
                </c:pt>
                <c:pt idx="3">
                  <c:v>-2.72</c:v>
                </c:pt>
                <c:pt idx="4">
                  <c:v>3.27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150</c:v>
                </c:pt>
                <c:pt idx="1">
                  <c:v>70</c:v>
                </c:pt>
                <c:pt idx="2">
                  <c:v>70</c:v>
                </c:pt>
                <c:pt idx="3">
                  <c:v>70</c:v>
                </c:pt>
                <c:pt idx="4">
                  <c:v>860</c:v>
                </c:pt>
                <c:pt idx="5">
                  <c:v>4155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1783</c:v>
                </c:pt>
                <c:pt idx="4">
                  <c:v>7215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2">
                  <c:v>81</c:v>
                </c:pt>
                <c:pt idx="3">
                  <c:v>560</c:v>
                </c:pt>
                <c:pt idx="4">
                  <c:v>430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5</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Orbis Investment Management</c:v>
                </c:pt>
                <c:pt idx="1">
                  <c:v>Darwin Global Management</c:v>
                </c:pt>
                <c:pt idx="2">
                  <c:v>BlackRock</c:v>
                </c:pt>
                <c:pt idx="3">
                  <c:v>Consejo y dirección</c:v>
                </c:pt>
                <c:pt idx="4">
                  <c:v>Autocartera</c:v>
                </c:pt>
              </c:strCache>
            </c:strRef>
          </c:cat>
          <c:val>
            <c:numRef>
              <c:f>Hoja1!$B$2:$B$6</c:f>
              <c:numCache>
                <c:formatCode>0.0"%"</c:formatCode>
                <c:ptCount val="5"/>
                <c:pt idx="0">
                  <c:v>5</c:v>
                </c:pt>
                <c:pt idx="1">
                  <c:v>5.11</c:v>
                </c:pt>
                <c:pt idx="2">
                  <c:v>5.8</c:v>
                </c:pt>
                <c:pt idx="3">
                  <c:v>1.27</c:v>
                </c:pt>
                <c:pt idx="4">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27.8</c:v>
                </c:pt>
                <c:pt idx="1">
                  <c:v>-12.3</c:v>
                </c:pt>
                <c:pt idx="2">
                  <c:v>3.7</c:v>
                </c:pt>
                <c:pt idx="3">
                  <c:v>38.8</c:v>
                </c:pt>
                <c:pt idx="4">
                  <c:v>66.3</c:v>
                </c:pt>
                <c:pt idx="5">
                  <c:v>6.8</c:v>
                </c:pt>
                <c:pt idx="6">
                  <c:v>11.8</c:v>
                </c:pt>
                <c:pt idx="7">
                  <c:v>-26.7</c:v>
                </c:pt>
                <c:pt idx="8">
                  <c:v>-30.7</c:v>
                </c:pt>
                <c:pt idx="9">
                  <c:v>35.8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12.8</c:v>
                </c:pt>
                <c:pt idx="2">
                  <c:v>-13.2</c:v>
                </c:pt>
                <c:pt idx="3">
                  <c:v>26</c:v>
                </c:pt>
                <c:pt idx="4">
                  <c:v>33.7</c:v>
                </c:pt>
                <c:pt idx="5">
                  <c:v>17.2</c:v>
                </c:pt>
                <c:pt idx="6">
                  <c:v>-13.5</c:v>
                </c:pt>
                <c:pt idx="7">
                  <c:v>7.1</c:v>
                </c:pt>
                <c:pt idx="8">
                  <c:v>-2.4</c:v>
                </c:pt>
                <c:pt idx="9">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20.9</c:v>
                </c:pt>
                <c:pt idx="3">
                  <c:v>10.3</c:v>
                </c:pt>
                <c:pt idx="4">
                  <c:v>20.9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20.9</c:v>
                </c:pt>
                <c:pt idx="1">
                  <c:v>20.9</c:v>
                </c:pt>
                <c:pt idx="2">
                  <c:v>20.9</c:v>
                </c:pt>
                <c:pt idx="3">
                  <c:v>20.9</c:v>
                </c:pt>
                <c:pt idx="4">
                  <c:v>20.9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Genmab</c:v>
                </c:pt>
                <c:pt idx="1">
                  <c:v>Incyte</c:v>
                </c:pt>
                <c:pt idx="2">
                  <c:v>United Therapeutics</c:v>
                </c:pt>
                <c:pt idx="3">
                  <c:v>Vertex</c:v>
                </c:pt>
                <c:pt idx="4">
                  <c:v>BioMarin</c:v>
                </c:pt>
                <c:pt idx="5">
                  <c:v>Jazz Pharmaceuticals</c:v>
                </c:pt>
                <c:pt idx="6">
                  <c:v>Exelixis</c:v>
                </c:pt>
                <c:pt idx="7">
                  <c:v>Royalty Pharma</c:v>
                </c:pt>
                <c:pt idx="8">
                  <c:v>Halozyme</c:v>
                </c:pt>
              </c:strCache>
            </c:strRef>
          </c:cat>
          <c:val>
            <c:numRef>
              <c:f>Hoja1!$B$2:$B$10</c:f>
              <c:numCache>
                <c:formatCode>0.0"x"</c:formatCode>
                <c:ptCount val="9"/>
                <c:pt idx="0">
                  <c:v>17.3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893</c:v>
                </c:pt>
                <c:pt idx="1">
                  <c:v>1119</c:v>
                </c:pt>
                <c:pt idx="2">
                  <c:v>1433</c:v>
                </c:pt>
                <c:pt idx="3">
                  <c:v>1183</c:v>
                </c:pt>
                <c:pt idx="4">
                  <c:v>1058</c:v>
                </c:pt>
                <c:pt idx="5">
                  <c:v>1220</c:v>
                </c:pt>
                <c:pt idx="6">
                  <c:v>1301</c:v>
                </c:pt>
                <c:pt idx="7">
                  <c:v>1581</c:v>
                </c:pt>
                <c:pt idx="8">
                  <c:v>1782</c:v>
                </c:pt>
                <c:pt idx="9">
                  <c:v>1954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8280</c:v>
                </c:pt>
                <c:pt idx="1">
                  <c:v>11910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379,20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152.05</c:v>
                </c:pt>
                <c:pt idx="1">
                  <c:v>262.23</c:v>
                </c:pt>
                <c:pt idx="2">
                  <c:v>365.46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379,20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(226,71 – 390,30)</c:v>
                </c:pt>
                <c:pt idx="1">
                  <c:v>Precio objetivo de los analistas (334,98 – 579,97)</c:v>
                </c:pt>
                <c:pt idx="2">
                  <c:v>Comparables: PER NTM (165,74 – 304,80)</c:v>
                </c:pt>
                <c:pt idx="3">
                  <c:v>DCF (WACC y g ± 0,5) (228,31 – 306,90)</c:v>
                </c:pt>
                <c:pt idx="4">
                  <c:v>Escenarios (bajista – alcista) (152,05 – 365,46)</c:v>
                </c:pt>
                <c:pt idx="5">
                  <c:v>DCF con la prima implícita del mercado (4,2 %)</c:v>
                </c:pt>
                <c:pt idx="6">
                  <c:v>Precio actual (379,20)</c:v>
                </c:pt>
              </c:strCache>
            </c:strRef>
          </c:cat>
          <c:val>
            <c:numRef>
              <c:f>Hoja1!$B$2:$B$8</c:f>
              <c:numCache>
                <c:formatCode>#,##0</c:formatCode>
                <c:ptCount val="7"/>
                <c:pt idx="0">
                  <c:v>226.71</c:v>
                </c:pt>
                <c:pt idx="1">
                  <c:v>334.98</c:v>
                </c:pt>
                <c:pt idx="2">
                  <c:v>165.74</c:v>
                </c:pt>
                <c:pt idx="3">
                  <c:v>228.31</c:v>
                </c:pt>
                <c:pt idx="4">
                  <c:v>152.05</c:v>
                </c:pt>
                <c:pt idx="5">
                  <c:v>292.02</c:v>
                </c:pt>
                <c:pt idx="6">
                  <c:v>377.3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(226,71 – 390,30)</c:v>
                </c:pt>
                <c:pt idx="1">
                  <c:v>Precio objetivo de los analistas (334,98 – 579,97)</c:v>
                </c:pt>
                <c:pt idx="2">
                  <c:v>Comparables: PER NTM (165,74 – 304,80)</c:v>
                </c:pt>
                <c:pt idx="3">
                  <c:v>DCF (WACC y g ± 0,5) (228,31 – 306,90)</c:v>
                </c:pt>
                <c:pt idx="4">
                  <c:v>Escenarios (bajista – alcista) (152,05 – 365,46)</c:v>
                </c:pt>
                <c:pt idx="5">
                  <c:v>DCF con la prima implícita del mercado (4,2 %)</c:v>
                </c:pt>
                <c:pt idx="6">
                  <c:v>Precio actual (379,20)</c:v>
                </c:pt>
              </c:strCache>
            </c:strRef>
          </c:cat>
          <c:val>
            <c:numRef>
              <c:f>Hoja1!$C$2:$C$8</c:f>
              <c:numCache>
                <c:formatCode>#,##0</c:formatCode>
                <c:ptCount val="7"/>
                <c:pt idx="0">
                  <c:v>163.59</c:v>
                </c:pt>
                <c:pt idx="1">
                  <c:v>244.99</c:v>
                </c:pt>
                <c:pt idx="2">
                  <c:v>139.06</c:v>
                </c:pt>
                <c:pt idx="3">
                  <c:v>78.58999999999997</c:v>
                </c:pt>
                <c:pt idx="4">
                  <c:v>213.40999999999997</c:v>
                </c:pt>
                <c:pt idx="5">
                  <c:v>67.69</c:v>
                </c:pt>
                <c:pt idx="6">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