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Halozyme Therapeutics, Inc.</w:t>
      </w:r>
    </w:p>
    <w:p>
      <w:pPr>
        <w:spacing w:after="60"/>
        <w:rPr>
          <w:color w:val="52514E"/>
          <w:sz w:val="22"/>
          <w:szCs w:val="22"/>
        </w:rPr>
      </w:pPr>
      <w:r>
        <w:rPr>
          <w:color w:val="52514E"/>
          <w:sz w:val="22"/>
          <w:szCs w:val="22"/>
        </w:rPr>
        <w:t xml:space="preserve">HALO · Nasdaq Global Select · ISIN US40637H1095 · Salud</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15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116,82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121,40 USD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+3,9 % (base +1,8 %)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100,36 USD · mercado 119,22</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13.831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11,9x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2,2x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Halozyme Therapeutics, Inc.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HALO / US40637H1095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Nasdaq Global Select</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 (SPY); sector: Nasdaq Biotechnology (IBB)</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Salud / Biotecnología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San Diego (California) · 1998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www.halozyme.com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116,82 (14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61,23 – 119,21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118,4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98,8 %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13.831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16.247 M USD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230 M USD/día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 nov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Baja · Objetivo a 12 meses </w:t>
      </w:r>
      <w:r>
        <w:rPr>
          <w:b/>
          <w:bCs/>
        </w:rPr>
        <w:t xml:space="preserve">121,40 USD</w:t>
      </w:r>
      <w:r>
        <w:t xml:space="preserve"> frente a 116,82 · Rentabilidad a 12 meses </w:t>
      </w:r>
      <w:r>
        <w:rPr>
          <w:b/>
          <w:bCs/>
        </w:rPr>
        <w:t xml:space="preserve">+3,9 % (base +1,8 %)</w:t>
      </w:r>
      <w:r>
        <w:t xml:space="preserve"> · Valor intrínseco 100,36 USD · con la prima implícita del mercado: 119,22 (+2,1 %) · Alcista / bajista +7,0 % / -45,6 %</w:t>
      </w:r>
    </w:p>
    <w:p>
      <w:pPr>
        <w:spacing w:after="100"/>
      </w:pPr>
      <w:r>
        <w:rPr>
          <w:b/>
        </w:rPr>
        <w:t xml:space="preserve">La recomendación y por qué.</w:t>
      </w:r>
      <w:r>
        <w:t xml:space="preserve"> Mantener (no comprar), con convicción baja. El objetivo a 12 meses es de 121,40 USD, un +3,9 % sobre el cierre de 116,82 (base 118,92, +1,8 %); el valor intrínseco es de 100,36, un 14,1 % por debajo del precio, y el objetivo medio de los analistas (108,78) también queda por debajo [28]. Halozyme es un negocio excelente que ya cotiza su excelencia: tras subir un 82 % en seis meses, el precio descuenta que las regalías seguirán creciendo cuando caduquen las patentes de rHuPH20. La convicción es baja porque las reglas discrepan (Vender con nuestro WACC, Mantener con la prima del mercado); subiría con un acuerdo de licencia con Merck o con un precio por debajo de 100,36.</w:t>
      </w:r>
    </w:p>
    <w:p>
      <w:pPr>
        <w:spacing w:after="100"/>
      </w:pPr>
      <w:r>
        <w:rPr>
          <w:b/>
        </w:rPr>
        <w:t xml:space="preserve">El negocio.</w:t>
      </w:r>
      <w:r>
        <w:t xml:space="preserve"> Halozyme cobra regalías de un dígito medio sobre diez anticuerpos subcutáneos de grandes farmacéuticas (DARZALEX SC, Phesgo, VYVGART Hytrulo…): 867,8 M en 2025, el 62 % de los ingresos, con un margen EBITDA normalizado del 66,7 % y un ROIC del 34,5 % frente a un WACC del 9,58 % [1]. La calidad sostiene el crecimiento solo en parte: las pruebas del motor pasan (sin capital, cuota estable), pero la regalía baja en Europa en 2029 y la de DARZALEX en EE. UU. pierde protección hacia 2033, y las patentes de segunda generación (MDASE) están siendo anuladas en EE. UU. [15, 17].</w:t>
      </w:r>
    </w:p>
    <w:p>
      <w:pPr>
        <w:spacing w:after="100"/>
      </w:pPr>
      <w:r>
        <w:rPr>
          <w:b/>
        </w:rPr>
        <w:t xml:space="preserve">Finanzas.</w:t>
      </w:r>
      <w:r>
        <w:t xml:space="preserve"> Los ingresos crecen un 45 % en el primer semestre de 2026 y la guía del año se ha subido dos veces (1.835-1.910 M) [3]. La conversión en caja es excelente, pero la deuda convertible sube a 3.107,9 M de principal tras la emisión de septiembre, y la deuda neta ajustada del puente es de 2.416 M [8]. La empresa recompra acciones (400 M en 2026) y compra tecnología (2.013 M en 2018-2025).</w:t>
      </w:r>
    </w:p>
    <w:p>
      <w:pPr>
        <w:spacing w:after="100"/>
      </w:pPr>
      <w:r>
        <w:rPr>
          <w:b/>
        </w:rPr>
        <w:t xml:space="preserve">Equipo y gobierno.</w:t>
      </w:r>
      <w:r>
        <w:t xml:space="preserve"> La primera ejecutiva ha cumplido o superado la guía cada año, pero vende 50.000-60.000 acciones al mes con plan (42,1 M USD en 12 meses) y en 2026 han salido la directora financiera y la de operaciones [20, 22, 25]. Sin accionista de control; consejo con un 90 % de independientes.</w:t>
      </w:r>
    </w:p>
    <w:p>
      <w:pPr>
        <w:spacing w:after="100"/>
      </w:pPr>
      <w:r>
        <w:rPr>
          <w:b/>
        </w:rPr>
        <w:t xml:space="preserve">Valoración.</w:t>
      </w:r>
      <w:r>
        <w:t xml:space="preserve"> El DCF inverso dice que el precio descuenta un 6,9 % anual de crecimiento en 2027-2033, frente al 4,4 % de nuestro base en esos años: es exigente para una cartera de regalías con fecha de caducidad. Con la prima implícita del mercado el valor es de 119,22 (+2,1 %): incluso así, cotiza en su precio. El PER adelantado es de 13,6 veces, por encima de su mediana de cinco años (10,8), y la regla de múltiplos aplica un base de 12,4 veces sobre un BPA de 9,59 USD en 2028. El consenso de BPA es un 5,5 % mayor que el nuestro porque cuenta recompras.</w:t>
      </w:r>
    </w:p>
    <w:p>
      <w:pPr>
        <w:spacing w:after="100"/>
      </w:pPr>
      <w:r>
        <w:rPr>
          <w:b/>
        </w:rPr>
        <w:t xml:space="preserve">Riesgos y catalizadores.</w:t>
      </w:r>
      <w:r>
        <w:t xml:space="preserve"> El mayor riesgo es el calendario de patentes: el bajista (63,59, −45,6 %) repite lo que pasó en 2023, cuando la acción cayó un 49 %. El segundo, que la caja de la emisión se use en una compra cara. Catalizadores: resultados del 3T26 (≈5-nov), decisiones de la PTAB sobre las patentes MDASE restantes y un posible acuerdo con Merck. Los foros están cerca de la euforia y no hablan de las patentes [36].</w:t>
      </w:r>
    </w:p>
    <w:p>
      <w:pPr>
        <w:spacing w:after="100"/>
      </w:pPr>
      <w:r>
        <w:rPr>
          <w:b/>
        </w:rPr>
        <w:t xml:space="preserve">Qué cambiaría la decisión.</w:t>
      </w:r>
      <w:r>
        <w:t xml:space="preserve"> Compraríamos por debajo de 100,36 USD si la regla robusta lo confirma; venderíamos por encima de 134,88. Mejoraría la tesis una licencia pagada por Merck, una guía de regalías para 2029-2030 que no baje o la primera aprobación de Hypercon; la empeoraría que la PTAB anule las tres patentes MDASE restantes o una compra grande con la caja de los convertibles.</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Baja · Horizonte: 12 meses · Objetivo a 12 meses: </w:t>
      </w:r>
      <w:r>
        <w:rPr>
          <w:b/>
          <w:bCs/>
        </w:rPr>
        <w:t xml:space="preserve">121,40 USD</w:t>
      </w:r>
      <w:r>
        <w:t xml:space="preserve"> (rentabilidad +3,9 % (base +1,8 %)) · Valor intrínseco: 100,36 USD (-14,1 % sobre 116,82) · con la prima implícita del mercado: 119,22 (+2,1 %)</w:t>
      </w:r>
    </w:p>
    <w:p>
      <w:pPr>
        <w:spacing w:after="100"/>
      </w:pPr>
      <w:r>
        <w:t xml:space="preserve">Halozyme es la empresa de licencias que convirtió los anticuerpos intravenosos en inyecciones subcutáneas: diez productos aprobados, 867,8 M de regalías en 2025 (+52 %) y un margen EBITDA normalizado del 66,7 %, con 423 empleados [1]. Su ROIC del 34,5 % y su flujo libre de 644,6 M la colocan entre las biotecnológicas más rentables de EE. UU.</w:t>
      </w:r>
    </w:p>
    <w:p>
      <w:pPr>
        <w:spacing w:after="100"/>
      </w:pPr>
      <w:r>
        <w:t xml:space="preserve">El precio de 116,82 USD descuenta un crecimiento del 6,9 % anual en 2027-2033 y un PER adelantado de 13,6 veces, por encima de su mediana de cinco años (10,8). Es decir, el mercado ha dejado de aplicar el descuento por el fin de las patentes de rHuPH20 (EE. UU. 2027, Europa 2029) que tuvo en 2023-2025.</w:t>
      </w:r>
    </w:p>
    <w:p>
      <w:pPr>
        <w:spacing w:after="100"/>
      </w:pPr>
      <w:r>
        <w:t xml:space="preserve">Para invertir hay que creer que los productos nuevos de ENHANZE (nueve en desarrollo), Hypercon y un acuerdo con Merck compensarán las rebajas de regalías desde 2029. Es posible, pero nada de eso tiene fecha ni cifra, y la PTAB está anulando las patentes de segunda generación en EE. UU. [15]. El mercado acierta en la calidad del negocio y se adelanta en la duración: no hay margen de seguridad.</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121,40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8,8x × 8,32 = 73,22 · 12,4x × 9,59 = 118,92 · 16,7x × 10,45 = 174,52</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3,9 % / 1,8 %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108,78 (nuestro base +9,3 %)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100,36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 / -45,6 %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0,15x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8,7 % frente a 9,6 % y 8,5 %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8,5 %)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119,22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0,74x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(2027e-2033e)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6,9 % frente a 5,5 %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(8,1 %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reglas discrepan (absoluta Vender, relativa Mantener))</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100,36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100,36 y 134,88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134,88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precio baja de 100,36 USD y la regla robusta (v3 y v2) da Comprar, pasaríamos a Comprar.</w:t>
      </w:r>
    </w:p>
    <w:p>
      <w:pPr>
        <w:pStyle w:val="ListParagraph"/>
        <w:numPr>
          <w:ilvl w:val="0"/>
          <w:numId w:val="2"/>
        </w:numPr>
        <w:spacing w:after="60"/>
      </w:pPr>
      <w:r>
        <w:t xml:space="preserve">Si el precio supera 134,88 USD sin cambios en el beneficio, pasaríamos a Vender.</w:t>
      </w:r>
    </w:p>
    <w:p>
      <w:pPr>
        <w:pStyle w:val="ListParagraph"/>
        <w:numPr>
          <w:ilvl w:val="0"/>
          <w:numId w:val="2"/>
        </w:numPr>
        <w:spacing w:after="60"/>
      </w:pPr>
      <w:r>
        <w:t xml:space="preserve">Si Halozyme firma una licencia con Merck por Keytruda SC con regalía, subiríamos el caso base.</w:t>
      </w:r>
    </w:p>
    <w:p>
      <w:pPr>
        <w:pStyle w:val="ListParagraph"/>
        <w:numPr>
          <w:ilvl w:val="0"/>
          <w:numId w:val="2"/>
        </w:numPr>
        <w:spacing w:after="60"/>
      </w:pPr>
      <w:r>
        <w:t xml:space="preserve">Si la guía de 2027 da regalías con crecimiento inferior al 10 %, rebajaríamos el base.</w:t>
      </w:r>
    </w:p>
    <w:p>
      <w:pPr>
        <w:pStyle w:val="ListParagraph"/>
        <w:numPr>
          <w:ilvl w:val="0"/>
          <w:numId w:val="2"/>
        </w:numPr>
        <w:spacing w:after="60"/>
      </w:pPr>
      <w:r>
        <w:t xml:space="preserve">Si la PTAB anula las tres patentes MDASE restantes y se pierde el pleito de Nueva Jersey, rebajaríamos el alcista.</w:t>
      </w:r>
    </w:p>
    <w:p>
      <w:pPr>
        <w:pStyle w:val="Heading2"/>
      </w:pPr>
      <w:r>
        <w:t xml:space="preserve">Dónde discrepamos del mercado</w:t>
      </w:r>
    </w:p>
    <w:p>
      <w:pPr>
        <w:keepNext/>
        <w:spacing w:after="100"/>
      </w:pPr>
      <w:r>
        <w:rPr>
          <w:b/>
          <w:bCs/>
        </w:rPr>
        <w:t xml:space="preserve">Lo que descuenta el precio.</w:t>
      </w:r>
    </w:p>
    <w:p>
      <w:pPr>
        <w:spacing w:after="100"/>
      </w:pPr>
      <w:r>
        <w:t xml:space="preserve">Que las regalías de ENHANZE siguen creciendo después de 2028 a un ritmo del 6-7 % anual, que la sentencia europea obliga a Merck a negociar y que la hiperconcentración abre una tercera ola de regalías hasta los 2040.</w:t>
      </w:r>
    </w:p>
    <w:p>
      <w:pPr>
        <w:keepNext/>
        <w:spacing w:after="100"/>
      </w:pPr>
      <w:r>
        <w:rPr>
          <w:b/>
          <w:bCs/>
        </w:rPr>
        <w:t xml:space="preserve">Lo que creemos nosotros.</w:t>
      </w:r>
    </w:p>
    <w:p>
      <w:pPr>
        <w:spacing w:after="100"/>
      </w:pPr>
      <w:r>
        <w:t xml:space="preserve">Las regalías crecen con fuerza hasta 2028 y se aplanan en 2029-2033 por las rebajas europeas y la pérdida de protección de DARZALEX en EE. UU.; los productos nuevos compensan a medias. Un acuerdo con Merck sería una opción, no la base.</w:t>
      </w:r>
    </w:p>
    <w:p>
      <w:pPr>
        <w:keepNext/>
        <w:spacing w:after="100"/>
      </w:pPr>
      <w:r>
        <w:rPr>
          <w:b/>
          <w:bCs/>
        </w:rPr>
        <w:t xml:space="preserve">Por qué podemos tener razón.</w:t>
      </w:r>
    </w:p>
    <w:p>
      <w:pPr>
        <w:spacing w:after="100"/>
      </w:pPr>
      <w:r>
        <w:t xml:space="preserve">Los contratos rebajan la regalía país a país al caducar rHuPH20 si no hay otra patente válida, y la empresa no cuantifica el efecto [4]. La PTAB ha anulado todas las reivindicaciones impugnadas de cuatro patentes MDASE [15], así que la protección de segunda generación es más débil en EE. UU. que en Europa.</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116,82"/>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pStyle w:val="Heading2"/>
      </w:pPr>
      <w:r>
        <w:t xml:space="preserve">A favor</w:t>
      </w:r>
    </w:p>
    <w:p>
      <w:pPr>
        <w:pStyle w:val="ListParagraph"/>
        <w:numPr>
          <w:ilvl w:val="0"/>
          <w:numId w:val="2"/>
        </w:numPr>
        <w:spacing w:after="60"/>
      </w:pPr>
      <w:r>
        <w:rPr>
          <w:b/>
        </w:rPr>
        <w:t xml:space="preserve">Regalías que crecen al 50 %</w:t>
      </w:r>
      <w:r>
        <w:t xml:space="preserve">: 307,7 M en el 2T26 y guía de 1.220-1.245 M en 2026 [3].</w:t>
      </w:r>
    </w:p>
    <w:p>
      <w:pPr>
        <w:pStyle w:val="ListParagraph"/>
        <w:numPr>
          <w:ilvl w:val="0"/>
          <w:numId w:val="2"/>
        </w:numPr>
        <w:spacing w:after="60"/>
      </w:pPr>
      <w:r>
        <w:rPr>
          <w:b/>
        </w:rPr>
        <w:t xml:space="preserve">Rentabilidad excepcional</w:t>
      </w:r>
      <w:r>
        <w:t xml:space="preserve">: ROIC del 34,5 % frente a un WACC del 9,58 % y margen EBITDA normalizado del 66,7 %.</w:t>
      </w:r>
    </w:p>
    <w:p>
      <w:pPr>
        <w:pStyle w:val="ListParagraph"/>
        <w:numPr>
          <w:ilvl w:val="0"/>
          <w:numId w:val="2"/>
        </w:numPr>
        <w:spacing w:after="60"/>
      </w:pPr>
      <w:r>
        <w:rPr>
          <w:b/>
        </w:rPr>
        <w:t xml:space="preserve">Más socios</w:t>
      </w:r>
      <w:r>
        <w:t xml:space="preserve">: cinco licencias nuevas en 2026 hasta julio, entre ellas GSK (conjugados) e Incyte [3].</w:t>
      </w:r>
    </w:p>
    <w:p>
      <w:pPr>
        <w:pStyle w:val="ListParagraph"/>
        <w:numPr>
          <w:ilvl w:val="0"/>
          <w:numId w:val="2"/>
        </w:numPr>
        <w:spacing w:after="60"/>
      </w:pPr>
      <w:r>
        <w:rPr>
          <w:b/>
        </w:rPr>
        <w:t xml:space="preserve">Victoria judicial en Europa</w:t>
      </w:r>
      <w:r>
        <w:t xml:space="preserve">: Keytruda SC prohibido en ocho países y en Alemania [13].</w:t>
      </w:r>
    </w:p>
    <w:p>
      <w:pPr>
        <w:pStyle w:val="ListParagraph"/>
        <w:numPr>
          <w:ilvl w:val="0"/>
          <w:numId w:val="2"/>
        </w:numPr>
        <w:spacing w:after="60"/>
      </w:pPr>
      <w:r>
        <w:rPr>
          <w:b/>
        </w:rPr>
        <w:t xml:space="preserve">Recompras</w:t>
      </w:r>
      <w:r>
        <w:t xml:space="preserve">: 1.000 M de programa hasta 2028, con 13,5 M de acciones compradas a 55,56 USD de media [4].</w:t>
      </w:r>
    </w:p>
    <w:p>
      <w:pPr>
        <w:pStyle w:val="Heading2"/>
      </w:pPr>
      <w:r>
        <w:t xml:space="preserve">En contra</w:t>
      </w:r>
    </w:p>
    <w:p>
      <w:pPr>
        <w:pStyle w:val="ListParagraph"/>
        <w:numPr>
          <w:ilvl w:val="0"/>
          <w:numId w:val="2"/>
        </w:numPr>
        <w:spacing w:after="60"/>
      </w:pPr>
      <w:r>
        <w:rPr>
          <w:b/>
        </w:rPr>
        <w:t xml:space="preserve">Patentes que caducan</w:t>
      </w:r>
      <w:r>
        <w:t xml:space="preserve">: rHuPH20 en 2027 (EE. UU.) y 2029 (Europa), con rebaja de regalías país a país [1].</w:t>
      </w:r>
    </w:p>
    <w:p>
      <w:pPr>
        <w:pStyle w:val="ListParagraph"/>
        <w:numPr>
          <w:ilvl w:val="0"/>
          <w:numId w:val="2"/>
        </w:numPr>
        <w:spacing w:after="60"/>
      </w:pPr>
      <w:r>
        <w:rPr>
          <w:b/>
        </w:rPr>
        <w:t xml:space="preserve">Valoración exigente</w:t>
      </w:r>
      <w:r>
        <w:t xml:space="preserve">: el precio pide un 6,9 % anual de crecimiento en 2027-2033 y el valor intrínseco es de 100,36 USD (−14,1 %).</w:t>
      </w:r>
    </w:p>
    <w:p>
      <w:pPr>
        <w:pStyle w:val="ListParagraph"/>
        <w:numPr>
          <w:ilvl w:val="0"/>
          <w:numId w:val="2"/>
        </w:numPr>
        <w:spacing w:after="60"/>
      </w:pPr>
      <w:r>
        <w:rPr>
          <w:b/>
        </w:rPr>
        <w:t xml:space="preserve">Concentración</w:t>
      </w:r>
      <w:r>
        <w:t xml:space="preserve">: tres productos de terceros explican la mayor parte de las regalías.</w:t>
      </w:r>
    </w:p>
    <w:p>
      <w:pPr>
        <w:pStyle w:val="ListParagraph"/>
        <w:numPr>
          <w:ilvl w:val="0"/>
          <w:numId w:val="2"/>
        </w:numPr>
        <w:spacing w:after="60"/>
      </w:pPr>
      <w:r>
        <w:rPr>
          <w:b/>
        </w:rPr>
        <w:t xml:space="preserve">Deuda convertible creciente</w:t>
      </w:r>
      <w:r>
        <w:t xml:space="preserve">: 3.107,9 M de principal tras septiembre y ≈460 M de caja para compras sin destino [8].</w:t>
      </w:r>
    </w:p>
    <w:p>
      <w:pPr>
        <w:pStyle w:val="ListParagraph"/>
        <w:numPr>
          <w:ilvl w:val="0"/>
          <w:numId w:val="2"/>
        </w:numPr>
        <w:spacing w:after="60"/>
      </w:pPr>
      <w:r>
        <w:rPr>
          <w:b/>
        </w:rPr>
        <w:t xml:space="preserve">MDASE debilitada en EE. UU.</w:t>
      </w:r>
      <w:r>
        <w:t xml:space="preserve">: cuatro patentes anuladas por la PTAB [15].</w:t>
      </w:r>
    </w:p>
    <w:p>
      <w:pPr>
        <w:pStyle w:val="Heading2"/>
      </w:pPr>
      <w:r>
        <w:t xml:space="preserve">Qué tiene que pasar para que la tesis funcione</w:t>
      </w:r>
    </w:p>
    <w:p>
      <w:pPr>
        <w:spacing w:after="100"/>
      </w:pPr>
      <w:r>
        <w:t xml:space="preserve">La tesis depende de cuánto bajan las regalías en 2029 y de si la empresa las sustituye. La señal sería la guía de regalías de 2027-2028 (si crece por debajo del 10 % en 2027, el mercado empezará a descontar la rebaja antes) y las decisiones de la PTAB sobre las tres patentes MDASE restantes. Una compra grande con la caja de la emisión sería la otra señal de alarma.</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 las regalías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20 % interanual</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Anticipa el fin del ciclo de lanzamientos.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Productos aprobados con ENHANZE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Sin el undécimo en 2027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sustitución de DARZALEX depende de productos nuevos.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Patentes MDASE vivas en EE. UU.</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 anuladas por la PTAB</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Las tres restantes anuladas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Quita la palanca contra Merck y la protección de segunda generación.</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neta ajustada / EBITDA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 (2026e)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3x</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compra grande con convertibles cambiaría el perfil de riesgo.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Licencias nuevas al año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 (hasta jul-2026)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&lt; 3</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Mide el interés de la industria por ENHANZE y Hypercon.</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15,0x / 11,9x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34,3x / 13,6x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16,7x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9,77x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(2018-2025)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65,3 %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1,8x · 2,2x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Halozyme nació en San Diego en 1998 alrededor de una enzima, la hialuronidasa humana recombinante (rHuPH20), que abre temporalmente el tejido bajo la piel para que entren grandes volúmenes de fármaco. Tras años de intentar un oncológico propio (PEGPH20), en 2019 lo abandonó al fallar en fase 3 y se convirtió en una empresa de licencias: cobra regalías a las farmacéuticas que reformulan sus anticuerpos intravenosos como subcutáneos con ENHANZE. El salto llegó con DARZALEX SC (2020) y VYVGART Hytrulo (2023). En 2022 compró Antares (autoinyectores) y en 2025 dos tecnologías de hiperconcentración (Elektrofi y Surf Bio) para tener regalías cuando caduquen las patentes de rHuPH20 (2027-2029) [1, 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Fundada en San Diego (como Deliatroph); desarrolla la hialuronidasa humana recombinante rHuPH20 [7].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FDA aprueba Hylenex, su primer producto con rHuPH20 [7].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acuerdo ENHANZE con Roche (Herceptin y MabThera subcutáneos, lanzados en Europa en 2013-2014) [7].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Helen Torley, nueva primera ejecutiva [7].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Abandona su oncológico propio (PEGPH20) tras fallar en fase 3 y se concentra en ENHANZE; reestructuración [7].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Aprobación de DARZALEX FASPRO (Janssen) en EE. UU. y en la UE: hoy su mayor fuente de regalías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Antares Pharma por ≈960 M USD: autoinyectores y XYOSTED [7].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Aprobación de VYVGART Hytrulo (argenx), segundo gran motor de regalías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Elektrofi (Hypercon) y Surf Bio: tecnologías de hiperconcentración con patentes hasta mediados de los 2040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Regalías por encima de 1.000 M USD en el año y sentencias en Alemania y La Haya contra el Keytruda SC de Merck por las patentes MDASE [3, 13].</w:t>
            </w:r>
          </w:p>
        </w:tc>
      </w:tr>
    </w:tbl>
    <w:p>
      <w:pPr>
        <w:spacing w:after="160" w:before="0"/>
      </w:pPr>
    </w:p>
    <w:p>
      <w:pPr>
        <w:pStyle w:val="Heading1"/>
      </w:pPr>
      <w:r>
        <w:t xml:space="preserve">2. Modelo de negocio</w:t>
      </w:r>
    </w:p>
    <w:p>
      <w:pPr>
        <w:spacing w:after="100"/>
      </w:pPr>
      <w:r>
        <w:t xml:space="preserve">Halozyme licencia ENHANZE, su enzima rHuPH20, a grandes farmacéuticas (Roche, Janssen, Takeda, Pfizer, AbbVie, Lilly, BMS, argenx, ViiV, GSK, Incyte, Vertex…) para convertir anticuerpos que se ponen por vía intravenosa en horas en inyecciones subcutáneas de pocos minutos. Hay diez productos aprobados, entre ellos DARZALEX SC, Phesgo, VYVGART Hytrulo, Opdivo Qvantig, Ocrevus SC y Tecentriq SC. Además vende la enzima a granel a sus socios, dos productos propios (XYOSTED, testosterona en autoinyector, y Hylenex) y autoinyectores para Teva y Viatris. Desde 2025 ofrece también Hypercon y la tecnología de Surf Bio, que concentran el fármaco para inyecciones de menos volumen en casa. Tiene 423 empleados y fabrica por contrato [1, 3].</w:t>
      </w:r>
    </w:p>
    <w:p>
      <w:pPr>
        <w:pStyle w:val="Heading2"/>
      </w:pPr>
      <w:r>
        <w:t xml:space="preserve">Cómo gana dinero</w:t>
      </w:r>
    </w:p>
    <w:p>
      <w:pPr>
        <w:spacing w:after="100"/>
      </w:pPr>
      <w:r>
        <w:t xml:space="preserve">El 62 % de los ingresos de 2025 fueron regalías (867,8 M), de media un porcentaje de un dígito medio de las ventas de los socios, sin coste asociado: por eso el margen EBITDA normalizado fue del 66,7 % [1]. El resto: ventas de producto (376,4 M, con margen bruto mucho menor) y pagos por licencias e hitos (152,3 M), muy irregulares. El apalancamiento operativo es extremo: los gastos casi no crecen con las regalías. Las regalías se cobran 45-60 días después del trimestre y dependen de las ventas de tres productos (DARZALEX SC, Phesgo y VYVGART Hytrulo). Cada regalía dura producto a producto y país a país hasta que caducan las patentes; si no queda otra patente válida, el porcentaje baja [4].</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78"/>
        <w:gridCol w:w="1320"/>
        <w:gridCol w:w="1320"/>
        <w:gridCol w:w="1320"/>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Regalías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868</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62,1 %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producto</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Acuerdos de colaboración</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152</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Regalías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571</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868</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producto</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Acuerdos de colaboración</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origen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Concentración alta: las ventas por país de facturación ponen a EE. UU. en el 58,9 %, Suiza (Roche) en el 19,8 % y Bélgica (Janssen y argenx) en el 15,6 % [1]; tres productos explican la mayor parte de las regalías. Los contratos duran hasta la última patente aplicable y los socios pueden rescindir con 90 días de preaviso, pero un producto aprobado no cambia de enzima sin ensayos nuevos [4]. El poder de precios se ve en las licencias nuevas: cinco acuerdos en 2026 hasta julio (Vertex con 15 M iniciales, GSK, Oruka, Incyte y uno no revelado) frente a un objetivo de tres [3].</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Regalías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571,0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867,8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2026: 1.220-1.245 M (+41-43 %) [1,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Productos aprobados con ENHANZE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décimo, RYBREVANT SC (Janssen); TAK-881 (Takeda) podría ser el undécimo [1, 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Productos de socios en desarrollo con ENHANZE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(dic-2025)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 (mar-2026)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 de 13 a final de 2026 [5].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Acuerdos nuevos de licencia en el año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(hasta jul-2026)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Vertex, Oruka, GSK, Incyte y uno no revelado; objetivo de 3 superado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Recompras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342,4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332,8 (solo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n.a.</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Programa de 1.000 M hasta 2028 y al menos 400 M en 2026 [3].</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son los biológicos que se administran por vía subcutánea, porque ENHANZE cobra un porcentaje de sus ventas: dos estudios lo sitúan en ≈250.000 M USD en 2025 (Straits Research 250.830 M [11]; The Report Cubes 251.000 M [12]). Usamos la previsión más prudente (+5,5 % anual 2026-2034 [12]) frente al +11,7 % de Straits, porque esta incluye insulinas y productos que no necesitan enzima. Ámbito mundial. El perímetro útil es más estrecho (anticuerpos de dosis alta que hoy se infunden), pero ninguna fuente lo mide.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≈250.000 M USD de ventas de biológicos subcutáneos en 2025, con dos estimaciones casi iguales (250.830 M [11] y 251.000 M [12]).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5,5 %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USD (ventas de biológicos subcutáneos))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Paso de intravenoso a subcutáneo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DARZALEX SC supera ya a la versión intravenosa; la dosis SC se pone en 3-5 minutos frente a varias horas de infusión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Defensa de franquicias frente a biosimilares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versión co-formulada con ENHANZE tiene exclusividad propia y alarga la vida del producto más allá de la patente del intravenoso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Caducidad de las patentes de rHuPH20</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Patente de EE. UU. hasta 2027 y europeas hasta 2029: sin otra reivindicación válida, la regalía baja en ese país [1, 16].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 de otras hialuronidasas (Alteogen, MDASE en pleito)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Merck lanzó Keytruda SC con la enzima de Alteogen; Halozyme lo ha frenado en Alemania y en ocho países europeos, pero la PTAB ha anulado varias patentes MDASE en EE. UU. [13, 14, 15].</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Precios de los medicamentos en EE. UU. (IRA)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negociación de precios de Medicare puede bajar las ventas de los socios y con ellas las regalías [1].</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Pocos rivales con enzima aprobada (Alteogen con ALT-B4) y otras vías (hiperconcentración, autoinyectores); la rivalidad crece desde que Merck eligió a Alteogen [13].</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clientes son grandes farmacéuticas (Janssen, Roche, argenx) y tres productos explican la mayor parte de las regalías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Fabricación de rHuPH20 externalizada pero con proceso propio de alto rendimiento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Desarrollar y validar una enzima ante los reguladores lleva años, pero Alteogen ya lo ha hecho [13].</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Formulaciones hiperconcentradas sin enzima y autoinyectores de gran volumen; Halozyme compró dos de esas tecnologías (Hypercon y Surf Bio) para cubrirse [1].</w:t>
            </w:r>
          </w:p>
        </w:tc>
      </w:tr>
    </w:tbl>
    <w:p>
      <w:pPr>
        <w:spacing w:after="160" w:before="0"/>
      </w:pPr>
    </w:p>
    <w:p>
      <w:pPr>
        <w:pStyle w:val="Heading2"/>
      </w:pPr>
      <w:r>
        <w:t xml:space="preserve">Ciclo</w:t>
      </w:r>
    </w:p>
    <w:p>
      <w:pPr>
        <w:spacing w:after="100"/>
      </w:pPr>
      <w:r>
        <w:t xml:space="preserve">Las ventas de biológicos dependen de la demanda sanitaria, no del ciclo económico: en 2020 la pandemia frenó infusiones hospitalarias y aceleró el paso al subcutáneo (DARZALEX SC se aprobó ese año) y en 2022 las regalías crecieron un 77 % [7]. La fase actual es de expansión: diez productos aprobados y nueve en desarrollo con ENHANZE [5]. El riesgo no es cíclico sino de calendario de patentes (2027-2029).</w:t>
      </w:r>
    </w:p>
    <w:p>
      <w:pPr>
        <w:pStyle w:val="Heading2"/>
      </w:pPr>
      <w:r>
        <w:t xml:space="preserve">Regulación</w:t>
      </w:r>
    </w:p>
    <w:p>
      <w:pPr>
        <w:spacing w:after="100"/>
      </w:pPr>
      <w:r>
        <w:t xml:space="preserve">Cada producto con ENHANZE es una solicitud regulatoria del socio, que lleva el riesgo del ensayo [1]. La ley de reducción de la inflación (IRA) de EE. UU. permite a Medicare negociar precios de fármacos de las partes B y D: puede rebajar las ventas de los socios y con ellas las regalías [1]. En patentes, la PTAB de EE. UU. ha anulado en revisiones posteriores a la concesión todas las reivindicaciones impugnadas de cuatro patentes MDASE (la última en junio de 2026) y decidirá sobre otras tres en otoño [14, 15]; en Europa, el tribunal de La Haya confirmó la validez de EP622 el 7-oct-2026 [13].</w:t>
      </w:r>
    </w:p>
    <w:p>
      <w:pPr>
        <w:pStyle w:val="Heading2"/>
      </w:pPr>
      <w:r>
        <w:t xml:space="preserve">Tendencias y disrupción</w:t>
      </w:r>
    </w:p>
    <w:p>
      <w:pPr>
        <w:spacing w:after="100"/>
      </w:pPr>
      <w:r>
        <w:t xml:space="preserve">La tendencia de fondo favorece a Halozyme: las farmacéuticas pasan sus anticuerpos al subcutáneo para ahorrar tiempo de sillón y defenderse de los biosimilares intravenosos [1]. La amenaza es tecnológica: la hialuronidasa de Alteogen (elegida por Merck para Keytruda SC) rompe el cuasi monopolio, y la hiperconcentración sin enzima puede sustituir a ENHANZE en dosis pequeñas. Halozyme ha respondido comprando Hypercon y Surf Bio, con patentes hasta mediados de los 2040 [1, 3]. La regalía de DARZALEX en Europa baja en marzo de 2029, cuando caduca EP 4269578 [16, 17].</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1.ª tecnología de administración subcutánea con enzima por productos aprobados (10) y regalías; su cuota se mide como ingresos frente a las ventas de biológicos subcutáneos (≈0,56 %) [1, 12].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59"/>
        <w:gridCol w:w="847"/>
        <w:gridCol w:w="953"/>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Alteogen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Corea del Sur</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196170.KQ</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Hialuronidasa ALT-B4 licenciada a Merck (Keytruda SC), Daiichi y otros; el rival directo de ENHANZE [13].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Ypsomed</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Suiza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YPSN.SW</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Autoinyectores y bombas de parche: compite con el negocio de dispositivos de Antares.</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Xeris Biopharma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XERS</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XeriJect: formulaciones concentradas sin agua para inyección subcutánea.</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Enable Injections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Inyectores de gran volumen que se colocan en el cuerpo: alternativa sin enzima.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Cada aprobación facilita la siguiente (más de un millón de pacientes tratados, diez productos), pero no hay red propiamente dicha [7].</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producto aprobado con ENHANZE no cambia de enzima sin nuevos ensayos: las regalías duran lo que la vida del producto o de la patente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rHuPH20 caduca en 2027-2029; MDASE (2032-2034) en litigio y con reivindicaciones anuladas en EE. UU.; Hypercon y Surf Bio hasta mediados de los 2040 [1, 6].</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423 empleados para 1.397 M de ingresos y margen EBITDA ajustado previsto del ≈66 % en 2026 [1, 7].</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Mercado de pocos licenciantes con expediente regulatorio aprobado (Halozyme y Alteogen) [4].</w:t>
            </w:r>
          </w:p>
        </w:tc>
      </w:tr>
    </w:tbl>
    <w:p>
      <w:pPr>
        <w:spacing w:after="160" w:before="0"/>
      </w:pPr>
    </w:p>
    <w:p>
      <w:pPr>
        <w:pStyle w:val="Heading2"/>
      </w:pPr>
      <w:r>
        <w:t xml:space="preserve">Amenazas</w:t>
      </w:r>
    </w:p>
    <w:p>
      <w:pPr>
        <w:spacing w:after="100"/>
      </w:pPr>
      <w:r>
        <w:t xml:space="preserve">Tres amenazas, por probabilidad: (1) la caducidad de las patentes de rHuPH20 (EE. UU. 2027, Europa 2029), que rebaja la regalía de cada producto sin otra patente válida: casi segura y con fecha [1, 17]; (2) Alteogen y otras enzimas, que ya ganan contratos (Merck, Daiichi): alta, aunque los productos aprobados con ENHANZE no cambian [13]; (3) la anulación de las patentes MDASE en EE. UU. (cuatro ya anuladas por la PTAB), que quita a Halozyme la palanca para cobrar a Merck y la protección de segunda generación [15]. La compra de Hypercon y Surf Bio cubre la tercera ola, pero sus primeras aprobaciones se esperan en 2030-2031.</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32 %</w:t>
            </w:r>
          </w:p>
        </w:tc>
      </w:tr>
    </w:tbl>
    <w:p>
      <w:pPr>
        <w:spacing w:after="160" w:before="0"/>
      </w:pPr>
    </w:p>
    <w:p>
      <w:pPr>
        <w:spacing w:after="100"/>
      </w:pPr>
      <w:r>
        <w:t xml:space="preserve">Crecimiento anual compuesto 2018-2025: ingresos </w:t>
      </w:r>
      <w:r>
        <w:rPr>
          <w:b/>
          <w:bCs/>
        </w:rPr>
        <w:t xml:space="preserve">37,3 %</w:t>
      </w:r>
      <w:r>
        <w:t xml:space="preserve">, EBITDA </w:t>
      </w:r>
      <w:r>
        <w:rPr>
          <w:b/>
          <w:bCs/>
        </w:rPr>
        <w:t xml:space="preserve">n.d.</w:t>
      </w:r>
      <w:r>
        <w:t xml:space="preserve">, BPA </w:t>
      </w:r>
      <w:r>
        <w:rPr>
          <w:b/>
          <w:bCs/>
        </w:rPr>
        <w:t xml:space="preserve">n.d.</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Los ingresos pasaron de 152 M (2018) a 1.396,6 M (2025), un 37,3 % anual, todo orgánico salvo Antares (2022, ≈184 M de ventas al comprarla) [1, 7]. El motor es la mezcla: las regalías subieron del 33 % de los ingresos en 2020 al 62 % en 2025, y por eso el margen EBITDA normalizado llegó al 66,7 %. 2021 no es comparable en beneficio (ingreso fiscal de 154 M por reconocer impuestos diferidos) y 2025 tampoco (374,2 M no recurrentes dentro del EBITDA). En el primer semestre de 2026 los ingresos crecieron un 45 % y las regalías un 47 % (548,4 M), con un margen operativo del 55 % [3]. La guía de 2026 es de 1.835-1.910 M de ingresos (+31-37 %) y 1.220-1.245 M de regalías [3].</w:t>
      </w:r>
    </w:p>
    <w:p>
      <w:pPr>
        <w:pStyle w:val="Heading2"/>
      </w:pPr>
      <w:r>
        <w:t xml:space="preserve">Ajustes y partidas no recurrentes</w:t>
      </w:r>
    </w:p>
    <w:p>
      <w:pPr>
        <w:spacing w:after="100"/>
      </w:pPr>
      <w:r>
        <w:t xml:space="preserve">Halozyme publica un EBITDA ajustado y un BPA no GAAP que excluyen los costes del pleito con Merck (16,7 M en 2025 y 6,9 M solo en el 2T26), las compras, los deterioros y, en el BPA, los pagos en acciones (51,6 M en 2025) y la amortización de intangibles (76,7 M) [2, 6]. Este informe usa cifras GAAP y solo saca del EBITDA de 2025 lo que no se repite: I+D en curso de Surf Bio (284,9 M, sin efecto fiscal), deterioro de un intangible de Antares (48,7 M), costes de la compra de Elektrofi (14,6 M), indemnizaciones con aceleración de acciones (24,6 M) y otros 1,4 M. El coste del pleito se queda dentro: dura ya dos años.</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8"/>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0,93</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En el 2T26 (6-ago) la dirección presentó un trimestre récord: ingresos de 481,0 M (+48 %), regalías de 307,7 M (+50 %) y BPA no GAAP de 2,28 USD, 0,46 por encima del consenso [3, 10]. El mensaje cambió de tono frente al 1T26 (11-may): entonces reiteró la guía y anunció la recompra de 1.000 M; en agosto subió la guía por segunda vez y habló de ENHANZE como «motor compuesto» con cinco licencias nuevas en el año, entre ellas la primera para un fármaco de ácidos nucleicos y la primera para conjugados anticuerpo-fármaco (GSK) [3, 5]. Los analistas preguntaron sobre todo por la duración de las regalías de DARZALEX tras 2027-2029, por el pleito con Merck y por el uso de la caja; la dirección evitó cuantificar el efecto de la rebaja de regalías por país y remitió a su resumen de duración por producto. Las subidas de ventas a granel de rHuPH20 (+156 %) no se pueden repetir cada trimestre: dependen de los pedidos de los socios [4].</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2.525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2.143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(2022: Antares Pharma, consolidada desde el 17-may-2022 (≈960 M USD): entran autoinyectores y XYOSTED; nace el fondo de comercio y la amortización de intangibles [7].; 2025: Elektrofi (Hypercon), consolidada desde el 18-nov-2025, y Surf Bio (diciembre, tratada como compra de activos: 284,9 M de I+D en curso a gasto): el balance de 2025 las incluye y la cuenta casi no [1].).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Halozyme se financia con bonos convertibles baratos (cupón medio del 0,9 %) y devuelve la caja con recompras: 1.895 M en 2018-2025 [2]. La deuda neta subió a 1.999,8 M a fin de 2025 por las compras de Elektrofi y Surf Bio (1.013,7 M) y bajó en el primer semestre de 2026 con el flujo operativo; con la emisión de septiembre la deuda neta ajustada del puente es de 2.416 M, unas 2,1 veces el EBITDA previsto para 2026. El patrimonio es casi nulo (48,8 M) porque las recompras se cargan contra él: el ROE no significa nada. El circulante (41,7 % de las ventas) es alto por regalías pendientes de cobro y existencias de enzima, no por problemas de cobro [4].</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2018-2025: FCF </w:t>
      </w:r>
      <w:r>
        <w:rPr>
          <w:b/>
          <w:bCs/>
        </w:rPr>
        <w:t xml:space="preserve">1.929</w:t>
      </w:r>
      <w:r>
        <w:t xml:space="preserve">, conversión </w:t>
      </w:r>
      <w:r>
        <w:rPr>
          <w:b/>
          <w:bCs/>
        </w:rPr>
        <w:t xml:space="preserve">119 %</w:t>
      </w:r>
      <w:r>
        <w:t xml:space="preserve"> del beneficio neto; adquisiciones 2.013, dividendos 0, recompras 1.895.</w:t>
      </w:r>
    </w:p>
    <w:p>
      <w:pPr>
        <w:spacing w:after="100"/>
      </w:pPr>
      <w:r>
        <w:t xml:space="preserve">La conversión de beneficio en caja es excelente: flujo libre de 644,6 M en 2025 (203 % del beneficio, inflado porque la I+D en curso es gasto sin salida de caja operativa) y del 105-133 % en 2023-2024 [2]. El capex es mínimo (7,0 M en 2025, 0,5 % de las ventas) porque la fabricación es externa. La inversión real son las compras de tecnología: 999 M en 2022 (Antares) y 1.013,7 M en 2025 (Elektrofi y Surf Bio), casi tanto como el flujo libre de esos años [1, 7]. Por eso el DCF lleva desde 2028 un capex del 4 % de las ventas como compra de reposición de tecnología (estimación propia): sin ella, la proyección supondría regalías perpetuas sin reinvertir.</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Ernst &amp; Young LLP</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(sin salvedades) sobre las cuentas y el control interno de 2025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5,34</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 No fiable en 2025: cambio de perímetro (el balance incluye negocios sin su cuenta de resultados completa).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interpretable en 2025: con un cambio de perímetro, los índices de activos, amortización y ventas (AQI, DEPI, SGI) comparan grupos distintos y el umbral de −1,78 no sirve.</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Cuentas auditadas por Ernst &amp; Young desde 2006, con opinión favorable y control interno eficaz [1]. Tres asuntos de juicio: (1) la I+D en curso de Surf Bio (284,9 M) se trató como compra de activos y fue a gasto, mientras Elektrofi fue combinación de negocios y lleva 982 M de intangibles y fondo de comercio al balance: la diferencia de criterio reduce el beneficio de 2025 y aumenta la amortización futura [1]; (2) en 2025 se deterioraron 48,7 M de un intangible de Antares; (3) los pagos en acciones (51,6 M, 3,7 % de las ventas) se excluyen del BPA ajustado que guía la empresa. Los indicadores del motor: Altman Z de 5,34 (zona segura, aunque el patrimonio casi nulo por recompras lo distorsiona), Piotroski F de 5 (bajan el ROA y sube la deuda por los convertibles) y Beneish M de −2,57, sin señal de manipulación.</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Tratamiento distinto de dos compras de tecnología (gasto frente a activo)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Surf Bio fue a gasto como I+D en curso (284,9 M) y Elektrofi a balance; complica comparar el beneficio de 2025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Deterioro de un intangible de Antares (48,7 M en 2025)</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señal de que la compra de 2022 no rinde lo previsto en algún producto [6].</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Rotación del director financiero en 2026</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de la CFO, interino de tres meses y nuevo CFO de J&amp;J en junio [20, 21].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Beneficio ajustado sin pagos en acciones ni amortización</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Habitual en biotecnología; el informe usa el BPA GAAP.</w:t>
            </w:r>
          </w:p>
        </w:tc>
      </w:tr>
    </w:tbl>
    <w:p>
      <w:pPr>
        <w:spacing w:after="160" w:before="0"/>
      </w:pPr>
    </w:p>
    <w:p>
      <w:pPr>
        <w:pStyle w:val="Heading1"/>
      </w:pPr>
      <w:r>
        <w:t xml:space="preserve">10. Rentabilidad sobre el capital</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85"/>
        <w:gridCol w:w="985"/>
        <w:gridCol w:w="985"/>
        <w:gridCol w:w="985"/>
        <w:gridCol w:w="1095"/>
        <w:gridCol w:w="1095"/>
        <w:gridCol w:w="1095"/>
        <w:gridCol w:w="1204"/>
        <w:gridCol w:w="1209"/>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c>
          <w:tcPr>
            <w:tcW w:type="dxa" w:w="12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 sin f. de comercio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0,35x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0,39x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0,47x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0,53x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0,45x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8,03x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823</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0,46x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14,10x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1.280</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0,53x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8,48x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1.260</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0,61x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11,12x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1.661</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Fondo de comercio y compras</w:t>
      </w:r>
    </w:p>
    <w:p>
      <w:pPr>
        <w:spacing w:after="100"/>
      </w:pPr>
      <w:r>
        <w:t xml:space="preserve">Fondo de comercio: 580 M en 2025 (el 30 % del capital invertido medio); ha subido más de un 5 % en 1 de 7 años: compra única grande. ROIC publicado 34,5 %; sin fondo de comercio, 49,2 %. El ROIC sin fondo de comercio mide el rendimiento del negocio operativo; decide el publicado (§4.1) y la cifra sin fondo de comercio es dato para una excepción razonada.</w:t>
      </w:r>
    </w:p>
    <w:p>
      <w:pPr>
        <w:spacing w:after="100"/>
      </w:pPr>
      <w:r>
        <w:rPr>
          <w:b/>
          <w:bCs/>
        </w:rPr>
        <w:t xml:space="preserve">ROIC incremental</w:t>
      </w:r>
      <w:r>
        <w:t xml:space="preserve"> (variación del NOPAT sobre variación del capital invertido en el periodo): 38,0 % · </w:t>
      </w:r>
      <w:r>
        <w:rPr>
          <w:b/>
          <w:bCs/>
        </w:rPr>
        <w:t xml:space="preserve">WACC</w:t>
      </w:r>
      <w:r>
        <w:t xml:space="preserve">: 9,6 %.</w:t>
      </w:r>
    </w:p>
    <w:p>
      <w:pPr>
        <w:spacing w:after="100"/>
      </w:pPr>
      <w:r>
        <w:t xml:space="preserve">Halozyme crea valor con holgura: ROIC del 34,5 % en 2025 (49,2 % sin el fondo de comercio de Antares y Elektrofi) frente a un WACC del 9,58 %, y del 34,9 % en 2024 [2]. El motor del ROIC es el margen (NOPAT de 572 M sobre 1.397 M de ventas), no la rotación, que es baja (0,61) por los intangibles comprados. El ROIC incremental histórico es del 38 %: las compras de Antares y Elektrofi han bajado el ROIC desde los máximos sin fondo de comercio, pero cada dólar de ventas nuevas en regalías no necesita capital. El ROE (153,6 %) no sirve: el patrimonio está vaciado por recompras. Frente a comparables con regalías, Royalty Pharma tiene un ROIC del 5,4 % porque compra las regalías a precio de mercado [30]; Halozyme las genera con su propia tecnología.</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1.948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468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2.416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y valores negociables 231,9 M a 30-jun-2026 [3], más ≈460 M netos que quedaron de la emisión de septiembre (1.275 M netos menos 162,5 M de opciones de compra con techo y 652,5 M de recompra de bonos de 2027 y 2028) [8]; línea de crédito revolvente de 750 M sin disponer hasta noviembre de 2030 [4].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 público de agencia (deuda en bonos convertibles privados 144A).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5,6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Sin pensiones ni opciones de venta de minoritarios. Los pasivos que importan son los bonos convertibles: 2.179,6 M de principal a 30-jun-2026 (2027, 2028, 2031 y 2032) y, desde el 22-sep, 3.107,9 M tras emitir 1.300 M al 1,50 % con vencimiento en 2033 y recomprar 371,7 M de los de 2027 y 2028 [4, 8]. Los convertibles de 2027 y 2028 están muy en dinero (conversión a 77,17 y 56,02 USD) y se liquidan en caja el principal y en caja o acciones el exceso: es dilución o salida de caja si la acción sigue alta. Hay contraprestaciones contingentes por Elektrofi (23 M estimados) y hasta 100 M de hitos por Surf Bio [4, 9]. Los arrendamientos son operativos (34,6 M) y en US GAAP no van al puente.</w:t>
      </w:r>
    </w:p>
    <w:p>
      <w:pPr>
        <w:pStyle w:val="Heading1"/>
      </w:pPr>
      <w:r>
        <w:t xml:space="preserve">12. Asignación de capital</w:t>
      </w:r>
    </w:p>
    <w:p>
      <w:pPr>
        <w:pStyle w:val="Confianza"/>
        <w:spacing w:after="100"/>
      </w:pPr>
      <w:r>
        <w:t xml:space="preserve">Confianza: Alta</w:t>
      </w:r>
    </w:p>
    <w:p>
      <w:pPr>
        <w:spacing w:after="100"/>
      </w:pPr>
      <w:r>
        <w:t xml:space="preserve">Sin dividendo. La prioridad declarada es devolver caja con recompras: programa de 750 M de febrero de 2024 terminado en junio de 2026 (13,5 M de acciones a 55,56 USD de media) y uno nuevo de 1.000 M hasta 2028, con al menos 400 M en 2026 [4]. La otra prioridad es comprar tecnología de administración de fármacos para alargar las regalías más allá de 2029 (Elektrofi, Surf Bio) y, según la emisión de septiembre, «posibles adquisiciones y operaciones estratégicas» con el sobrante [8].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Antares Pharma (autoinyectores, XYOSTED, productos para Teva)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bonos convertibles de 2028 (720 M)</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producto de 104 M (2021) a 376 M (2025) con XYOSTED creciendo; amortización de intangibles de ≈71-77 M al año y deterioro de un intangible de 48,7 M en 2025 [1, 7].</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Elektrofi (tecnología Hypercon de hiperconcentración)</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726</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bonos convertibles de 2031 y 2032</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ingresos todavía: cinco acuerdos firmados (Janssen, Lilly, argenx, Vertex, Oruka) con 17 dianas; primeras aprobaciones previstas en 2030-2031 [5].</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Surf Bio (hiperconcentración con polímeros)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Tratada como compra de activos: 284,9 M de I+D en curso llevados a gasto en el 4T25; hasta 100 M más en hitos [9].</w:t>
            </w:r>
          </w:p>
        </w:tc>
      </w:tr>
    </w:tbl>
    <w:p>
      <w:pPr>
        <w:spacing w:after="160" w:before="0"/>
      </w:pPr>
    </w:p>
    <w:p>
      <w:pPr>
        <w:spacing w:after="100"/>
      </w:pPr>
      <w:r>
        <w:t xml:space="preserve">La dirección asigna bien el capital en recompras (compró 13,5 M de acciones a 55,56 USD, hoy a 116,82) y razonablemente en compras: Antares duplicó las ventas de producto, pero con un deterioro de 48,7 M en 2025, y Hypercon todavía no tiene ingresos [1, 4]. En 2018-2025 generó 1.929 M de flujo libre, gastó 2.013 M en compras y 1.895 M en recompras: más de lo generado, financiado con convertibles. El número de acciones diluidas bajó de 144 M (2018) a 124 M (2025). La emisión de 1.300 M de septiembre recompró bonos en dinero con prima (652,5 M por 371,7 M de principal) y deja ≈460 M para compras: la próxima operación decidirá si la asignación sigue siendo buena.</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Helen I. Torley</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Presidenta y primera ejecutiva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Médica; antes directora comercial de Onyx y directiva de Amgen. Con ella las regalías pasaron de 9 M (2014) a 868 M (2025) y la empresa dejó su oncológico propio en 2019 para centrarse en ENHANZE [18].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Darren Snellgrove</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Veinte años en J&amp;J, último puesto CFO del sector farmacéutico (2021-2025); llega en junio de 2026 tras un interino de tres meses [20, 21].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Jeffrey W. Henderson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 (independiente)</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0,05 %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Antiguo CFO de Cardinal Health; preside el consejo desde mayo de 2022 [18].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Mark Snyder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Vicepresidente ejecutivo, director jurídico y secretario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2022</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0,17 %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Lleva los pleitos de patentes MDASE contra Merck en EE. UU. y Europa [18].</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785-845 M (guía de inicio de año)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829,3 M</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935-1.015 M (inicio de año)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1.015,3 M</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1.150-1.225 M (inicio de año), subida varias veces</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1.396,6 M</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1.710-1.810 M (enero), 1.835-1.910 M (agosto)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857,7 M en el primer semestre (+45 %)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Helen Torley lleva doce años y ha convertido una biotecnológica con pérdidas en una empresa de regalías con margen del 67 %: credibilidad alta, con la guía de ingresos cumplida o superada en 2023, 2024 y 2025 y subida dos veces en 2026 [3]. El punto débil es la estabilidad del segundo escalón: la directora financiera salió en marzo de 2026 y la de operaciones en junio, nueve meses después de su ascenso [20, 22]. El nuevo CFO, Darren Snellgrove, viene de ser CFO farmacéutico de J&amp;J, el mayor pagador de regalías: conoce al cliente, pero también es una relación a vigilar [21]. Torley tiene una gratificación extraordinaria en acciones ligada a subidas fuertes del precio para retenerla; no hay plan de sucesión público [18].</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5,6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Jeffrey W. Henderson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Helen I. Torley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y primera ejecutiva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Bernadette Connaughton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 (presidenta)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Matthew L. Posard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(presidente) y 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Barbara Duncan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(presidenta) y Remuneración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Mahesh Krishnan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Remuneración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James Lang</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Moni Miyashita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Dannielle Appelhans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James Daly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90 %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9,9 %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(sin salvedades) sobre las cuentas y el control interno de 2025</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0,00 / ventas 27,51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Vanguard Group</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 (gestora pasiva)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13G/A de febrero de 2024</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 (gestora)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13G/A de julio de 2025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State Street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 (gestora pasiva)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13G de mayo de 2025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Consejeros y directivos (11 personas)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Directivos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netas de 48,4 M USD en 12 meses</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 oct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Helen I. Torley (CEO)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15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Helen I. Torley (CEO)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15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Matthew L. Posard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18.996</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15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Helen I. Torley (CEO)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6,28</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15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Cortney Caudill (COO)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28.857</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15 nov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Helen I. Torley (CEO)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4,17</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23,17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21,00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89,8 %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La primera ejecutiva cobró 23,17 M USD en 2025: 1,0 M de fijo, 1,15 M de variable anual (127,5 % del objetivo) y ≈21 M en acciones y opciones, de los que 10 M son una concesión única de acciones por objetivos de precio (diciembre de 2025) para retenerla cuatro años [18]. El variable a largo plazo depende a medias de la rentabilidad total relativa frente al índice biotecnológico del Nasdaq y de firmar acuerdos nuevos, lo que premia el número de licencias más que su rentabilidad. La ratio con el empleado medio es de 100 veces. En la junta de 2026 el voto consultivo obtuvo un 89,8 % a favor y un 9,9 % en contra, frente al 96,1 % de 2025 [19].</w:t>
      </w:r>
    </w:p>
    <w:p>
      <w:pPr>
        <w:pStyle w:val="Heading2"/>
      </w:pPr>
      <w:r>
        <w:t xml:space="preserve">Operaciones vinculadas, estructura de control y defensas</w:t>
      </w:r>
    </w:p>
    <w:p>
      <w:pPr>
        <w:spacing w:after="100"/>
      </w:pPr>
      <w:r>
        <w:t xml:space="preserve">Sin accionista de control: los mayores son gestoras indexadas (Vanguard 11,2 %, BlackRock 10,6 %, State Street 5,1 %) y consejeros y directivos tienen el 2,5 % [18]. Una acción, un voto. El consejo es escalonado (clases con mandatos de tres años), una defensa frente a ofertas hostiles, y la presidencia es independiente desde 2022 (Jeffrey Henderson). Sin operaciones vinculadas relevantes. En 2026 entraron dos consejeros nuevos (Appelhans y Daly) [23, 24]. Los bonos convertibles obligan a recomprar al 100 % en caso de cambio de control, algo normal [8].</w:t>
      </w:r>
    </w:p>
    <w:p>
      <w:pPr>
        <w:pStyle w:val="Heading2"/>
      </w:pPr>
      <w:r>
        <w:t xml:space="preserve">Señales de alerta</w:t>
      </w:r>
    </w:p>
    <w:p>
      <w:pPr>
        <w:pStyle w:val="ListParagraph"/>
        <w:numPr>
          <w:ilvl w:val="0"/>
          <w:numId w:val="2"/>
        </w:numPr>
        <w:spacing w:after="60"/>
      </w:pPr>
      <w:r>
        <w:t xml:space="preserve">Rotación del director financiero: Nicole LaBrosse sale en marzo de 2026, interino de tres meses (David Ramsay) y nuevo CFO desde junio (Darren Snellgrove, de J&amp;J, cuyo grupo es el mayor pagador de regalías) [20, 21].</w:t>
      </w:r>
    </w:p>
    <w:p>
      <w:pPr>
        <w:pStyle w:val="ListParagraph"/>
        <w:numPr>
          <w:ilvl w:val="0"/>
          <w:numId w:val="2"/>
        </w:numPr>
        <w:spacing w:after="60"/>
      </w:pPr>
      <w:r>
        <w:t xml:space="preserve">Salida de la directora de operaciones (Cortney Caudill) en junio de 2026, nueve meses después de su nombramiento [22].</w:t>
      </w:r>
    </w:p>
    <w:p>
      <w:pPr>
        <w:pStyle w:val="ListParagraph"/>
        <w:numPr>
          <w:ilvl w:val="0"/>
          <w:numId w:val="2"/>
        </w:numPr>
        <w:spacing w:after="60"/>
      </w:pPr>
      <w:r>
        <w:t xml:space="preserve">Ventas continuas de la primera ejecutiva con plan 10b5-1: 42,1 M USD en 12 meses, unas 50.000-60.000 acciones al mes, sobre todo ejerciendo opciones antiguas [25].</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Guía de 2026 subida el 6-ago-2026 por segunda vez en el año: ingresos de 1.835-1.910 M (+31-37 %), regalías de 1.220-1.245 M (+41-43 %), EBITDA ajustado de 1.225-1.280 M y BPA no GAAP de 8,65-9,00 USD, con ≈60 M de inversión en Hypercon y Surf Bio [3]. A medio plazo, la dirección habla de «más de 2.000 M de ingresos en 2028» y de regalías duraderas hasta los 2040 gracias a nueve productos de ENHANZE en desarrollo (aprobaciones desde 2029) y a las cinco licencias de Hypercon (desde 2030-2031) [5, 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(BPA GAAP) [27]</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[27]</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2.339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[27]</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1.881</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1.203</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1.408</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2.306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2.339</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1.545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1.479</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108,78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78,00 – 130,00</w:t>
            </w:r>
          </w:p>
        </w:tc>
      </w:tr>
    </w:tbl>
    <w:p>
      <w:pPr>
        <w:spacing w:after="160" w:before="0"/>
      </w:pPr>
    </w:p>
    <w:p>
      <w:pPr>
        <w:pStyle w:val="Heading2"/>
      </w:pPr>
      <w:r>
        <w:t xml:space="preserve">Revisiones de estimaciones</w:t>
      </w:r>
    </w:p>
    <w:p>
      <w:pPr>
        <w:spacing w:after="100"/>
      </w:pPr>
      <w:r>
        <w:t xml:space="preserve">Las estimaciones suben: la guía de ingresos de 2026 pasó de 1.430-1.530 M (2025) a 1.710-1.810 M (enero) y a 1.835-1.910 M (agosto) [3, 9]. El consenso de MarketScreener espera ventas de 1.881, 2.100 y 2.339 M en 2026-2028 y un BPA GAAP de 7,30, 8,90 y 10,15 USD [27]. Los objetivos también suben en octubre: H.C. Wainwright y TD Cowen a 130 USD, Leerink en 110, Morgan Stanley en 105 y J.P. Morgan en Neutral con 78 [28]. Solo un proveedor da estimaciones completas; el objetivo medio (108,78 USD, 9 analistas) coincide en MarketScreener y Stock Analysis [27, 28].</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0,95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-49,1 %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13,6 %</w:t>
            </w:r>
          </w:p>
        </w:tc>
      </w:tr>
    </w:tbl>
    <w:p>
      <w:pPr>
        <w:spacing w:after="160" w:before="0"/>
      </w:pPr>
    </w:p>
    <w:p>
      <w:pPr>
        <w:spacing w:after="100"/>
      </w:pPr>
      <w:r>
        <w:t xml:space="preserve">La acción ha ganado un 76,0 % en un año frente al 16,9 % del S&amp;P 500 y el 32,8 % del índice biotecnológico, y un 47,3 % anual en tres años [26]. Dos saltos lo explican: los resultados del 2T26 (6-ago), con la guía subida, que llevaron la acción de ≈84 a más de 100 USD en dos sesiones [35], y la sentencia de La Haya contra Merck (7-oct) con las subidas de objetivo de los analistas [13, 28]. La caída máxima de cinco años fue del −49,1 % (dic-2022 a may-2023), cuando el mercado temió por la duración de las regalías. Beta mensual de 0,95 y volatilidad anual del 36,5 %. Un 13,6 % del flotante está vendido en corto, en buena parte como cobertura de los bonos convertibles [29].</w:t>
      </w:r>
    </w:p>
    <w:p>
      <w:pPr>
        <w:pStyle w:val="Heading2"/>
      </w:pPr>
      <w:r>
        <w:t xml:space="preserve">Precio y noticias antes de decidir (regla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Variación 1 / 3 / 6 / 12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+11,7 % / +55,7 % / +81,8 % / +81,8 %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y al mínimo de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0,0 % / +96,6 %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de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(medias de 50 y 200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alcista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(60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47,0 %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2026-11-05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Veredicto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 cambia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3"/>
        <w:gridCol w:w="1098"/>
        <w:gridCol w:w="4147"/>
        <w:gridCol w:w="1220"/>
      </w:tblGrid>
      <w:tr>
        <w:trPr>
          <w:cantSplit/>
          <w:tblHeader/>
        </w:trPr>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4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Causa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ago-2026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2T26 por encima de lo esperado (ingresos +48 %, BPA no GAAP 0,46 USD por encima del consenso) y segunda subida de la guía de 2026 [3, 35]. Es una causa de negocio que la tesis recoge.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sep-oct-2026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Sentencia de La Haya que prohíbe el Keytruda SC de Merck en ocho países (7-oct) y subidas de objetivo de H.C. Wainwright y TD Cowen a 130 USD [13, 28]; la emisión de convertibles del 17-sep (cobertura de los compradores) apenas frenó la subida [8].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feb-2026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Caída de un día (18-feb) tras publicar el 4T25 con pérdida contable por la I+D en curso de Surf Bio y solo reiterar la guía de 2026 [6, 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9"/>
        <w:gridCol w:w="1585"/>
        <w:gridCol w:w="3904"/>
        <w:gridCol w:w="1220"/>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9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Hecho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2026-10-07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 o regulador</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tribunal de patentes de La Haya declara válida y infringida la patente MDASE EP622 y prohíbe a Merck fabricar y vender Keytruda SC en ocho países europeos; en Alemania ya había medida cautelar desde dic-2025. En EE. UU. sigue el pleito de Nueva Jersey y la PTAB ha anulado varias patentes MDASE [13, 14, 15].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2026-09-17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ampliación o convertible</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Emisión de 1.300 M de bonos convertibles al 1,50 % con vencimiento en 2033 (conversión a 139,84 USD, cobertura con techo hasta 208,39), recompra de 371,7 M de los de 2027 y 2028 y ≈460 M para «posibles adquisiciones» [8].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2026-10-15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H.C. Wainwright sube el objetivo de 115 a 130 USD (15-oct) y TD Cowen de 105 a 130 (13-oct); J.P. Morgan mantiene Neutral con 78; el objetivo medio (108,78) queda por debajo del precio [28].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2026-10-06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primera ejecutiva vende 50.000-60.000 acciones al mes con plan 10b5-1 (42,1 M USD en 12 meses), ejerciendo opciones antiguas; ningún directivo ha comprado [25].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2026-06-08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Cambio de director financiero (Darren Snellgrove, de J&amp;J) tras un interino y salida de la directora de operaciones [21, 22].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2026-11-05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3T26, fecha estimada por el calendario de 2025 (aún sin anunciar) [3].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p>
      <w:pPr>
        <w:spacing w:after="100"/>
      </w:pPr>
      <w:r>
        <w:t xml:space="preserve">La subida de seis meses (+82 %) tiene causas de negocio que la tesis recoge: dos subidas de guía, regalías +50 % y la sentencia europea contra Merck [3, 13]. No hay hecho pendiente que pueda mover el precio más de un 5 % en contra con fecha cierta: la emisión de convertibles ya se cerró y las ventas de la primera ejecutiva son de un plan 10b5-1 con ejercicio de opciones. El riesgo de una compra con el sobrante de la emisión es real pero sin fecha. Los avisos P1 y P2 (subida fuerte, en máximos) no cambian la señal; lo que la decide es la valoración, que ya no deja margen.</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Con PER adelantado (precio de cierre ÷ BPA GAAP del año siguiente), Halozyme cotizó a 27-28 veces en 2021-2022, cuando el mercado pagaba el crecimiento de DARZALEX SC, y cayó a 8,8-10,8 veces en 2023-2025 por el miedo al fin de las patentes de rHuPH20 [2, 26]. Hoy cotiza a 13,6 veces nuestro BPA de 2027, por encima de la mediana de cinco años (10,8): la subida de 2026 ha deshecho buena parte del descuento. En la serie del motor (múltiplos de los últimos 12 meses de cada año) excluimos 2018 y 2019 (pérdidas), 2021 (beneficio inflado por un ingreso fiscal de 154 M) y 2025 (beneficio deprimido por 374,2 M no recurrentes). Lo estructural que ha cambiado es la mezcla (62 % de regalías) y el horizonte de patentes.</w:t>
      </w:r>
    </w:p>
    <w:p>
      <w:pPr>
        <w:pStyle w:val="Heading1"/>
      </w:pPr>
      <w:r>
        <w:t xml:space="preserve">18. Comparables cotizados</w:t>
      </w:r>
    </w:p>
    <w:p>
      <w:pPr>
        <w:pStyle w:val="Confianza"/>
        <w:spacing w:after="100"/>
      </w:pPr>
      <w:r>
        <w:t xml:space="preserve">Confianza: Media</w:t>
      </w:r>
    </w:p>
    <w:p>
      <w:pPr>
        <w:spacing w:after="100"/>
      </w:pPr>
      <w:r>
        <w:t xml:space="preserve">No hay comparables puros de una empresa de licencias de administración subcutánea: Alteogen cotiza en Corea a múltiplos de expectativa y Royalty Pharma compra regalías en vez de generarlas. Usamos biotecnológicas medianas rentables de EE. UU. con márgenes altos y dependencia de pocos productos (Incyte, United Therapeutics, Vertex, BioMarin, Jazz, Exelixis) [31] y Royalty Pharma [30]. Peso 0 en la valoración: los PER adelantados de Stock Analysis mezclan bases (ajustado y GAAP) y Vertex distorsiona la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Halozyme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13.831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Royalty Pharma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34.530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Incyte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22.610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United Therapeutics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23.160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Vertex</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126.350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BioMarin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10.670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Jazz Pharmaceuticals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13.610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Exelixis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15.110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36"/>
        <w:gridCol w:w="1056"/>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44,7 %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28,8 %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11,1x / 13,6x / 22,1x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81,42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104,35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182,32</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9,9x / 14,1x / 19,6x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84,98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121,16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167,61</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1.664</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3,8x / 5,7x / 7,6x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32,64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59,69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86,74</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-48,9 %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t xml:space="preserve">Halozyme cotiza a 13,6 veces el BPA de los próximos 12 meses frente a una mediana de 14,2 en los comparables con PER, con un margen EBITDA (66,7 %) muy superior al de todos salvo Royalty Pharma (61,4 %) y un ROIC del 34,5 % que solo igualan United Therapeutics (31,3 %) y Vertex (28,8 %) [30, 31]. El descuento no es un error: sus ingresos dependen de patentes que caducan en 2027-2029 y de tres productos de terceros, mientras Vertex o United Therapeutics tienen franquicias propias. Por EV/EBITDA de los últimos 12 meses (15,0 veces) está en la zona media del grupo. No usamos este método para el valor objetivo.</w:t>
      </w:r>
    </w:p>
    <w:p>
      <w:pPr>
        <w:pStyle w:val="Heading1"/>
      </w:pPr>
      <w:r>
        <w:t xml:space="preserve">19. Transacciones precedentes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76"/>
        <w:gridCol w:w="1780"/>
        <w:gridCol w:w="1676"/>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Antares Pharma (autoinyectores)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Halozyme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5,22x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5,60 USD por acción; ventas de 2021 ≈184 M [7].</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2024-12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Catalent (formulación y fabricación por contrato)</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Novo Holdings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del ejercicio 2024 ≈4.380 M; negocio de servicios, no de regalías [34].</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Elektrofi (Hypercon)</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Halozyme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726</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ingresos: se paga la tecnología (pago neto de caja) [4].</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2025-12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Surf Bio</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Halozyme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M iniciales más hasta 100 M en hitos; sin ingresos [9].</w:t>
            </w:r>
          </w:p>
        </w:tc>
      </w:tr>
    </w:tbl>
    <w:p>
      <w:pPr>
        <w:spacing w:after="160" w:before="0"/>
      </w:pPr>
    </w:p>
    <w:p>
      <w:pPr>
        <w:spacing w:after="160" w:before="0"/>
      </w:pPr>
    </w:p>
    <w:p>
      <w:pPr>
        <w:spacing w:after="100"/>
      </w:pPr>
      <w:r>
        <w:t xml:space="preserve">Las operaciones del sector dicen poco del valor de control de Halozyme: Antares se pagó a 5,2 veces ventas [7] y Catalent a 3,8 veces [34], pero son negocios de producto y servicios. Las compras de tecnología (Elektrofi por 726 M netos, Surf Bio por 300 M más hitos) no tienen ingresos [4, 9]. Halozyme es más comprador que objetivo: en 2024 ofreció ≈2.000 M EUR por Evotec y retiró la oferta. Con 13.831 M de capitalización y sin accionista de control podría interesar a una gran farmacéutica que quisiera controlar la tecnología, pero los socios competidores lo hacen improbable.</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El 2026e queda fijo en el +34 % de la guía (1.835-1.910 M, punto medio) [3]. Después: +12 % en 2027 y +10 % en 2028, en línea con el consenso (2.100 y 2.339 M) [27], por la subida de VYVGART Hytrulo, Opdivo Qvantig, RYBREVANT SC y Ocrevus SC. En 2029 solo +3 %: en marzo baja la regalía de DARZALEX SC en 37 países europeos al caducar EP 4269578 [16, 17]. En 2030-2032 +2-4 % con productos nuevos de ENHANZE (aprobaciones desde 2029) y en 2033 −3 %, cuando termina la protección de las regalías de DARZALEX en EE. UU. («seguras hasta 2032» según la empresa) [17]. La TCAC histórica (37,3 %) no se repite.</w:t>
      </w:r>
    </w:p>
    <w:p>
      <w:pPr>
        <w:keepNext/>
        <w:spacing w:after="100"/>
      </w:pPr>
      <w:r>
        <w:rPr>
          <w:b/>
          <w:bCs/>
        </w:rPr>
        <w:t xml:space="preserve">Márgenes.</w:t>
      </w:r>
    </w:p>
    <w:p>
      <w:pPr>
        <w:spacing w:after="100"/>
      </w:pPr>
      <w:r>
        <w:t xml:space="preserve">Margen EBITDA del 65 % en 2026e (guía de EBITDA ajustado de 1.225-1.280 M menos ≈30 M del pleito) [3], 67 % en 2027-2028 por el peso creciente de las regalías y bajada gradual al 62 % en 2033 al reducirse las regalías de mayor margen. El margen normalizado de 2025 fue del 66,7 % y el del 2T26 del 66,9 % [3].</w:t>
      </w:r>
    </w:p>
    <w:p>
      <w:pPr>
        <w:keepNext/>
        <w:spacing w:after="100"/>
      </w:pPr>
      <w:r>
        <w:rPr>
          <w:b/>
          <w:bCs/>
        </w:rPr>
        <w:t xml:space="preserve">Inversión y circulante.</w:t>
      </w:r>
    </w:p>
    <w:p>
      <w:pPr>
        <w:spacing w:after="100"/>
      </w:pPr>
      <w:r>
        <w:t xml:space="preserve">Capex de inmovilizado mínimo (0,6 % de las ventas en 2026, como en 2025) y, desde 2028, un 3-4 % de las ventas para comprar tecnología de reposición (estimación propia: Halozyme gastó 2.013 M en compras en 2018-2025, el 104 % de su flujo libre) [2]. La amortización baja del 7,3 % (intangibles de Elektrofi y Antares) al 4 % al final, igual al capex. Circulante del 32 % de las ventas, como a mitad de 2026.</w:t>
      </w:r>
    </w:p>
    <w:p>
      <w:pPr>
        <w:keepNext/>
        <w:spacing w:after="100"/>
      </w:pPr>
      <w:r>
        <w:rPr>
          <w:b/>
          <w:bCs/>
        </w:rPr>
        <w:t xml:space="preserve">Coste del capital.</w:t>
      </w:r>
    </w:p>
    <w:p>
      <w:pPr>
        <w:spacing w:after="100"/>
      </w:pPr>
      <w:r>
        <w:t xml:space="preserve">Tasa libre del 5,21 % (bono de EE. UU. a 10 años, 13-oct-2026) [32]; beta de 1,0 (mensual de 5 años 0,95; semanal de 5 años 0,72; la semanal de 2 años, 0,26, está distorsionada por la subida de 2026) [26]; prima de mercado del 5,5 %; coste de la deuda del 5,5 % antes de impuestos (el cupón del 0,9 % es barato porque lleva opción de conversión); peso de la deuda del 18 % a valor de mercado. WACC del 9,58 %. Con la prima implícita del mercado (4,20 %) [33], el WACC baja al 8,52 %.</w:t>
      </w:r>
    </w:p>
    <w:p>
      <w:pPr>
        <w:keepNext/>
        <w:spacing w:after="100"/>
      </w:pPr>
      <w:r>
        <w:rPr>
          <w:b/>
          <w:bCs/>
        </w:rPr>
        <w:t xml:space="preserve">Valor terminal.</w:t>
      </w:r>
    </w:p>
    <w:p>
      <w:pPr>
        <w:spacing w:after="100"/>
      </w:pPr>
      <w:r>
        <w:t xml:space="preserve">Crecimiento a perpetuidad del 2 %, por debajo de la inflación esperada en dólares, porque las regalías de ENHANZE caducan y el valor terminal depende de que Hypercon, Surf Bio y los productos nuevos de ENHANZE las sustituyan. Con un 2 % el valor terminal es el 58 % del valor y equivale a unas 10 veces el EBITDA final, en línea con lo que pagó el mercado por Halozyme en 2023-2025.</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8,52 %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653</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3" name="Gráfico 23"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16.238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15.605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6.086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8.392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14.478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12.062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101,88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127,46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136,45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116,59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124,00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107,25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113,44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99,16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104,38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92,06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96,51</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103,43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109,30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105,57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111,55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107,71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113,81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109,84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116,06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111,98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118,32</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 M (-2 %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 la reinversión bruta (capex + circulante): crecimiento que financia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 (reinvierte el 9 %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que la proyección supone para la reinversión bruta</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72,2 % (histórico: 38,0 %)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37,3 % frente al 8,1 %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Sí</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mercado implícita en 2033e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0,7 % (hoy: 0,6 %)</w:t>
            </w:r>
          </w:p>
        </w:tc>
      </w:tr>
    </w:tbl>
    <w:p>
      <w:pPr>
        <w:spacing w:after="160" w:before="0"/>
      </w:pPr>
    </w:p>
    <w:p>
      <w:pPr>
        <w:spacing w:after="100"/>
      </w:pPr>
      <w:r>
        <w:t xml:space="preserve">La proyección apenas necesita inversión neta de la amortización (reinversión acumulada de -153 M, con un capex bruto medio del 3,2 % de las ventas). En un negocio de activos ligeros, el crecimiento medio del 8,1 % tiene que salir de subir precios y de ganar volumen sin capital nuevo, y la prueba es el poder de precios y la cuota (0,7 % del mercado en 2033e, frente al 0,6 % de hoy);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subida de ventas de los socios (VYVGART Hytrulo, DARZALEX SC en primera línea, RYBREVANT SC) y pedidos de rHuPH20 a granel; otros: pagos de licencias nuevas (35,5 M en el 2T26) [4].</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 los productos ya aprobados; precio +1 % por la mezcla hacia productos de regalía más alta; otros: hitos [27].</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 los diez productos y posible undécimo (TAK-881 de Takeda) [5].</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−5 %: rebaja de la regalía de DARZALEX SC en Europa desde marzo de 2029 [16, 17]; volumen: primeros productos nuevos de ENHANZE.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Volumen de los productos nuevos de ENHANZE; sin cambios de tarifa.</w:t>
            </w:r>
          </w:p>
        </w:tc>
      </w:tr>
    </w:tbl>
    <w:p>
      <w:pPr>
        <w:spacing w:after="160" w:before="0"/>
      </w:pPr>
    </w:p>
    <w:p>
      <w:pPr>
        <w:spacing w:after="100"/>
      </w:pPr>
      <w:r>
        <w:t xml:space="preserve">Las tres pruebas del motor pasan: el negocio no necesita capital para crecer, el ROIC es del 34,5 % y la cuota implícita en 2033 (0,7 % del mercado) apenas sube. Pero el veredicto es «En parte» y no «Sí» porque el crecimiento depende de patentes que caducan en 2027-2029 y de tres productos de terceros: el poder de precios de ENHANZE se pierde país a país al caducar rHuPH20, y las patentes de segunda generación (MDASE) están siendo anuladas en EE. UU. [1, 15]. La proyección ya lo recoge (crecimiento del 2-4 % en 2029-2032 y −3 % en 2033), pero sostener el valor terminal exige que Hypercon y Surf Bio, sin ingresos hoy, sustituyan a ENHANZE.</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(2027e-2033e)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6,9 % (base: 4,4 %)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69,4 % (base: 62,0 %)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8,7 % (WACC: 9,6 %)</w:t>
            </w:r>
          </w:p>
        </w:tc>
      </w:tr>
    </w:tbl>
    <w:p>
      <w:pPr>
        <w:spacing w:after="160" w:before="0"/>
      </w:pPr>
    </w:p>
    <w:p>
      <w:pPr>
        <w:spacing w:after="100"/>
      </w:pPr>
      <w:r>
        <w:t xml:space="preserve">El DCF da 101,88 USD por acción, un 12,8 % por debajo del precio, con el valor terminal en el 58 % del valor. El DCF inverso dice que el precio de 116,82 USD descuenta un crecimiento anual de las ventas del 6,9 % en 2027-2033 con márgenes del 62 %, frente al 4,4 % de nuestro caso base en esos años, y una rentabilidad implícita del 8,7 % frente a un WACC del 9,58 %. Es exigente para una empresa cuyas regalías principales pierden protección en 2029 y 2033: el mercado da por hecho que las ventas nuevas de ENHANZE y la hiperconcentración compensarán las rebajas casi del todo. Con la prima implícita del mercado (4,20 %) el valor sube a 121,20 USD: a ese coste de capital la acción está en su precio, no barata. La diferencia entre las dos lecturas es de tasa de descuento, no de cifras.</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63,59</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ventas de los socios se frenan antes (biosimilares de daratumumab, precios de la IRA), la rebaja europea de 2029 pesa más y la PTAB anula el resto de MDASE: crecimiento 4 puntos menor y margen 4 puntos menor. Ya pasó en 2023, cuando la acción cayó un 49 % por el miedo a las patentes.</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101,88</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guía de 2026 se cumple, las regalías crecen hasta 2028 y luego se aplanan con la rebaja europea; los productos nuevos de ENHANZE compensan a medias y Hypercon empieza a cobrar en los 2030.</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124,95</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Más productos con ENHANZE (TAK-881, GSK, Incyte), acuerdo de licencia con Merck tras las sentencias europeas y Hypercon aprobado antes: 3 puntos más de crecimiento y 2 de margen.</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Valor por acción por escenario (USD) · precio actual 116,82"/>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spacing w:after="100"/>
      </w:pPr>
      <w:r>
        <w:rPr>
          <w:b/>
          <w:bCs/>
        </w:rPr>
        <w:t xml:space="preserve">Valor ponderado por probabilidad:</w:t>
      </w:r>
      <w:r>
        <w:t xml:space="preserve"> 98,08 USD (-16,0 %).</w:t>
      </w:r>
    </w:p>
    <w:p>
      <w:pPr>
        <w:spacing w:after="100"/>
      </w:pPr>
      <w:r>
        <w:t xml:space="preserve">La asimetría del valor intrínseco es mala: el alcista vale 124,95 USD (+7,0 %) y el bajista 63,59 (−45,6 %), con una asimetría de 0,15 veces. El bajista es verosímil porque ya ocurrió en 2023, y el alcista apenas supera el precio porque el precio ya descuenta casi todo lo bueno. A 12 meses, con la regla de múltiplos, la asimetría es mejor (alcista 174,52 frente a bajista 73,22), porque el alcista aplica un PER de 16,7 veces: el riesgo de corto plazo es de múltiplo, el de largo plazo de patentes.</w:t>
      </w:r>
    </w:p>
    <w:p>
      <w:pPr>
        <w:pStyle w:val="Heading1"/>
      </w:pPr>
      <w:r>
        <w:t xml:space="preserve">22. Suma de partes</w:t>
      </w:r>
    </w:p>
    <w:p>
      <w:pPr>
        <w:pStyle w:val="Confianza"/>
        <w:spacing w:after="100"/>
      </w:pPr>
      <w:r>
        <w:t xml:space="preserve">Confianza: Alta</w:t>
      </w:r>
    </w:p>
    <w:p>
      <w:pPr>
        <w:spacing w:after="100"/>
      </w:pPr>
      <w:r>
        <w:t xml:space="preserve">No aplica: las ventas de producto (rHuPH20 a granel, XYOSTED, autoinyectores) dependen de los mismos socios y de la misma tecnología que las regalías, y la empresa publica un solo segmento.</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6" name="Gráfico 26" descr="Valor por acción según cada método (USD) · precio actual 116,82"/>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116,82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119,21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108,78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121,16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167,61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101,88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116,59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98,08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124,95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121,20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132,64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116,82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117,40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spacing w:after="100"/>
      </w:pPr>
      <w:r>
        <w:rPr>
          <w:b/>
          <w:bCs/>
        </w:rPr>
        <w:t xml:space="preserve">Valor intrínseco ponderado (largo plazo):</w:t>
      </w:r>
      <w:r>
        <w:t xml:space="preserve"> 100,36 USD (-14,1 % sobre 116,82).</w:t>
      </w:r>
    </w:p>
    <w:p>
      <w:pPr>
        <w:spacing w:after="100"/>
      </w:pPr>
      <w:r>
        <w:t xml:space="preserve">Pesos: 60 % DCF y 40 % escenarios. El DCF es el método más fiable porque la cuestión central es cuánto duran las regalías, y solo una proyección año a año la recoge. Los comparables pesan 0: no hay ninguno con el mismo modelo y sus PER mezclan bases. Las transacciones tampoco cuentan (sin múltiplos homogéneos). La dispersión es grande: el DCF da 101,88, los escenarios 63,59-124,95 y el PER de los comparables apunta a 121,16. Con la prima implícita del mercado el valor objetivo es 119,22 (+2,1 %): incluso con el coste de capital más bajo, la acción cotiza en su precio justo.</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8,32</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73,22</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9,59</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(13.6x) ÷ 1.1 (tope: la mediana de 5 años, 10.8x,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118,92</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10,45</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16,7x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techo de base × 1.35</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174,52</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+49,4 %</w:t>
            </w:r>
          </w:p>
        </w:tc>
      </w:tr>
    </w:tbl>
    <w:p>
      <w:pPr>
        <w:spacing w:after="160" w:before="0"/>
      </w:pPr>
    </w:p>
    <w:p>
      <w:pPr>
        <w:spacing w:after="100"/>
      </w:pPr>
      <w:r>
        <w:rPr>
          <w:b/>
          <w:bCs/>
        </w:rPr>
        <w:t xml:space="preserve">Objetivo a 12 meses (ponderado):</w:t>
      </w:r>
      <w:r>
        <w:t xml:space="preserve"> 121,40 USD · rentabilidad +3,9 % (base +1,8 %) · señal Mantener.</w:t>
      </w:r>
    </w:p>
    <w:p>
      <w:pPr>
        <w:spacing w:after="100"/>
      </w:pPr>
      <w:r>
        <w:t xml:space="preserve">Para comparar, con el tope anterior del base (×1,3, 14-oct mediodía): 2,0 % Mantener. Decide la regla vigente (v3 con tope ×1,1; METODO-VIGENTE.md).</w:t>
      </w:r>
    </w:p>
    <w:p>
      <w:pPr>
        <w:keepNext/>
        <w:spacing w:after="100"/>
      </w:pPr>
      <w:r>
        <w:rPr>
          <w:b/>
          <w:bCs/>
        </w:rPr>
        <w:t xml:space="preserve">Frente al consenso (solo contraste).</w:t>
      </w:r>
    </w:p>
    <w:p>
      <w:pPr>
        <w:spacing w:after="100"/>
      </w:pPr>
      <w:r>
        <w:t xml:space="preserve">Nuestro BPA base de 2028 (9,59 USD) queda un 5,5 % por debajo del consenso GAAP (10,15) [27], porque no contamos recompras futuras (la empresa prevé 400 M al año) y llevamos el margen al 67 % en vez de subirlo más. Nuestro precio base (118,92) está un 9,3 % por encima del objetivo medio de los analistas (108,78), que va de 78 (J.P. Morgan) a 130 (TD Cowen y H.C. Wainwright) [28]. La diferencia viene del múltiplo, no del beneficio: el consenso aplica un PER más bajo por el riesgo de patentes.</w:t>
      </w:r>
    </w:p>
    <w:p>
      <w:pPr>
        <w:keepNext/>
        <w:spacing w:after="100"/>
      </w:pPr>
      <w:r>
        <w:rPr>
          <w:b/>
          <w:bCs/>
        </w:rPr>
        <w:t xml:space="preserve">Del valor intrínseco al objetivo a 12 meses.</w:t>
      </w:r>
    </w:p>
    <w:p>
      <w:pPr>
        <w:spacing w:after="100"/>
      </w:pPr>
      <w:r>
        <w:t xml:space="preserve">El objetivo a 12 meses (121,40 USD, +3,9 %; base 118,92, +1,8 %) queda un 21 % por encima del valor intrínseco (100,36): el mercado puede seguir pagando 12-13 veces el beneficio mientras crecen las regalías, aunque el DCF diga que ese beneficio caerá después de 2028. Cerrar la distancia hacia arriba exigiría que el mercado pase a valorar las regalías como perpetuas (un acuerdo con Merck o aprobaciones de Hypercon), y hacia abajo, que se acerque la rebaja de 2029. El BPA salta de 2,56 (2025, deprimido por 374,2 M no recurrentes) a 9,59 en 2028: normalizado es un 21 % anual, en línea con la guía.</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≈5-nov-2026 (estimada)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trimestre con el nuevo CFO completo; posible tercera subida de la guía de 2026 o primera indicación para 2027.</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Oct-dic 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Decisiones de la PTAB sobre la institución de revisiones contra las tres patentes MDASE restantes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 se instituyen y anulan, Halozyme pierde la palanca en EE. UU. frente a Merck.</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Posible acuerdo de licencia con Merck por Keytruda SC tras las sentencias europeas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Regalías nuevas no incluidas en la proyección.</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guía que muestre cuánto crecen las regalías antes de la rebaja europea de 2029.</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Aprobación de TAK-881 (Takeda) y sBLA de RYBREVANT SC en cabeza y cuello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Undécimo producto con ENHANZE e indicaciones nuevas.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Sin fecha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Uso de los ≈460 M sobrantes de la emisión de convertibles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Una compra cara o una recompra acelerada cambiarían la asignación de capital.</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Rebaja de regalías al caducar las patentes de rHuPH20 (EE. UU. 2027, Europa marzo de 2029) en productos sin otra patente válida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Propiedad intelectual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−20 % a −40 % (bajista: −45,6 %)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Patentes de co-formulación de los socios (DARZALEX en EE. UU.), productos nuevos de ENHANZE y Hypercon.</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regalías de 2028-2029 y resumen de duración por producto.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Concentración en DARZALEX SC, Phesgo y VYVGART Hytrulo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Clientes</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Diez productos aprobados y nueve en desarrollo.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trimestrales de DARZALEX (J&amp;J) y VYVGART (argenx).</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Pérdida del pleito MDASE en EE. UU. y competencia de Alteogen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a −10 %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Sentencias favorables en Alemania y La Haya.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Decisiones finales de la PTAB e institución de las tres revisiones restantes.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 cara con la caja de los convertibles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a −15 %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Historial razonable (Antares) y recompras como alternativa.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Anuncio de una compra de más de 1.000 M.</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Precios de medicamentos en EE. UU. (IRA, nación más favorecida)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a −10 %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41 % de los ingresos se factura fuera de EE. UU.</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Inclusión de DARZALEX o Ocrevus en la negociación de Medicare.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Dilución por los convertibles en dinero (2027 y 2028) y refinanciación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−2 % a −3 %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Opciones de compra con techo en las emisiones de 2031-2033.</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Acciones diluidas por encima de 120 M.</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Rotación directiva (CFO y COO en 2026) y ventas continuas de la primera ejecutiva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Nuevo CFO con experiencia en J&amp;J; ventas con plan 10b5-1.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Salida de la primera ejecutiva o del director jurídico.</w:t>
            </w:r>
          </w:p>
        </w:tc>
      </w:tr>
    </w:tbl>
    <w:p>
      <w:pPr>
        <w:spacing w:after="160" w:before="0"/>
      </w:pPr>
    </w:p>
    <w:p>
      <w:pPr>
        <w:pStyle w:val="Heading2"/>
      </w:pPr>
      <w:r>
        <w:t xml:space="preserve">Pre-mortem</w:t>
      </w:r>
    </w:p>
    <w:p>
      <w:pPr>
        <w:spacing w:after="100"/>
      </w:pPr>
      <w:r>
        <w:t xml:space="preserve">Es octubre de 2029 y la acción ha perdido un 40 %. Lo que pasó: en 2027 las regalías crecieron menos de lo esperado porque DARZALEX SC llegó al techo de penetración y los biosimilares intravenosos de daratumumab empezaron a presionar el precio. La PTAB anuló las patentes MDASE restantes y el juez de Nueva Jersey falló a favor de Merck, que siguió vendiendo Keytruda SC con la enzima de Alteogen en EE. UU.; otros socios eligieron a Alteogen para sus productos nuevos. En marzo de 2029 la regalía europea de DARZALEX bajó y la guía de 2029 mostró, por primera vez, regalías planas. Mientras tanto, Halozyme había usado la caja de los convertibles en una compra de tecnología sin ingresos, y la deuda neta superó tres veces el EBITDA. El mercado volvió a pagar 8-9 veces el beneficio, como en 2023-2024. Los indicadores que lo habrían anticipado: el crecimiento de las ventas de DARZALEX de J&amp;J por debajo del 10 %, la institución de las revisiones de la PTAB y la guía de 2027.</w:t>
      </w:r>
    </w:p>
    <w:p>
      <w:pPr>
        <w:pStyle w:val="Heading2"/>
      </w:pPr>
      <w:r>
        <w:t xml:space="preserve">Riesgo de inteligencia artificial</w:t>
      </w:r>
    </w:p>
    <w:p>
      <w:pPr>
        <w:spacing w:after="100"/>
      </w:pPr>
      <w:r>
        <w:rPr>
          <w:b/>
          <w:bCs/>
        </w:rPr>
        <w:t xml:space="preserve">Exposición:</w:t>
      </w:r>
      <w:r>
        <w:t xml:space="preserve"> Baja · </w:t>
      </w:r>
      <w:r>
        <w:rPr>
          <w:b/>
          <w:bCs/>
        </w:rPr>
        <w:t xml:space="preserve">Sentido:</w:t>
      </w:r>
      <w:r>
        <w:t xml:space="preserve"> Mixto · </w:t>
      </w:r>
      <w:r>
        <w:rPr>
          <w:b/>
          <w:bCs/>
        </w:rPr>
        <w:t xml:space="preserve">Efecto en valor (3-5 años):</w:t>
      </w:r>
      <w:r>
        <w:t xml:space="preserve"> −3 % a +3 %</w:t>
      </w:r>
    </w:p>
    <w:p>
      <w:pPr>
        <w:spacing w:after="100"/>
      </w:pPr>
      <w:r>
        <w:t xml:space="preserve">La IA no sustituye a ENHANZE: la administración subcutánea de un anticuerpo depende de una enzima o de una formulación física aprobada por el regulador, no de software. Tampoco toca sus costes: 423 empleados y fabricación externa. La IA sí puede tener efectos indirectos en los dos sentidos: acelera el diseño de anticuerpos y de formulaciones hiperconcentradas por parte de los socios y de competidores (más fármacos candidatos a ENHANZE, pero también más alternativas sin enzima), y puede abaratar el desarrollo de enzimas rivales como la de Alteogen. La señal a vigilar sería un socio que anuncie una formulación de alta concentración diseñada con IA que evite la enzima en un producto de dosis alta. Riesgo de IA: bajo.</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Lo material para las cifras es el acceso y el precio de los medicamentos: la IRA y la presión de precios en EE. UU. (58,9 % de los ingresos por país de facturación) pueden rebajar las ventas de los socios y con ellas las regalías [1]. La propiedad intelectual (patentes MDASE impugnadas) y la gobernanza de los pleitos (6,9 M de costes solo en el 2T26 [3]) son el segundo asunto. Ambientalmente el impacto es pequeño: 423 empleados y fabricación externa.</w:t>
      </w:r>
    </w:p>
    <w:p>
      <w:pPr>
        <w:pStyle w:val="Heading2"/>
      </w:pPr>
      <w:r>
        <w:t xml:space="preserve">Controversias</w:t>
      </w:r>
    </w:p>
    <w:p>
      <w:pPr>
        <w:spacing w:after="100"/>
      </w:pPr>
      <w:r>
        <w:t xml:space="preserve">Sin sanciones ni multas en los últimos tres años según el 10-K [1]. La controversia relevante es el litigio de patentes con Merck por Keytruda SC (Alemania, La Haya y Nueva Jersey), iniciado por Halozyme [13, 14].</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Duración de las regalías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porcentaje de las regalías de 2028 se rebaja en 2029 al caducar EP 4269578, y cuál es la regalía reducida media?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supuesto que más mueve el DCF (2029-2033).</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DARZALEX en EE. UU.</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¿Hasta qué año cobran la regalía completa de DARZALEX FASPRO en EE. UU. y qué patente la sostiene?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empresa dice «segura hasta 2032»; nuestro base la rebaja en 2033.</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Merck</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¿Hay negociaciones de licencia con Merck tras La Haya y qué regalía se pediría?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acuerdo sería el mayor catalizador positivo, fuera de nuestra proyección.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Uso de la caja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¿Para qué se reservan los ≈460 M que quedaron de la emisión de 1.300 M?</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compra grande cambia el riesgo; el comunicado habla de «posibles adquisiciones».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Hypercon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regalía y qué calendario de aprobaciones tienen los cinco acuerdos de Hypercon (17 dianas)?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Sostienen el valor terminal.</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Rotación directiva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qué salieron la CFO y la COO en 2026 y cuál es el plan de sucesión de la primera ejecutiva?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Dos salidas en tres meses y ventas continuas de la CEO.</w:t>
            </w:r>
          </w:p>
        </w:tc>
      </w:tr>
    </w:tbl>
    <w:p>
      <w:pPr>
        <w:spacing w:after="160" w:before="0"/>
      </w:pPr>
    </w:p>
    <w:p>
      <w:pPr>
        <w:pStyle w:val="Heading1"/>
      </w:pPr>
      <w:r>
        <w:t xml:space="preserve">28. Sentimiento en foros y comentarios</w:t>
      </w:r>
    </w:p>
    <w:p>
      <w:pPr>
        <w:pStyle w:val="Confianza"/>
        <w:spacing w:after="100"/>
      </w:pPr>
      <w:r>
        <w:t xml:space="preserve">Confianza: Media</w:t>
      </w:r>
    </w:p>
    <w:p>
      <w:pPr>
        <w:spacing w:after="100"/>
      </w:pPr>
      <w:r>
        <w:rPr>
          <w:b/>
          <w:bCs/>
        </w:rPr>
        <w:t xml:space="preserve">Tono:</w:t>
      </w:r>
      <w:r>
        <w:t xml:space="preserve"> Positivo · </w:t>
      </w:r>
      <w:r>
        <w:rPr>
          <w:b/>
          <w:bCs/>
        </w:rPr>
        <w:t xml:space="preserve">Tendencia:</w:t>
      </w:r>
      <w:r>
        <w:t xml:space="preserve">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(artículos de autores y noticias)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Predominan las tesis alcistas («segunda ola de crecimiento», «rey de las regalías»); una pieza pone fecha al riesgo: «corre hasta 2027», por la caducidad de la patente de EE. UU. [10].</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Stocktwits ($HALO)</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Euforia de corto plazo: mensajes de «máximo histórico», subidas de objetivo de TD Cowen y H.C. Wainwright y compras por análisis técnico; casi nadie habla de la deuda convertible ni del litigio [36].</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AInvest (análisis y comentarios)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Reconocen la calidad del resultado del 2T26, pero avisan de sobrecompra (RSI de 85,8 tras subir ≈20 % en una sesión) y de que el impulso solo no sostiene más subida [37].</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Pluang (prensa para particulares)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Presenta a Halozyme como «complemento» de una cartera biotecnológica por su modelo de regalías sin riesgo de ensayos [38].</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Modelo de regalías y subida de guía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datos lo respaldan: regalías +50 % en el 2T26 y guía 2026 subida dos veces.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Patentes de 2027-2029 y abismo de regalías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Riesgo real y fechado: la regalía baja en cada país al caducar rHuPH20 si no hay otra patente; el informe lo recoge en la proyección de 2029-2033.</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Pleito con Merck por Keytruda SC</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sentencias europeas favorecen a Halozyme, pero en EE. UU. la PTAB ha anulado patentes MDASE: el valor de un acuerdo es incierto y no está en nuestra proyección.</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en máximos y sobrecompra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Cierto: +82 % en seis meses y a 0 % del máximo de 52 semanas; con 13,6 % del flotante en corto (cobertura de convertibles).</w:t>
            </w:r>
          </w:p>
        </w:tc>
      </w:tr>
    </w:tbl>
    <w:p>
      <w:pPr>
        <w:spacing w:after="160" w:before="0"/>
      </w:pPr>
    </w:p>
    <w:p>
      <w:pPr>
        <w:spacing w:after="100"/>
      </w:pPr>
      <w:r>
        <w:t xml:space="preserve">El sentimiento de los particulares es positivo y cerca de la euforia: mensajes de «máximo histórico» y de compra por análisis técnico [36], tras subir un 82 % en seis meses. Coincide con los analistas en el tono (Comprar de media) pero va por delante en precio: el objetivo medio (108,78) está por debajo de la cotización [28]. El riesgo que los foros minimizan es el que pesa en nuestra valoración: la rebaja de regalías al caducar rHuPH20 y la deuda convertible; solo un artículo lo pone en el título («corre hasta 2027») [10]. No aporta ninguna cifra ni cambia la señal; confirma que el precio ya descuenta las buenas noticias.</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18 de 21 controles correctos y 3 explicados. Fuentes: 38 (21 primarias); citas distintas en el texto: 38.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«En parte»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implícita al final de la proyección ≤ 1,5 × la actual (o +10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0,7 % en 2033e frente al 0,6 % de hoy.</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32,0 % frente a 41,7 % real: genera una variación de circulante de 17 M en el primer año. Converge de forma gradual. Explicación: El 41,7 % de 2025 está inflado por las regalías del 4T25 pendientes de cobro y por existencias de rHuPH20 para socios; a 30-jun-2026 el circulante comercial era el 34 % de las ventas de los últimos 12 meses, y con la guía de 2026 queda en ≈32 %.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58 %.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Caja proyectada coherente con la histórica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DCF proyecta 1.058 M de flujo libre medio en sus tres primeros años, frente a 495 M de media real en los tres últimos: justifica el salto (circulante, inversión, márgenes) o ajusta los supuestos. Explicación: El salto del flujo libre sale de la guía: EBITDA ajustado de 1.225-1.280 M en 2026 frente a 657,6 M en 2025 (con 284,9 M de I+D en curso dentro); el consenso espera un flujo libre de 1.023 M en 2026 [27].</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BPA base de 2028e (9,59) supone un 55,3 % anual desde 2,56 (2025): explícalo en valoracion.objetivo_12m.comentario o la confianza es baja. Explicación: El BPA de 2025 (2,56) está deprimido por 284,9 M de I+D en curso sin efecto fiscal y otros 89 M no recurrentes; normalizado es 5,42 y el crecimiento a 9,59 en 2028e es del 21 % anual, en línea con la guía de 2026 y con el consenso (10,15 en 2028).</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38 fuentes (21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de 3T24, 1T25, 3T25 y 1T26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prensa trimestrales (solo dan el EBITDA del trimestre en el 2T y el 4T descargados); 2) XBRL trimestral (la amortización viene acumulada en el estado de flujos); 3) derivarlo restando trimestres acumulados (no se hizo por falta de tiempo y de la amortización por trimestre)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proxy 2026 e informe anual (no las publican); 2) web de inversores, sección de sostenibilidad (no da notas de agencias); 3) páginas públicas de MSCI y Sustainalytics (de pago o sin ficha legible)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y márgenes de los competidores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cuentas de Alteogen (en coreano, KRW, no descargadas a tiempo); 2) Ypsomed y Xeris (negocios distintos, no comparables en margen); 3) Enable Injections no cotiza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cr5_pct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informes sectoriales de Straits y Report Cubes (resúmenes sin cuotas); 2) 10-K de Halozyme (no da cuota); 3) estimación por regalías (no fiable)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fecha de entrada de Moni Miyashita y sus comisiones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proxy 2026, biografías (no localizada en el texto descargado); 2) 10-K 2025, parte III (remite al proxy); 3) 8-K de nombramientos de 2021-2025 (no revisados)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tercera operación con múltiplo publicado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compras del sector de administración de fármacos (Elektrofi, Surf Bio: sin ingresos); 2) oferta de Halozyme por Evotec en 2024 (retirada, no se cerró); 3) compras de regalías de Royalty Pharma (son flujos, no empresas)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reparto de recomendaciones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(solo «Comprar» de media); 2) Stock Analysis (consenso «Buy», sin reparto abierto); 3) cambios recientes: H.C. Wainwright, TD Cowen, Leerink y Morgan Stanley en Comprar, J.P. Morgan en Neutral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transcripción de las conferencias del 1T26 y 2T26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web de inversores (webcast, sin texto); 2) Seeking Alpha (transcripción de pago); 3) resúmenes de prensa y la nota de resultados (usados para los mensajes de la dirección)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Form 10-K 2025 (cuentas auditadas; ingresos por tipo y por país; deterioro e I+D en curso adquirida; patentes; empleados)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Halozyme Therapeutics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17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https://www.sec.gov/Archives/edgar/data/1159036/000115903626000024/halo-20251231.htm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Hechos XBRL (companyfacts): cuenta, balance y flujos 2016-2025, valores negociables, amortización de intangibles, trimestres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https://data.sec.gov/api/xbrl/companyfacts/CIK0001159036.json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Halozyme Reports Record Second Quarter 2026 Results, Beats Estimates and Raises Full Year 2026 Financial Guidance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Halozyme Therapeutics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https://www.sec.gov/Archives/edgar/data/1159036/000115903626000103/ex991q220268-k.htm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10-Q del 2T26 (balance a 30-jun-2026, bonos convertibles, recompras, ingresos por tipo, cláusula de rebaja de regalías)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Halozyme Therapeutics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https://www.sec.gov/Archives/edgar/data/1159036/000115903626000104/halo-20260630.htm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Halozyme Reports First Quarter 2026 Results and Reiterates 2026 Financial Guidance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Halozyme Therapeutics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https://www.sec.gov/Archives/edgar/data/1159036/000115903626000067/ex991q120268-k.htm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Halozyme Reports Full Year 2025 Record Revenue of $1.4 Billion (8-K, anexo 99.1; conciliación del EBITDA ajustado)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Halozyme Therapeutics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https://www.sec.gov/Archives/edgar/data/1159036/000115903626000023/ex991q420258-k.htm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 2022 (ingresos por tipo 2020-2022; compra de Antares)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Halozyme Therapeutics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https://www.sec.gov/Archives/edgar/data/1159036/000115903623000012/halo-20221231.htm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Pricing of Upsized Private Offering of $1.3 Billion of Convertible Senior Notes due 2033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Halozyme Therapeutics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https://www.sec.gov/Archives/edgar/data/1159036/000115903626000126/ex-991xhaloxpricingpressre.htm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Halozyme Raises 2025 Revenue Estimates, Raises 2026 and Multi-Year Financial Guidance; compra de Surf Bio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Halozyme Therapeutics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https://www.sec.gov/Archives/edgar/data/1159036/000115903626000011/ex991guidance2026pressrele.htm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Halozyme Therapeutics Non-GAAP EPS of $2.28 beats by $0.46 (2T26) y Non-GAAP EPS of $1.60 beats by $0.08 (1T26)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 (noticias)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https://seekingalpha.com/api/sa/combined/HALO.xml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Subcutaneous Biologic Market Size, Share and Forecast 2025-2034 (≈250.830 M USD en 2025; +11,7 % anual)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Straits Research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https://straitsresearch.com/report/subcutaneous-biologic-market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Subcutaneous Biologics Global Market Report (≈251.000 M USD en 2025; +5,5 % anual 2026-2034)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Report Cubes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https://www.thereportcubes.com/public/report-store/subcutaneous-biologics-global-market-report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Halozyme Wins Injunction Stopping Manufacture and Sale of Merck's Keytruda SC in Multiple European Markets (tribunal de patentes de La Haya, EP622)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Halozyme / PR Newswire (vía Webull)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https://www.webull.com/news/15706964773454848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10-Q del 2T26 de Merck &amp; Co.: revisiones posteriores a la concesión (PGR) contra las patentes MDASE y pleito de Nueva Jersey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Merck &amp; 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https://www.sec.gov/Archives/edgar/data/0000310158/000031015826000212/mrk-20260630.htm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MSD invalidates US Halozyme patent in SC pembrolizumab dispute (decisión final del PTAB)</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Pearce IP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https://www.pearceip.law/2026/05/12/msd-invalidates-us-halozyme-patent-in-sc-pembrolizumab-dispute/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Halozyme Announces Issuance of New European Patent for ENHANZE (EP 4269578, vence en marzo de 2029)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Halozyme Therapeutics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https://ir.halozyme.com/news/news-details/2024/Halozyme-Announces-Issuance-of-New-European-Patent-for-ENHANZE-Drug-Delivery-Platform/default.aspx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Halozyme ENHANZE Royalty Summary (marzo de 2025): duración de las regalías por producto y país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Halozyme Therapeutics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https://s28.q4cdn.com/284259014/files/doc_downloads/2026/Halozyme-ENHANZE-Royalty-Summary-March-2025.pdf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Proxy statement (DEF 14A) 2026: consejo, comisiones, remuneración 2025, accionistas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Halozyme Therapeutics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https://www.sec.gov/Archives/edgar/data/1159036/000115903626000041/halo-20260323.htm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(5.07): resultados de la junta del 5-may-2026 (voto consultivo de remuneración: 84,7 M a favor, 9,3 M en contra)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Halozyme Therapeutics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https://www.sec.gov/Archives/edgar/data/1159036/000115903626000057/halo-20260505.htm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(5.02): David Ramsay, director financiero interino desde el 23-mar-2026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Halozyme Therapeutics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https://www.sec.gov/Archives/edgar/data/1159036/000115903626000035/halo-20260312.htm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(5.02): Darren Snellgrove, director financiero desde el 8-jun-2026 (antes CFO del sector farmacéutico de J&amp;J)</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Halozyme Therapeutics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https://www.sec.gov/Archives/edgar/data/1159036/000115903626000053/halo-20260430.htm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(5.02): salida de Cortney Caudill, directora de operaciones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Halozyme Therapeutics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https://www.sec.gov/Archives/edgar/data/1159036/000115903626000088/halo-20260630.htm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(5.02): Dannielle Appelhans, consejera (14-ago-2026)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Halozyme Therapeutics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https://www.sec.gov/Archives/edgar/data/1159036/000115903626000106/halo-20260814.htm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(5.02): James Daly, consejero (28-sep-2026)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Halozyme Therapeutics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https://www.sec.gov/Archives/edgar/data/1159036/000115903626000128/halo-20260928.htm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 presentados entre el 15-oct-2025 y el 15-oct-2026 (herramientas/form4.mjs): 0 compras, 48,4 M USD de ventas, 46,1 M con plan 10b5-1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https://www.sec.gov/cgi-bin/browse-edgar?action=getcompany&amp;CIK=0001159036&amp;type=4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HALO, SPY e IBB (herramientas/bolsa.mjs) hasta el 14-oct-2026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https://finance.yahoo.com/quote/HALO/history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HALO: estimaciones anuales 2026-2028 (ventas, EBITDA, beneficio, BPA GAAP), objetivo medio 108,78 USD, 9 analistas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https://www.marketscreener.com/quote/stock/HALOZYME-THERAPEUTICS-INC-50245/finances/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HALO: previsiones (9 analistas, objetivo medio 108,78, mínimo 78, máximo 130; BPA no GAAP 2026 8,84) y cambios de recomendación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https://stockanalysis.com/stocks/halo/forecast/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HALO: estadísticas (113,50 M de acciones, PER adelantado 12,2, posición corta 13,6 % del flotante, beta 0,88)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https://stockanalysis.com/stocks/halo/statistics/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Royalty Pharma (RPRX): estadísticas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https://stockanalysis.com/stocks/rprx/statistics/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Incyte, United Therapeutics, Vertex, BioMarin, Jazz y Exelixis: estadísticas (tomadas del informe de Neurocrine con el mismo corte, notas/D.json)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https://stockanalysis.com/stocks/exel/statistics/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10-Year Treasury Constant Maturity Rate (DGS10): 5,21 % el 13-oct-2026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FRED, Banco de la Reserva Federal de San Luis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https://fred.stlouisfed.org/series/DGS10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 T12m with sustainable payout, oct-2026: 4,20 %)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Holdings completes acquisition of Catalent (16.500 M USD de valor empresa)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Catalent / Novo Holdings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dic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https://www.catalent.com/catalent-news/novo-holdings-completes-acquisition-of-catalent/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Halozyme Surge: What the 20% Jump Really Means for Investors (reacción a los resultados del 2T26)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AInvest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https://www.ainvest.com/news/halozyme-surge-20-jump-means-investors-2608/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 flujo de mensajes de $HALO (30 mensajes del 13 al 15-oct-2026)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https://api.stocktwits.com/api/2/streams/symbol/HALO.json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AInvest: «HALO's 48% Q2 Jump Looks Real—But Can the Beat-and-Raise Hold Through 2026?» y «Halozyme hit record high: factor stack explains»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AInvest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https://www.ainvest.com/news/halo-48-q2-jump-real-beat-raise-hold-2026-2608/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Pluang: «Halozyme, modelo de negocio único»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Pluang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https://pluang.com/en/news-feed/halozyme-model-bisnis-unik-tambah-elemen-penguat-portofolio-biotech</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88,6 %</w:t>
      </w:r>
      <w:r>
        <w:t xml:space="preserve"> · Secciones con menos del 60 % de campos cubiertos: </w:t>
      </w:r>
      <w:r>
        <w:rPr>
          <w:b/>
          <w:bCs/>
        </w:rPr>
        <w:t xml:space="preserve">ninguna</w:t>
      </w:r>
      <w:r>
        <w:t xml:space="preserve"> · Generado el 15 oct 2026.</w:t>
      </w:r>
    </w:p>
    <w:p>
      <w:pPr>
        <w:pStyle w:val="Nota"/>
        <w:spacing w:after="100"/>
      </w:pPr>
      <w:r>
        <w:t xml:space="preserve">Precio: cierre del 14-oct-2026 (116,82 USD); la sesión del 15-oct no había cerrado al fijar el corte (cotizaba ≈121 USD). Cuentas en US GAAP de los 10-K y del XBRL de la SEC; el EBITDA incluye la amortización de intangibles comprados (Antares, Elektrofi) dentro de «amortizaciones» y saca a no recurrentes 374,2 M de 2025 (I+D en curso de Surf Bio, deterioro, costes de compra e indemnizaciones). La caja incluye los valores negociables. La deuda va al principal de los bonos convertibles (sin descuento contable) y el puente añade la emisión de septiembre de 2026 (otros ajustes). Acciones diluidas 118,4 M: 113,5 M en circulación, 2,4 M de opciones y acciones restringidas y ≈2,5 M por el valor en dinero de los convertibles de 2027 y 2028 (los de 2031-2032 quedan cubiertos por las opciones con techo y los de 2033 están fuera de dinero). Segmento único: los ingresos se desglosan por tipo (regalías, producto, colaboraciones) desde 2020. Comparables tomados de Stock Analysis, en parte reutilizados del informe de Neurocrine con el mismo corte.</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15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Halozyme Therapeutics, Inc. (HALO)</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116,82</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(61,23 – 119,21)</c:v>
                </c:pt>
                <c:pt idx="1">
                  <c:v>Precio objetivo de los analistas (78,00 – 130,00)</c:v>
                </c:pt>
                <c:pt idx="2">
                  <c:v>Comparables: PER NTM (84,98 – 167,61)</c:v>
                </c:pt>
                <c:pt idx="3">
                  <c:v>DCF (WACC y g ± 0,5) (90,53 – 116,59)</c:v>
                </c:pt>
                <c:pt idx="4">
                  <c:v>Escenarios (bajista – alcista) (63,59 – 124,95)</c:v>
                </c:pt>
                <c:pt idx="5">
                  <c:v>DCF con la prima implícita del mercado (4,2 %)</c:v>
                </c:pt>
                <c:pt idx="6">
                  <c:v>Precio actual (116,82)</c:v>
                </c:pt>
              </c:strCache>
            </c:strRef>
          </c:cat>
          <c:val>
            <c:numRef>
              <c:f>Hoja1!$B$2:$B$8</c:f>
              <c:numCache>
                <c:formatCode>#,##0</c:formatCode>
                <c:ptCount val="7"/>
                <c:pt idx="0">
                  <c:v>61.23</c:v>
                </c:pt>
                <c:pt idx="1">
                  <c:v>78</c:v>
                </c:pt>
                <c:pt idx="2">
                  <c:v>84.98</c:v>
                </c:pt>
                <c:pt idx="3">
                  <c:v>90.53</c:v>
                </c:pt>
                <c:pt idx="4">
                  <c:v>63.59</c:v>
                </c:pt>
                <c:pt idx="5">
                  <c:v>111.41</c:v>
                </c:pt>
                <c:pt idx="6">
                  <c:v>116.24</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(61,23 – 119,21)</c:v>
                </c:pt>
                <c:pt idx="1">
                  <c:v>Precio objetivo de los analistas (78,00 – 130,00)</c:v>
                </c:pt>
                <c:pt idx="2">
                  <c:v>Comparables: PER NTM (84,98 – 167,61)</c:v>
                </c:pt>
                <c:pt idx="3">
                  <c:v>DCF (WACC y g ± 0,5) (90,53 – 116,59)</c:v>
                </c:pt>
                <c:pt idx="4">
                  <c:v>Escenarios (bajista – alcista) (63,59 – 124,95)</c:v>
                </c:pt>
                <c:pt idx="5">
                  <c:v>DCF con la prima implícita del mercado (4,2 %)</c:v>
                </c:pt>
                <c:pt idx="6">
                  <c:v>Precio actual (116,82)</c:v>
                </c:pt>
              </c:strCache>
            </c:strRef>
          </c:cat>
          <c:val>
            <c:numRef>
              <c:f>Hoja1!$C$2:$C$8</c:f>
              <c:numCache>
                <c:formatCode>#,##0</c:formatCode>
                <c:ptCount val="7"/>
                <c:pt idx="0">
                  <c:v>57.98</c:v>
                </c:pt>
                <c:pt idx="1">
                  <c:v>52</c:v>
                </c:pt>
                <c:pt idx="2">
                  <c:v>82.63000000000001</c:v>
                </c:pt>
                <c:pt idx="3">
                  <c:v>26.060000000000002</c:v>
                </c:pt>
                <c:pt idx="4">
                  <c:v>61.36</c:v>
                </c:pt>
                <c:pt idx="5">
                  <c:v>21.22999999999999</c:v>
                </c:pt>
                <c:pt idx="6">
                  <c:v>1.1600000000000108</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5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Regalías</c:v>
                </c:pt>
              </c:strCache>
            </c:strRef>
          </c:tx>
          <c:spPr>
            <a:solidFill>
              <a:srgbClr val="2A78D6"/>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88.6</c:v>
                </c:pt>
                <c:pt idx="1">
                  <c:v>203.9</c:v>
                </c:pt>
                <c:pt idx="2">
                  <c:v>360.5</c:v>
                </c:pt>
                <c:pt idx="3">
                  <c:v>447.9</c:v>
                </c:pt>
                <c:pt idx="4">
                  <c:v>571</c:v>
                </c:pt>
                <c:pt idx="5">
                  <c:v>867.8</c:v>
                </c:pt>
              </c:numCache>
            </c:numRef>
          </c:val>
        </c:ser>
        <c:ser>
          <c:idx val="1"/>
          <c:order val="1"/>
          <c:tx>
            <c:strRef>
              <c:f>Hoja1!$C$1</c:f>
              <c:strCache>
                <c:ptCount val="1"/>
                <c:pt idx="0">
                  <c:v>Ventas de producto</c:v>
                </c:pt>
              </c:strCache>
            </c:strRef>
          </c:tx>
          <c:spPr>
            <a:solidFill>
              <a:srgbClr val="EB6834"/>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56</c:v>
                </c:pt>
                <c:pt idx="1">
                  <c:v>104.2</c:v>
                </c:pt>
                <c:pt idx="2">
                  <c:v>191</c:v>
                </c:pt>
                <c:pt idx="3">
                  <c:v>300.9</c:v>
                </c:pt>
                <c:pt idx="4">
                  <c:v>303.5</c:v>
                </c:pt>
                <c:pt idx="5">
                  <c:v>376.4</c:v>
                </c:pt>
              </c:numCache>
            </c:numRef>
          </c:val>
        </c:ser>
        <c:ser>
          <c:idx val="2"/>
          <c:order val="2"/>
          <c:tx>
            <c:strRef>
              <c:f>Hoja1!$D$1</c:f>
              <c:strCache>
                <c:ptCount val="1"/>
                <c:pt idx="0">
                  <c:v>Acuerdos de colaboración</c:v>
                </c:pt>
              </c:strCache>
            </c:strRef>
          </c:tx>
          <c:spPr>
            <a:solidFill>
              <a:srgbClr val="1BAF7A"/>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123</c:v>
                </c:pt>
                <c:pt idx="1">
                  <c:v>135.2</c:v>
                </c:pt>
                <c:pt idx="2">
                  <c:v>108.6</c:v>
                </c:pt>
                <c:pt idx="3">
                  <c:v>80.5</c:v>
                </c:pt>
                <c:pt idx="4">
                  <c:v>140.8</c:v>
                </c:pt>
                <c:pt idx="5">
                  <c:v>152.3</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Regalías</c:v>
                </c:pt>
                <c:pt idx="1">
                  <c:v>Ventas de producto</c:v>
                </c:pt>
                <c:pt idx="2">
                  <c:v>Acuerdos de colaboración</c:v>
                </c:pt>
              </c:strCache>
            </c:strRef>
          </c:cat>
          <c:val>
            <c:numRef>
              <c:f>Hoja1!$B$2:$B$4</c:f>
              <c:numCache>
                <c:formatCode>General</c:formatCode>
                <c:ptCount val="3"/>
                <c:pt idx="0">
                  <c:v>62.1</c:v>
                </c:pt>
                <c:pt idx="1">
                  <c:v>27</c:v>
                </c:pt>
                <c:pt idx="2">
                  <c:v>10.9</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origen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Estados Unidos</c:v>
                </c:pt>
                <c:pt idx="1">
                  <c:v>Suiza</c:v>
                </c:pt>
                <c:pt idx="2">
                  <c:v>Bélgica</c:v>
                </c:pt>
                <c:pt idx="3">
                  <c:v>Japón</c:v>
                </c:pt>
                <c:pt idx="4">
                  <c:v>Otros</c:v>
                </c:pt>
              </c:strCache>
            </c:strRef>
          </c:cat>
          <c:val>
            <c:numRef>
              <c:f>Hoja1!$B$2:$B$6</c:f>
              <c:numCache>
                <c:formatCode>0"%"</c:formatCode>
                <c:ptCount val="5"/>
                <c:pt idx="0">
                  <c:v>58.9</c:v>
                </c:pt>
                <c:pt idx="1">
                  <c:v>19.8</c:v>
                </c:pt>
                <c:pt idx="2">
                  <c:v>15.6</c:v>
                </c:pt>
                <c:pt idx="3">
                  <c:v>3.3</c:v>
                </c:pt>
                <c:pt idx="4">
                  <c:v>2.4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(ventas de biológicos subcutáneos))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2025</c:v>
                </c:pt>
                <c:pt idx="1">
                  <c:v>2026e</c:v>
                </c:pt>
                <c:pt idx="2">
                  <c:v>2027e</c:v>
                </c:pt>
                <c:pt idx="3">
                  <c:v>2028e</c:v>
                </c:pt>
                <c:pt idx="4">
                  <c:v>2030e</c:v>
                </c:pt>
              </c:strCache>
            </c:strRef>
          </c:cat>
          <c:val>
            <c:numRef>
              <c:f>Hoja1!$B$2:$B$6</c:f>
              <c:numCache>
                <c:formatCode>#,##0</c:formatCode>
                <c:ptCount val="5"/>
                <c:pt idx="0">
                  <c:v>251000</c:v>
                </c:pt>
                <c:pt idx="1">
                  <c:v>264800</c:v>
                </c:pt>
                <c:pt idx="2">
                  <c:v>279400</c:v>
                </c:pt>
                <c:pt idx="3">
                  <c:v>294700</c:v>
                </c:pt>
                <c:pt idx="4">
                  <c:v>328000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4</c:v>
                </c:pt>
                <c:pt idx="2">
                  <c:v>2</c:v>
                </c:pt>
                <c:pt idx="3">
                  <c:v>3</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Halozyme</c:v>
                </c:pt>
                <c:pt idx="1">
                  <c:v>Alteogen</c:v>
                </c:pt>
                <c:pt idx="2">
                  <c:v>Ypsomed</c:v>
                </c:pt>
                <c:pt idx="3">
                  <c:v>Xeris Biopharma</c:v>
                </c:pt>
                <c:pt idx="4">
                  <c:v>Enable Injections</c:v>
                </c:pt>
              </c:strCache>
            </c:strRef>
          </c:cat>
          <c:val>
            <c:numRef>
              <c:f>Hoja1!$B$2:$B$6</c:f>
              <c:numCache>
                <c:formatCode>0.0"%"</c:formatCode>
                <c:ptCount val="5"/>
                <c:pt idx="0">
                  <c:v>60.4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4</c:v>
                </c:pt>
                <c:pt idx="2">
                  <c:v>3</c:v>
                </c:pt>
                <c:pt idx="3">
                  <c:v>3</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Hoja1!$A$2:$A$17</c:f>
              <c:strCache>
                <c:ptCount val="16"/>
                <c:pt idx="0">
                  <c:v>2018</c:v>
                </c:pt>
                <c:pt idx="1">
                  <c:v>2019</c:v>
                </c:pt>
                <c:pt idx="2">
                  <c:v>2020</c:v>
                </c:pt>
                <c:pt idx="3">
                  <c:v>2021</c:v>
                </c:pt>
                <c:pt idx="4">
                  <c:v>2022</c:v>
                </c:pt>
                <c:pt idx="5">
                  <c:v>2023</c:v>
                </c:pt>
                <c:pt idx="6">
                  <c:v>2024</c:v>
                </c:pt>
                <c:pt idx="7">
                  <c:v>2025</c:v>
                </c:pt>
                <c:pt idx="8">
                  <c:v>2026e</c:v>
                </c:pt>
                <c:pt idx="9">
                  <c:v>2027e</c:v>
                </c:pt>
                <c:pt idx="10">
                  <c:v>2028e</c:v>
                </c:pt>
                <c:pt idx="11">
                  <c:v>2029e</c:v>
                </c:pt>
                <c:pt idx="12">
                  <c:v>2030e</c:v>
                </c:pt>
                <c:pt idx="13">
                  <c:v>2031e</c:v>
                </c:pt>
                <c:pt idx="14">
                  <c:v>2032e</c:v>
                </c:pt>
                <c:pt idx="15">
                  <c:v>2033e</c:v>
                </c:pt>
              </c:strCache>
            </c:strRef>
          </c:cat>
          <c:val>
            <c:numRef>
              <c:f>Hoja1!$B$2:$B$17</c:f>
              <c:numCache>
                <c:formatCode>#,##0</c:formatCode>
                <c:ptCount val="16"/>
                <c:pt idx="0">
                  <c:v>151.9</c:v>
                </c:pt>
                <c:pt idx="1">
                  <c:v>196</c:v>
                </c:pt>
                <c:pt idx="2">
                  <c:v>267.6</c:v>
                </c:pt>
                <c:pt idx="3">
                  <c:v>443.3</c:v>
                </c:pt>
                <c:pt idx="4">
                  <c:v>660.1</c:v>
                </c:pt>
                <c:pt idx="5">
                  <c:v>829.3</c:v>
                </c:pt>
                <c:pt idx="6">
                  <c:v>1015.3</c:v>
                </c:pt>
                <c:pt idx="7">
                  <c:v>1396.6</c:v>
                </c:pt>
                <c:pt idx="8">
                  <c:v>1871</c:v>
                </c:pt>
                <c:pt idx="9">
                  <c:v>2096</c:v>
                </c:pt>
                <c:pt idx="10">
                  <c:v>2306</c:v>
                </c:pt>
                <c:pt idx="11">
                  <c:v>2375</c:v>
                </c:pt>
                <c:pt idx="12">
                  <c:v>2470</c:v>
                </c:pt>
                <c:pt idx="13">
                  <c:v>2544</c:v>
                </c:pt>
                <c:pt idx="14">
                  <c:v>2595</c:v>
                </c:pt>
                <c:pt idx="15">
                  <c:v>2517</c:v>
                </c:pt>
              </c:numCache>
            </c:numRef>
          </c:val>
        </c:ser>
        <c:ser>
          <c:idx val="1"/>
          <c:order val="1"/>
          <c:tx>
            <c:strRef>
              <c:f>Hoja1!$C$1</c:f>
              <c:strCache>
                <c:ptCount val="1"/>
                <c:pt idx="0">
                  <c:v>EBITDA</c:v>
                </c:pt>
              </c:strCache>
            </c:strRef>
          </c:tx>
          <c:spPr>
            <a:solidFill>
              <a:srgbClr val="EB6834"/>
            </a:solidFill>
            <a:ln w="9525">
              <a:noFill/>
            </a:ln>
          </c:spPr>
          <c:invertIfNegative val="0"/>
          <c:cat>
            <c:strRef>
              <c:f>Hoja1!$A$2:$A$17</c:f>
              <c:strCache>
                <c:ptCount val="16"/>
                <c:pt idx="0">
                  <c:v>2018</c:v>
                </c:pt>
                <c:pt idx="1">
                  <c:v>2019</c:v>
                </c:pt>
                <c:pt idx="2">
                  <c:v>2020</c:v>
                </c:pt>
                <c:pt idx="3">
                  <c:v>2021</c:v>
                </c:pt>
                <c:pt idx="4">
                  <c:v>2022</c:v>
                </c:pt>
                <c:pt idx="5">
                  <c:v>2023</c:v>
                </c:pt>
                <c:pt idx="6">
                  <c:v>2024</c:v>
                </c:pt>
                <c:pt idx="7">
                  <c:v>2025</c:v>
                </c:pt>
                <c:pt idx="8">
                  <c:v>2026e</c:v>
                </c:pt>
                <c:pt idx="9">
                  <c:v>2027e</c:v>
                </c:pt>
                <c:pt idx="10">
                  <c:v>2028e</c:v>
                </c:pt>
                <c:pt idx="11">
                  <c:v>2029e</c:v>
                </c:pt>
                <c:pt idx="12">
                  <c:v>2030e</c:v>
                </c:pt>
                <c:pt idx="13">
                  <c:v>2031e</c:v>
                </c:pt>
                <c:pt idx="14">
                  <c:v>2032e</c:v>
                </c:pt>
                <c:pt idx="15">
                  <c:v>2033e</c:v>
                </c:pt>
              </c:strCache>
            </c:strRef>
          </c:cat>
          <c:val>
            <c:numRef>
              <c:f>Hoja1!$C$2:$C$17</c:f>
              <c:numCache>
                <c:formatCode>#,##0</c:formatCode>
                <c:ptCount val="16"/>
                <c:pt idx="0">
                  <c:v>-66.9</c:v>
                </c:pt>
                <c:pt idx="1">
                  <c:v>-63.5</c:v>
                </c:pt>
                <c:pt idx="2">
                  <c:v>147.6</c:v>
                </c:pt>
                <c:pt idx="3">
                  <c:v>278.9</c:v>
                </c:pt>
                <c:pt idx="4">
                  <c:v>317.1</c:v>
                </c:pt>
                <c:pt idx="5">
                  <c:v>422.5</c:v>
                </c:pt>
                <c:pt idx="6">
                  <c:v>632.8</c:v>
                </c:pt>
                <c:pt idx="7">
                  <c:v>931.3</c:v>
                </c:pt>
                <c:pt idx="8">
                  <c:v>1216</c:v>
                </c:pt>
                <c:pt idx="9">
                  <c:v>1404</c:v>
                </c:pt>
                <c:pt idx="10">
                  <c:v>1545</c:v>
                </c:pt>
                <c:pt idx="11">
                  <c:v>1544</c:v>
                </c:pt>
                <c:pt idx="12">
                  <c:v>1605</c:v>
                </c:pt>
                <c:pt idx="13">
                  <c:v>1628</c:v>
                </c:pt>
                <c:pt idx="14">
                  <c:v>1635</c:v>
                </c:pt>
                <c:pt idx="15">
                  <c:v>1560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c:formatCode>
                <c:ptCount val="8"/>
                <c:pt idx="0">
                  <c:v>93.4</c:v>
                </c:pt>
                <c:pt idx="1">
                  <c:v>76.8</c:v>
                </c:pt>
                <c:pt idx="2">
                  <c:v>83.8</c:v>
                </c:pt>
                <c:pt idx="3">
                  <c:v>81.6</c:v>
                </c:pt>
                <c:pt idx="4">
                  <c:v>78.9</c:v>
                </c:pt>
                <c:pt idx="5">
                  <c:v>76.8</c:v>
                </c:pt>
                <c:pt idx="6">
                  <c:v>84.3</c:v>
                </c:pt>
                <c:pt idx="7">
                  <c:v>83.6</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c:formatCode>
                <c:ptCount val="8"/>
                <c:pt idx="0">
                  <c:v>-44</c:v>
                </c:pt>
                <c:pt idx="1">
                  <c:v>-32.4</c:v>
                </c:pt>
                <c:pt idx="2">
                  <c:v>55.2</c:v>
                </c:pt>
                <c:pt idx="3">
                  <c:v>62.9</c:v>
                </c:pt>
                <c:pt idx="4">
                  <c:v>48</c:v>
                </c:pt>
                <c:pt idx="5">
                  <c:v>50.9</c:v>
                </c:pt>
                <c:pt idx="6">
                  <c:v>62.3</c:v>
                </c:pt>
                <c:pt idx="7">
                  <c:v>66.7</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Hoja1!$D$2:$D$9</c:f>
              <c:numCache>
                <c:formatCode>0"%"</c:formatCode>
                <c:ptCount val="8"/>
                <c:pt idx="0">
                  <c:v>-45.6</c:v>
                </c:pt>
                <c:pt idx="1">
                  <c:v>-34.5</c:v>
                </c:pt>
                <c:pt idx="2">
                  <c:v>53.9</c:v>
                </c:pt>
                <c:pt idx="3">
                  <c:v>62.2</c:v>
                </c:pt>
                <c:pt idx="4">
                  <c:v>40.5</c:v>
                </c:pt>
                <c:pt idx="5">
                  <c:v>40.7</c:v>
                </c:pt>
                <c:pt idx="6">
                  <c:v>54.3</c:v>
                </c:pt>
                <c:pt idx="7">
                  <c:v>60.4</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Hoja1!$E$2:$E$9</c:f>
              <c:numCache>
                <c:formatCode>0"%"</c:formatCode>
                <c:ptCount val="8"/>
                <c:pt idx="0">
                  <c:v>-52.9</c:v>
                </c:pt>
                <c:pt idx="1">
                  <c:v>-36.8</c:v>
                </c:pt>
                <c:pt idx="2">
                  <c:v>48.2</c:v>
                </c:pt>
                <c:pt idx="3">
                  <c:v>90.8</c:v>
                </c:pt>
                <c:pt idx="4">
                  <c:v>30.6</c:v>
                </c:pt>
                <c:pt idx="5">
                  <c:v>34</c:v>
                </c:pt>
                <c:pt idx="6">
                  <c:v>43.7</c:v>
                </c:pt>
                <c:pt idx="7">
                  <c:v>22.7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0">
                  <c:v>34.3</c:v>
                </c:pt>
                <c:pt idx="1">
                  <c:v>29.5</c:v>
                </c:pt>
                <c:pt idx="2">
                  <c:v>35.2</c:v>
                </c:pt>
                <c:pt idx="3">
                  <c:v>40.8</c:v>
                </c:pt>
                <c:pt idx="4">
                  <c:v>22.1</c:v>
                </c:pt>
                <c:pt idx="5">
                  <c:v>51.6</c:v>
                </c:pt>
                <c:pt idx="6">
                  <c:v>42.2</c:v>
                </c:pt>
                <c:pt idx="7">
                  <c:v>47.7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c:formatCode>
                <c:ptCount val="8"/>
                <c:pt idx="0">
                  <c:v>72</c:v>
                </c:pt>
                <c:pt idx="1">
                  <c:v>111</c:v>
                </c:pt>
                <c:pt idx="2">
                  <c:v>133</c:v>
                </c:pt>
                <c:pt idx="3">
                  <c:v>75</c:v>
                </c:pt>
                <c:pt idx="4">
                  <c:v>128</c:v>
                </c:pt>
                <c:pt idx="5">
                  <c:v>103</c:v>
                </c:pt>
                <c:pt idx="6">
                  <c:v>104</c:v>
                </c:pt>
                <c:pt idx="7">
                  <c:v>111</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c:formatCode>
                <c:ptCount val="8"/>
                <c:pt idx="0">
                  <c:v>817</c:v>
                </c:pt>
                <c:pt idx="1">
                  <c:v>236</c:v>
                </c:pt>
                <c:pt idx="2">
                  <c:v>510</c:v>
                </c:pt>
                <c:pt idx="3">
                  <c:v>242</c:v>
                </c:pt>
                <c:pt idx="4">
                  <c:v>262</c:v>
                </c:pt>
                <c:pt idx="5">
                  <c:v>242</c:v>
                </c:pt>
                <c:pt idx="6">
                  <c:v>325</c:v>
                </c:pt>
                <c:pt idx="7">
                  <c:v>282</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Hoja1!$D$2:$D$9</c:f>
              <c:numCache>
                <c:formatCode>0</c:formatCode>
                <c:ptCount val="8"/>
                <c:pt idx="0">
                  <c:v>148</c:v>
                </c:pt>
                <c:pt idx="1">
                  <c:v>51</c:v>
                </c:pt>
                <c:pt idx="2">
                  <c:v>16</c:v>
                </c:pt>
                <c:pt idx="3">
                  <c:v>7</c:v>
                </c:pt>
                <c:pt idx="4">
                  <c:v>46</c:v>
                </c:pt>
                <c:pt idx="5">
                  <c:v>22</c:v>
                </c:pt>
                <c:pt idx="6">
                  <c:v>23</c:v>
                </c:pt>
                <c:pt idx="7">
                  <c:v>33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c:formatCode>
                <c:ptCount val="8"/>
                <c:pt idx="0">
                  <c:v>-54.2</c:v>
                </c:pt>
                <c:pt idx="1">
                  <c:v>-89.4</c:v>
                </c:pt>
                <c:pt idx="2">
                  <c:v>53</c:v>
                </c:pt>
                <c:pt idx="3">
                  <c:v>297.9</c:v>
                </c:pt>
                <c:pt idx="4">
                  <c:v>235.29999999999998</c:v>
                </c:pt>
                <c:pt idx="5">
                  <c:v>373.3</c:v>
                </c:pt>
                <c:pt idx="6">
                  <c:v>468.40000000000003</c:v>
                </c:pt>
                <c:pt idx="7">
                  <c:v>644.6</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c:formatCode>
                <c:ptCount val="8"/>
                <c:pt idx="0">
                  <c:v>-80.3</c:v>
                </c:pt>
                <c:pt idx="1">
                  <c:v>-72.2</c:v>
                </c:pt>
                <c:pt idx="2">
                  <c:v>129.1</c:v>
                </c:pt>
                <c:pt idx="3">
                  <c:v>402.7</c:v>
                </c:pt>
                <c:pt idx="4">
                  <c:v>202.1</c:v>
                </c:pt>
                <c:pt idx="5">
                  <c:v>281.6</c:v>
                </c:pt>
                <c:pt idx="6">
                  <c:v>444.1</c:v>
                </c:pt>
                <c:pt idx="7">
                  <c:v>316.9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c:formatCode>
                <c:ptCount val="8"/>
                <c:pt idx="0">
                  <c:v>-249.9</c:v>
                </c:pt>
                <c:pt idx="1">
                  <c:v>-108</c:v>
                </c:pt>
                <c:pt idx="2">
                  <c:v>113.8</c:v>
                </c:pt>
                <c:pt idx="3">
                  <c:v>107.6</c:v>
                </c:pt>
                <c:pt idx="4">
                  <c:v>26.4</c:v>
                </c:pt>
                <c:pt idx="5">
                  <c:v>21.3</c:v>
                </c:pt>
                <c:pt idx="6">
                  <c:v>34.9</c:v>
                </c:pt>
                <c:pt idx="7">
                  <c:v>34.5</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c:formatCode>
                <c:ptCount val="8"/>
                <c:pt idx="0">
                  <c:v>9.6</c:v>
                </c:pt>
                <c:pt idx="1">
                  <c:v>9.6</c:v>
                </c:pt>
                <c:pt idx="2">
                  <c:v>9.6</c:v>
                </c:pt>
                <c:pt idx="3">
                  <c:v>9.6</c:v>
                </c:pt>
                <c:pt idx="4">
                  <c:v>9.6</c:v>
                </c:pt>
                <c:pt idx="5">
                  <c:v>9.6</c:v>
                </c:pt>
                <c:pt idx="6">
                  <c:v>9.6</c:v>
                </c:pt>
                <c:pt idx="7">
                  <c:v>9.6</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Hoja1!$D$2:$D$9</c:f>
              <c:numCache>
                <c:formatCode>0"%"</c:formatCode>
                <c:ptCount val="8"/>
                <c:pt idx="0">
                  <c:v>-32.3</c:v>
                </c:pt>
                <c:pt idx="1">
                  <c:v>-42.4</c:v>
                </c:pt>
                <c:pt idx="2">
                  <c:v>106.3</c:v>
                </c:pt>
                <c:pt idx="3">
                  <c:v>231.4</c:v>
                </c:pt>
                <c:pt idx="4">
                  <c:v>110.2</c:v>
                </c:pt>
                <c:pt idx="5">
                  <c:v>222.1</c:v>
                </c:pt>
                <c:pt idx="6">
                  <c:v>198.4</c:v>
                </c:pt>
                <c:pt idx="7">
                  <c:v>153.6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0.0"x"</c:formatCode>
                <c:ptCount val="8"/>
                <c:pt idx="0">
                  <c:v>3.41</c:v>
                </c:pt>
                <c:pt idx="1">
                  <c:v>0.29</c:v>
                </c:pt>
                <c:pt idx="2">
                  <c:v>0.2</c:v>
                </c:pt>
                <c:pt idx="3">
                  <c:v>0.49</c:v>
                </c:pt>
                <c:pt idx="4">
                  <c:v>3.61</c:v>
                </c:pt>
                <c:pt idx="5">
                  <c:v>2.75</c:v>
                </c:pt>
                <c:pt idx="6">
                  <c:v>1.44</c:v>
                </c:pt>
                <c:pt idx="7">
                  <c:v>2.15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(USD,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2027</c:v>
                </c:pt>
                <c:pt idx="1">
                  <c:v>2028</c:v>
                </c:pt>
                <c:pt idx="2">
                  <c:v>2031</c:v>
                </c:pt>
                <c:pt idx="3">
                  <c:v>2032</c:v>
                </c:pt>
                <c:pt idx="4">
                  <c:v>2033</c:v>
                </c:pt>
              </c:strCache>
            </c:strRef>
          </c:cat>
          <c:val>
            <c:numRef>
              <c:f>Hoja1!$B$2:$B$6</c:f>
              <c:numCache>
                <c:formatCode>#,##0</c:formatCode>
                <c:ptCount val="5"/>
                <c:pt idx="0">
                  <c:v>57.9</c:v>
                </c:pt>
                <c:pt idx="1">
                  <c:v>250</c:v>
                </c:pt>
                <c:pt idx="2">
                  <c:v>750</c:v>
                </c:pt>
                <c:pt idx="3">
                  <c:v>750</c:v>
                </c:pt>
                <c:pt idx="4">
                  <c:v>1300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c:formatCode>
                <c:ptCount val="8"/>
                <c:pt idx="0">
                  <c:v>0</c:v>
                </c:pt>
                <c:pt idx="1">
                  <c:v>0</c:v>
                </c:pt>
                <c:pt idx="2">
                  <c:v>0</c:v>
                </c:pt>
                <c:pt idx="3">
                  <c:v>0</c:v>
                </c:pt>
                <c:pt idx="4">
                  <c:v>999</c:v>
                </c:pt>
                <c:pt idx="5">
                  <c:v>0</c:v>
                </c:pt>
                <c:pt idx="6">
                  <c:v>0</c:v>
                </c:pt>
                <c:pt idx="7">
                  <c:v>1013.7</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c:formatCode>
                <c:ptCount val="8"/>
                <c:pt idx="0">
                  <c:v>0</c:v>
                </c:pt>
                <c:pt idx="1">
                  <c:v>0</c:v>
                </c:pt>
                <c:pt idx="2">
                  <c:v>0</c:v>
                </c:pt>
                <c:pt idx="3">
                  <c:v>0</c:v>
                </c:pt>
                <c:pt idx="4">
                  <c:v>0</c:v>
                </c:pt>
                <c:pt idx="5">
                  <c:v>0</c:v>
                </c:pt>
                <c:pt idx="6">
                  <c:v>0</c:v>
                </c:pt>
                <c:pt idx="7">
                  <c:v>0</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Hoja1!$A$2:$A$9</c:f>
              <c:strCache>
                <c:ptCount val="8"/>
                <c:pt idx="0">
                  <c:v>2018</c:v>
                </c:pt>
                <c:pt idx="1">
                  <c:v>2019</c:v>
                </c:pt>
                <c:pt idx="2">
                  <c:v>2020</c:v>
                </c:pt>
                <c:pt idx="3">
                  <c:v>2021</c:v>
                </c:pt>
                <c:pt idx="4">
                  <c:v>2022</c:v>
                </c:pt>
                <c:pt idx="5">
                  <c:v>2023</c:v>
                </c:pt>
                <c:pt idx="6">
                  <c:v>2024</c:v>
                </c:pt>
                <c:pt idx="7">
                  <c:v>2025</c:v>
                </c:pt>
              </c:strCache>
            </c:strRef>
          </c:cat>
          <c:val>
            <c:numRef>
              <c:f>Hoja1!$D$2:$D$9</c:f>
              <c:numCache>
                <c:formatCode>#,##0</c:formatCode>
                <c:ptCount val="8"/>
                <c:pt idx="0">
                  <c:v>0</c:v>
                </c:pt>
                <c:pt idx="1">
                  <c:v>200</c:v>
                </c:pt>
                <c:pt idx="2">
                  <c:v>150.1</c:v>
                </c:pt>
                <c:pt idx="3">
                  <c:v>350.1</c:v>
                </c:pt>
                <c:pt idx="4">
                  <c:v>200</c:v>
                </c:pt>
                <c:pt idx="5">
                  <c:v>402.4</c:v>
                </c:pt>
                <c:pt idx="6">
                  <c:v>250</c:v>
                </c:pt>
                <c:pt idx="7">
                  <c:v>342.4</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Independiente</c:v>
                </c:pt>
                <c:pt idx="1">
                  <c:v>Ejecutivo</c:v>
                </c:pt>
              </c:strCache>
            </c:strRef>
          </c:cat>
          <c:val>
            <c:numRef>
              <c:f>Hoja1!$B$2:$B$3</c:f>
              <c:numCache>
                <c:formatCode>0</c:formatCode>
                <c:ptCount val="2"/>
                <c:pt idx="0">
                  <c:v>9</c:v>
                </c:pt>
                <c:pt idx="1">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Vanguard Group</c:v>
                </c:pt>
                <c:pt idx="1">
                  <c:v>BlackRock</c:v>
                </c:pt>
                <c:pt idx="2">
                  <c:v>State Street</c:v>
                </c:pt>
                <c:pt idx="3">
                  <c:v>Consejeros y directivos (11 personas)</c:v>
                </c:pt>
              </c:strCache>
            </c:strRef>
          </c:cat>
          <c:val>
            <c:numRef>
              <c:f>Hoja1!$B$2:$B$5</c:f>
              <c:numCache>
                <c:formatCode>0.0"%"</c:formatCode>
                <c:ptCount val="4"/>
                <c:pt idx="0">
                  <c:v>11.2</c:v>
                </c:pt>
                <c:pt idx="1">
                  <c:v>10.6</c:v>
                </c:pt>
                <c:pt idx="2">
                  <c:v>5.1</c:v>
                </c:pt>
                <c:pt idx="3">
                  <c:v>2.5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-43</c:v>
                </c:pt>
                <c:pt idx="1">
                  <c:v>105.1</c:v>
                </c:pt>
                <c:pt idx="2">
                  <c:v>-27.8</c:v>
                </c:pt>
                <c:pt idx="3">
                  <c:v>21.2</c:v>
                </c:pt>
                <c:pt idx="4">
                  <c:v>140.9</c:v>
                </c:pt>
                <c:pt idx="5">
                  <c:v>-5.9</c:v>
                </c:pt>
                <c:pt idx="6">
                  <c:v>41.5</c:v>
                </c:pt>
                <c:pt idx="7">
                  <c:v>-35</c:v>
                </c:pt>
                <c:pt idx="8">
                  <c:v>29.4</c:v>
                </c:pt>
                <c:pt idx="9">
                  <c:v>40.8</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12</c:v>
                </c:pt>
                <c:pt idx="1">
                  <c:v>21.7</c:v>
                </c:pt>
                <c:pt idx="2">
                  <c:v>-4.6</c:v>
                </c:pt>
                <c:pt idx="3">
                  <c:v>31.2</c:v>
                </c:pt>
                <c:pt idx="4">
                  <c:v>18.3</c:v>
                </c:pt>
                <c:pt idx="5">
                  <c:v>28.7</c:v>
                </c:pt>
                <c:pt idx="6">
                  <c:v>-18.2</c:v>
                </c:pt>
                <c:pt idx="7">
                  <c:v>26.2</c:v>
                </c:pt>
                <c:pt idx="8">
                  <c:v>24.9</c:v>
                </c:pt>
                <c:pt idx="9">
                  <c:v>17.7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0.0"x"</c:formatCode>
                <c:ptCount val="8"/>
                <c:pt idx="2">
                  <c:v>41.1</c:v>
                </c:pt>
                <c:pt idx="3">
                  <c:v>21.7</c:v>
                </c:pt>
                <c:pt idx="4">
                  <c:v>28.8</c:v>
                </c:pt>
                <c:pt idx="5">
                  <c:v>14.5</c:v>
                </c:pt>
                <c:pt idx="6">
                  <c:v>11.2</c:v>
                </c:pt>
                <c:pt idx="7">
                  <c:v>11.1</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0.0"x"</c:formatCode>
                <c:ptCount val="8"/>
                <c:pt idx="0">
                  <c:v>21.7</c:v>
                </c:pt>
                <c:pt idx="1">
                  <c:v>21.7</c:v>
                </c:pt>
                <c:pt idx="2">
                  <c:v>21.7</c:v>
                </c:pt>
                <c:pt idx="3">
                  <c:v>21.7</c:v>
                </c:pt>
                <c:pt idx="4">
                  <c:v>21.7</c:v>
                </c:pt>
                <c:pt idx="5">
                  <c:v>21.7</c:v>
                </c:pt>
                <c:pt idx="6">
                  <c:v>21.7</c:v>
                </c:pt>
                <c:pt idx="7">
                  <c:v>21.7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Halozyme</c:v>
                </c:pt>
                <c:pt idx="1">
                  <c:v>Royalty Pharma</c:v>
                </c:pt>
                <c:pt idx="2">
                  <c:v>Incyte</c:v>
                </c:pt>
                <c:pt idx="3">
                  <c:v>United Therapeutics</c:v>
                </c:pt>
                <c:pt idx="4">
                  <c:v>Vertex</c:v>
                </c:pt>
                <c:pt idx="5">
                  <c:v>BioMarin</c:v>
                </c:pt>
                <c:pt idx="6">
                  <c:v>Jazz Pharmaceuticals</c:v>
                </c:pt>
                <c:pt idx="7">
                  <c:v>Exelixis</c:v>
                </c:pt>
              </c:strCache>
            </c:strRef>
          </c:cat>
          <c:val>
            <c:numRef>
              <c:f>Hoja1!$B$2:$B$9</c:f>
              <c:numCache>
                <c:formatCode>0.0"x"</c:formatCode>
                <c:ptCount val="8"/>
                <c:pt idx="0">
                  <c:v>11.9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2026e</c:v>
                </c:pt>
                <c:pt idx="1">
                  <c:v>2027e</c:v>
                </c:pt>
                <c:pt idx="2">
                  <c:v>2028e</c:v>
                </c:pt>
                <c:pt idx="3">
                  <c:v>2029e</c:v>
                </c:pt>
                <c:pt idx="4">
                  <c:v>2030e</c:v>
                </c:pt>
                <c:pt idx="5">
                  <c:v>2031e</c:v>
                </c:pt>
                <c:pt idx="6">
                  <c:v>2032e</c:v>
                </c:pt>
                <c:pt idx="7">
                  <c:v>2033e</c:v>
                </c:pt>
              </c:strCache>
            </c:strRef>
          </c:cat>
          <c:val>
            <c:numRef>
              <c:f>Hoja1!$B$2:$B$9</c:f>
              <c:numCache>
                <c:formatCode>#,##0</c:formatCode>
                <c:ptCount val="8"/>
                <c:pt idx="0">
                  <c:v>983</c:v>
                </c:pt>
                <c:pt idx="1">
                  <c:v>1050</c:v>
                </c:pt>
                <c:pt idx="2">
                  <c:v>1141</c:v>
                </c:pt>
                <c:pt idx="3">
                  <c:v>1158</c:v>
                </c:pt>
                <c:pt idx="4">
                  <c:v>1195</c:v>
                </c:pt>
                <c:pt idx="5">
                  <c:v>1216</c:v>
                </c:pt>
                <c:pt idx="6">
                  <c:v>1225</c:v>
                </c:pt>
                <c:pt idx="7">
                  <c:v>1207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6086</c:v>
                </c:pt>
                <c:pt idx="1">
                  <c:v>8392</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116,82</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63.59</c:v>
                </c:pt>
                <c:pt idx="1">
                  <c:v>101.88</c:v>
                </c:pt>
                <c:pt idx="2">
                  <c:v>124.95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116,82</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(61,23 – 119,21)</c:v>
                </c:pt>
                <c:pt idx="1">
                  <c:v>Precio objetivo de los analistas (78,00 – 130,00)</c:v>
                </c:pt>
                <c:pt idx="2">
                  <c:v>Comparables: PER NTM (84,98 – 167,61)</c:v>
                </c:pt>
                <c:pt idx="3">
                  <c:v>DCF (WACC y g ± 0,5) (90,53 – 116,59)</c:v>
                </c:pt>
                <c:pt idx="4">
                  <c:v>Escenarios (bajista – alcista) (63,59 – 124,95)</c:v>
                </c:pt>
                <c:pt idx="5">
                  <c:v>DCF con la prima implícita del mercado (4,2 %)</c:v>
                </c:pt>
                <c:pt idx="6">
                  <c:v>Precio actual (116,82)</c:v>
                </c:pt>
              </c:strCache>
            </c:strRef>
          </c:cat>
          <c:val>
            <c:numRef>
              <c:f>Hoja1!$B$2:$B$8</c:f>
              <c:numCache>
                <c:formatCode>#,##0</c:formatCode>
                <c:ptCount val="7"/>
                <c:pt idx="0">
                  <c:v>61.23</c:v>
                </c:pt>
                <c:pt idx="1">
                  <c:v>78</c:v>
                </c:pt>
                <c:pt idx="2">
                  <c:v>84.98</c:v>
                </c:pt>
                <c:pt idx="3">
                  <c:v>90.53</c:v>
                </c:pt>
                <c:pt idx="4">
                  <c:v>63.59</c:v>
                </c:pt>
                <c:pt idx="5">
                  <c:v>111.41</c:v>
                </c:pt>
                <c:pt idx="6">
                  <c:v>116.24</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(61,23 – 119,21)</c:v>
                </c:pt>
                <c:pt idx="1">
                  <c:v>Precio objetivo de los analistas (78,00 – 130,00)</c:v>
                </c:pt>
                <c:pt idx="2">
                  <c:v>Comparables: PER NTM (84,98 – 167,61)</c:v>
                </c:pt>
                <c:pt idx="3">
                  <c:v>DCF (WACC y g ± 0,5) (90,53 – 116,59)</c:v>
                </c:pt>
                <c:pt idx="4">
                  <c:v>Escenarios (bajista – alcista) (63,59 – 124,95)</c:v>
                </c:pt>
                <c:pt idx="5">
                  <c:v>DCF con la prima implícita del mercado (4,2 %)</c:v>
                </c:pt>
                <c:pt idx="6">
                  <c:v>Precio actual (116,82)</c:v>
                </c:pt>
              </c:strCache>
            </c:strRef>
          </c:cat>
          <c:val>
            <c:numRef>
              <c:f>Hoja1!$C$2:$C$8</c:f>
              <c:numCache>
                <c:formatCode>#,##0</c:formatCode>
                <c:ptCount val="7"/>
                <c:pt idx="0">
                  <c:v>57.98</c:v>
                </c:pt>
                <c:pt idx="1">
                  <c:v>52</c:v>
                </c:pt>
                <c:pt idx="2">
                  <c:v>82.63000000000001</c:v>
                </c:pt>
                <c:pt idx="3">
                  <c:v>26.060000000000002</c:v>
                </c:pt>
                <c:pt idx="4">
                  <c:v>61.36</c:v>
                </c:pt>
                <c:pt idx="5">
                  <c:v>21.22999999999999</c:v>
                </c:pt>
                <c:pt idx="6">
                  <c:v>1.1600000000000108</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5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2026-10-15T11:43:41.470Z</dcterms:created>
  <dcterms:modified xsi:type="dcterms:W3CDTF">2026-10-15T11:43:41.470Z</dcterms:modified>
</cp:coreProperties>
</file>

<file path=docProps/custom.xml><?xml version="1.0" encoding="utf-8"?>
<Properties xmlns="http://schemas.openxmlformats.org/officeDocument/2006/custom-properties" xmlns:vt="http://schemas.openxmlformats.org/officeDocument/2006/docPropsVTypes"/>
</file>