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Hubbell Incorporated</w:t>
      </w:r>
    </w:p>
    <w:p>
      <w:pPr>
        <w:spacing w:after="60"/>
        <w:rPr>
          <w:color w:val="52514E"/>
          <w:sz w:val="22"/>
          <w:szCs w:val="22"/>
        </w:rPr>
      </w:pPr>
      <w:r>
        <w:rPr>
          <w:color w:val="52514E"/>
          <w:sz w:val="22"/>
          <w:szCs w:val="22"/>
        </w:rPr>
        <w:t xml:space="preserve">HUBB · New York Stock Exchange · ISIN US4435106079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473,37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516,13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+10,2 % (base +11,5 %)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346,00 USD · mercado 418,73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25.103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Hubbell Incorporated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HUBB / US4435106079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Componentes y equipos eléctricos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Shelton (Connecticut) · 1888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https://www.hubbell.com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473,37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403,82 – 565,50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25.103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30.076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246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516,13 USD</w:t>
      </w:r>
      <w:r>
        <w:t xml:space="preserve"> frente a 473,37 · Rentabilidad a 12 meses </w:t>
      </w:r>
      <w:r>
        <w:rPr>
          <w:b/>
          <w:bCs/>
        </w:rPr>
        <w:t xml:space="preserve">+10,2 % (base +11,5 %)</w:t>
      </w:r>
      <w:r>
        <w:t xml:space="preserve"> · Valor intrínseco 346,00 USD · con la prima implícita del mercado: 418,73 (-11,5 %) · Alcista / bajista -20,6 % / -52,0 %</w:t>
      </w:r>
    </w:p>
    <w:p>
      <w:pPr>
        <w:spacing w:after="100"/>
      </w:pPr>
      <w:r>
        <w:rPr>
          <w:b/>
        </w:rPr>
        <w:t xml:space="preserve">La recomendación y por qué.</w:t>
      </w:r>
      <w:r>
        <w:t xml:space="preserve"> Mantener, convicción media. El objetivo a 12 meses es de 516,13 USD frente a un precio de 473,37: una rentabilidad ponderada del 10,2 % y del 11,5 % en el caso base, con dividendo, por debajo del 15 % que pide una compra. El valor intrínseco es de 346,00 USD, un 26,9 % por debajo del precio, y el objetivo medio de los analistas (560,58) queda por encima de nuestro caso base. Es una gran empresa a un precio que ya descuenta el ciclo de la red eléctrica. La convicción es media porque las dos reglas coinciden y la rentabilidad está lejos de los umbrales; subiría si el precio bajara de 346,00 o si el orgánico se mantuviera por encima del 10 % en 2027.</w:t>
      </w:r>
    </w:p>
    <w:p>
      <w:pPr>
        <w:spacing w:after="100"/>
      </w:pPr>
      <w:r>
        <w:rPr>
          <w:b/>
        </w:rPr>
        <w:t xml:space="preserve">El negocio.</w:t>
      </w:r>
      <w:r>
        <w:t xml:space="preserve"> Hubbell vende componentes pequeños y críticos para la red eléctrica de EE. UU. (63 % de las ventas) y material eléctrico para edificios, industria y centros de datos (37 %) [1]. El ROIC del 18,6 % en 2025 supera en 9 puntos al WACC del 9,48 %, con un margen operativo que subió del 12,7 % al 20,7 % en cuatro años gracias al poder de precios [1]. La calidad de la empresa sostiene el crecimiento que proyectamos (sostenibilidad «Sí»): un 7,7 % medio, con orgánico del 5-7 % desde 2028, por debajo del 10 % actual.</w:t>
      </w:r>
    </w:p>
    <w:p>
      <w:pPr>
        <w:spacing w:after="100"/>
      </w:pPr>
      <w:r>
        <w:rPr>
          <w:b/>
        </w:rPr>
        <w:t xml:space="preserve">Sector y ciclo.</w:t>
      </w:r>
      <w:r>
        <w:t xml:space="preserve"> Las eléctricas privadas de EE. UU. invirtieron ≈208.000 M en 2025 y prevén más de 1,1 billones en 2025-2029 [10]. Es la fase alta de un ciclo que en 2024 dejó el orgánico de Hubbell en el 0 %.</w:t>
      </w:r>
    </w:p>
    <w:p>
      <w:pPr>
        <w:spacing w:after="100"/>
      </w:pPr>
      <w:r>
        <w:rPr>
          <w:b/>
        </w:rPr>
        <w:t xml:space="preserve">Finanzas.</w:t>
      </w:r>
      <w:r>
        <w:t xml:space="preserve"> La compra de NSI (3.008 M, 15,5x EBITDA) llevó la deuda neta a ≈3,1x EBITDA y el fondo de comercio e intangibles a 1,9 veces el patrimonio [4]. Con ella, el ROIC bajará al 12-13 % en 2026-2027: solo 3 puntos por encima del WACC. El flujo de caja es sólido: 875 M de FCF en 2025.</w:t>
      </w:r>
    </w:p>
    <w:p>
      <w:pPr>
        <w:spacing w:after="100"/>
      </w:pPr>
      <w:r>
        <w:rPr>
          <w:b/>
        </w:rPr>
        <w:t xml:space="preserve">Equipo y gobierno.</w:t>
      </w:r>
      <w:r>
        <w:t xml:space="preserve"> Equipo estable que cumple la guía y la ha subido dos veces en 2026 [3]. Resta que el incentivo use BPA ajustado sin amortización de compras ni métrica de ROIC, y que los directivos vendieran 20,4 M en 12 meses [14, 15].</w:t>
      </w:r>
    </w:p>
    <w:p>
      <w:pPr>
        <w:spacing w:after="100"/>
      </w:pPr>
      <w:r>
        <w:rPr>
          <w:b/>
        </w:rPr>
        <w:t xml:space="preserve">Valoración.</w:t>
      </w:r>
      <w:r>
        <w:t xml:space="preserve"> El DCF da 317,82 USD. El DCF inverso pide un crecimiento del 14,0 % anual frente al 6,4 % de nuestro base, y la rentabilidad implícita en el precio es del 7,7 %, por debajo del WACC y del 8,4 % que pide el mercado. Con la prima del mercado, el valor sube a 418,73: todavía por debajo del precio. Los comparables (540-650 USD) explican el precio: el mercado paga por Hubbell lo mismo que por el sector de la electrificación, no lo que valen sus flujos. A 12 meses el PER adelantado (23,8x) está en su media de cinco años (22,9x), de ahí el 10,2 %.</w:t>
      </w:r>
    </w:p>
    <w:p>
      <w:pPr>
        <w:spacing w:after="100"/>
      </w:pPr>
      <w:r>
        <w:rPr>
          <w:b/>
        </w:rPr>
        <w:t xml:space="preserve">Riesgos y catalizadores.</w:t>
      </w:r>
      <w:r>
        <w:t xml:space="preserve"> Los dos riesgos mayores son un frenazo de los centros de datos o de las eléctricas (bajista a 12 meses −30,3 %) y que NSI no rinda lo pagado. Catalizador: resultados del 3T26 el 27-oct. Riesgo de IA para el negocio: bajo; es más bien fuente de demanda. Los foros están más entusiasmados que los datos.</w:t>
      </w:r>
    </w:p>
    <w:p>
      <w:pPr>
        <w:spacing w:after="100"/>
      </w:pPr>
      <w:r>
        <w:rPr>
          <w:b/>
        </w:rPr>
        <w:t xml:space="preserve">Qué cambiaría la decisión.</w:t>
      </w:r>
      <w:r>
        <w:t xml:space="preserve"> Comprar por debajo de 346,00 USD (ponderada ≥ 15 %, base ≥ 12 % y precio bajo el valor intrínseco); vender o reducir por encima de 579,78. Una guía de 2027 con orgánico de dos cifras y margen ajustado al alza subiría el BPA y el objetivo; una cartera de pedidos que caiga interanualmente nos llevaría al bajista.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516,13 USD</w:t>
      </w:r>
      <w:r>
        <w:t xml:space="preserve"> (rentabilidad +10,2 % (base +11,5 %)) · Valor intrínseco: 346,00 USD (-26,9 % sobre 473,37) · con la prima implícita del mercado: 418,73 (-11,5 %)</w:t>
      </w:r>
    </w:p>
    <w:p>
      <w:pPr>
        <w:spacing w:after="100"/>
      </w:pPr>
      <w:r>
        <w:t xml:space="preserve">Hubbell es un fabricante de componentes críticos para la red eléctrica y el material eléctrico de EE. UU., con un margen operativo del 20,7 %, un ROIC del 18,6 % y un orgánico que se ha acelerado al 10 % por la inversión en transmisión, subestaciones y centros de datos [1, 3].</w:t>
      </w:r>
    </w:p>
    <w:p>
      <w:pPr>
        <w:spacing w:after="100"/>
      </w:pPr>
      <w:r>
        <w:t xml:space="preserve">El precio descuenta mucho: el DCF inverso pide un 14,0 % de crecimiento anual durante siete años, el doble de nuestro base y de su historia, y la acción cotiza a 20,1x el EBITDA de los últimos 12 meses, por encima de lo que pagan los compradores en el sector (≈13x) [21]. El PER adelantado de 23,8x está en su media de cinco años.</w:t>
      </w:r>
    </w:p>
    <w:p>
      <w:pPr>
        <w:spacing w:after="100"/>
      </w:pPr>
      <w:r>
        <w:t xml:space="preserve">El mercado acierta en la calidad y en el ciclo, pero paga como si el ciclo fuera permanente. Para invertir hay que creer que la red de EE. UU. crecerá a dos cifras durante años sin el bache de inventarios que hubo en 2024 y que NSI rendirá lo pagado. Con la regla de múltiplos el objetivo a 12 meses da un 10,2 %: suficiente para mantener, no para comprar.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516,13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 × 19,20 = 324,48 · 23,3x × 22,40 = 521,92 · 28,3x × 24,60 = 696,18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 / 11,5 %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560,58 (nuestro base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346,00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 / -52,0 %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 frente a 9,5 %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418,73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346,00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346,00 y 579,78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579,78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346,00 USD, pasaríamos a Comprar (ponderada ≥ 15 %, base ≥ 12 % y precio bajo el valor intrínseco).</w:t>
      </w:r>
    </w:p>
    <w:p>
      <w:pPr>
        <w:pStyle w:val="ListParagraph"/>
        <w:numPr>
          <w:ilvl w:val="0"/>
          <w:numId w:val="2"/>
        </w:numPr>
        <w:spacing w:after="60"/>
      </w:pPr>
      <w:r>
        <w:t xml:space="preserve">Si sube por encima de 579,78 USD, Vender o reducir (ponderada ≤ −10 %).</w:t>
      </w:r>
    </w:p>
    <w:p>
      <w:pPr>
        <w:pStyle w:val="ListParagraph"/>
        <w:numPr>
          <w:ilvl w:val="0"/>
          <w:numId w:val="2"/>
        </w:numPr>
        <w:spacing w:after="60"/>
      </w:pPr>
      <w:r>
        <w:t xml:space="preserve">Si la guía de 2027 (feb-2027) supone un BPA GAAP por encima de 21 USD, subiríamos el objetivo un 5 %.</w:t>
      </w:r>
    </w:p>
    <w:p>
      <w:pPr>
        <w:pStyle w:val="ListParagraph"/>
        <w:numPr>
          <w:ilvl w:val="0"/>
          <w:numId w:val="2"/>
        </w:numPr>
        <w:spacing w:after="60"/>
      </w:pPr>
      <w:r>
        <w:t xml:space="preserve">Si el orgánico del grupo baja del 3 % en dos trimestres seguidos, pasaríamos al escenario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Hubbell es una beneficiaria duradera de la electrificación y de los centros de datos, con crecimiento de dos cifras durante muchos años: por eso la paga a 20x EBITDA y los analistas esperan 560 USD.</w:t>
      </w:r>
    </w:p>
    <w:p>
      <w:pPr>
        <w:keepNext/>
        <w:spacing w:after="100"/>
      </w:pPr>
      <w:r>
        <w:rPr>
          <w:b/>
          <w:bCs/>
        </w:rPr>
        <w:t xml:space="preserve">Lo que creemos nosotros.</w:t>
      </w:r>
    </w:p>
    <w:p>
      <w:pPr>
        <w:spacing w:after="100"/>
      </w:pPr>
      <w:r>
        <w:t xml:space="preserve">Coincidimos en el negocio y en el ciclo de 2026-2027, pero creemos que el crecimiento orgánico volverá al 5-7 % y que NSI baja el ROIC. A 12 meses el precio puede subir un 10 %; a largo plazo, los flujos valen unos 320-420 USD.</w:t>
      </w:r>
    </w:p>
    <w:p>
      <w:pPr>
        <w:keepNext/>
        <w:spacing w:after="100"/>
      </w:pPr>
      <w:r>
        <w:rPr>
          <w:b/>
          <w:bCs/>
        </w:rPr>
        <w:t xml:space="preserve">Por qué podemos tener razón.</w:t>
      </w:r>
    </w:p>
    <w:p>
      <w:pPr>
        <w:spacing w:after="100"/>
      </w:pPr>
      <w:r>
        <w:t xml:space="preserve">La historia de Hubbell es cíclica (orgánico 0 % en 2024) y la inversión de las eléctricas depende de tipos y reguladores. Con el bono al 5,21 %, pagar un 7,7 % de rentabilidad implícita no compensa.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73,3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Ciclo de inversión en la red</w:t>
      </w:r>
      <w:r>
        <w:t xml:space="preserve">: las eléctricas de EE. UU. prevén más de 1,1 billones de USD en 2025-2029 [10].</w:t>
      </w:r>
    </w:p>
    <w:p>
      <w:pPr>
        <w:pStyle w:val="ListParagraph"/>
        <w:numPr>
          <w:ilvl w:val="0"/>
          <w:numId w:val="2"/>
        </w:numPr>
        <w:spacing w:after="60"/>
      </w:pPr>
      <w:r>
        <w:rPr>
          <w:b/>
        </w:rPr>
        <w:t xml:space="preserve">Orgánico acelerado</w:t>
      </w:r>
      <w:r>
        <w:t xml:space="preserve">: +10,2 % en el 2T26 y guía de +9-11 % para 2026 [3].</w:t>
      </w:r>
    </w:p>
    <w:p>
      <w:pPr>
        <w:pStyle w:val="ListParagraph"/>
        <w:numPr>
          <w:ilvl w:val="0"/>
          <w:numId w:val="2"/>
        </w:numPr>
        <w:spacing w:after="60"/>
      </w:pPr>
      <w:r>
        <w:rPr>
          <w:b/>
        </w:rPr>
        <w:t xml:space="preserve">Calidad</w:t>
      </w:r>
      <w:r>
        <w:t xml:space="preserve">: ROIC del 18,6 % y margen operativo del 20,7 % en 2025, máximo de su historia [1].</w:t>
      </w:r>
    </w:p>
    <w:p>
      <w:pPr>
        <w:pStyle w:val="ListParagraph"/>
        <w:numPr>
          <w:ilvl w:val="0"/>
          <w:numId w:val="2"/>
        </w:numPr>
        <w:spacing w:after="60"/>
      </w:pPr>
      <w:r>
        <w:rPr>
          <w:b/>
        </w:rPr>
        <w:t xml:space="preserve">Caja</w:t>
      </w:r>
      <w:r>
        <w:t xml:space="preserve">: 875 M de FCF en 2025 y conversión de ≈90 % del beneficio ajustado [1, 3].</w:t>
      </w:r>
    </w:p>
    <w:p>
      <w:pPr>
        <w:pStyle w:val="ListParagraph"/>
        <w:numPr>
          <w:ilvl w:val="0"/>
          <w:numId w:val="2"/>
        </w:numPr>
        <w:spacing w:after="60"/>
      </w:pPr>
      <w:r>
        <w:rPr>
          <w:b/>
        </w:rPr>
        <w:t xml:space="preserve">Gobierno limpio</w:t>
      </w:r>
      <w:r>
        <w:t xml:space="preserve">: una acción un voto, 10 de 11 consejeros independientes [14].</w:t>
      </w:r>
    </w:p>
    <w:p>
      <w:pPr>
        <w:pStyle w:val="Heading2"/>
      </w:pPr>
      <w:r>
        <w:t xml:space="preserve">En contra</w:t>
      </w:r>
    </w:p>
    <w:p>
      <w:pPr>
        <w:pStyle w:val="ListParagraph"/>
        <w:numPr>
          <w:ilvl w:val="0"/>
          <w:numId w:val="2"/>
        </w:numPr>
        <w:spacing w:after="60"/>
      </w:pPr>
      <w:r>
        <w:rPr>
          <w:b/>
        </w:rPr>
        <w:t xml:space="preserve">Valoración</w:t>
      </w:r>
      <w:r>
        <w:t xml:space="preserve">: valor intrínseco de 346,00 USD, un 26,9 % por debajo del precio; el DCF inverso pide un 14,0 % de crecimiento anual.</w:t>
      </w:r>
    </w:p>
    <w:p>
      <w:pPr>
        <w:pStyle w:val="ListParagraph"/>
        <w:numPr>
          <w:ilvl w:val="0"/>
          <w:numId w:val="2"/>
        </w:numPr>
        <w:spacing w:after="60"/>
      </w:pPr>
      <w:r>
        <w:rPr>
          <w:b/>
        </w:rPr>
        <w:t xml:space="preserve">NSI cara y con deuda</w:t>
      </w:r>
      <w:r>
        <w:t xml:space="preserve">: 3.008 M a 15,5x EBITDA; deuda neta a ≈3,1x EBITDA [4, 9].</w:t>
      </w:r>
    </w:p>
    <w:p>
      <w:pPr>
        <w:pStyle w:val="ListParagraph"/>
        <w:numPr>
          <w:ilvl w:val="0"/>
          <w:numId w:val="2"/>
        </w:numPr>
        <w:spacing w:after="60"/>
      </w:pPr>
      <w:r>
        <w:rPr>
          <w:b/>
        </w:rPr>
        <w:t xml:space="preserve">ROIC a la baja</w:t>
      </w:r>
      <w:r>
        <w:t xml:space="preserve">: tras NSI, ≈12-13 %, solo 3 puntos sobre el WACC (estimación propia).</w:t>
      </w:r>
    </w:p>
    <w:p>
      <w:pPr>
        <w:pStyle w:val="ListParagraph"/>
        <w:numPr>
          <w:ilvl w:val="0"/>
          <w:numId w:val="2"/>
        </w:numPr>
        <w:spacing w:after="60"/>
      </w:pPr>
      <w:r>
        <w:rPr>
          <w:b/>
        </w:rPr>
        <w:t xml:space="preserve">Margen presionado</w:t>
      </w:r>
      <w:r>
        <w:t xml:space="preserve">: margen ajustado −50 pb en el 2T26 por aranceles e inflación [3].</w:t>
      </w:r>
    </w:p>
    <w:p>
      <w:pPr>
        <w:pStyle w:val="ListParagraph"/>
        <w:numPr>
          <w:ilvl w:val="0"/>
          <w:numId w:val="2"/>
        </w:numPr>
        <w:spacing w:after="60"/>
      </w:pPr>
      <w:r>
        <w:rPr>
          <w:b/>
        </w:rPr>
        <w:t xml:space="preserve">Ventas de directivos</w:t>
      </w:r>
      <w:r>
        <w:t xml:space="preserve">: 20,4 M USD en 12 meses, 12,6 M del consejero delegado [15].</w:t>
      </w:r>
    </w:p>
    <w:p>
      <w:pPr>
        <w:pStyle w:val="Heading2"/>
      </w:pPr>
      <w:r>
        <w:t xml:space="preserve">Qué tiene que pasar para que la tesis funcione</w:t>
      </w:r>
    </w:p>
    <w:p>
      <w:pPr>
        <w:spacing w:after="100"/>
      </w:pPr>
      <w:r>
        <w:t xml:space="preserve">La tesis depende de que la inversión en transmisión, subestaciones y centros de datos se mantenga dos o tres años más. La señal de que no se cumple sería una cartera de pedidos que cae interanualmente o un orgánico de Electrical Solutions por debajo del 5 %. En NSI, que el margen de Electrical Solutions se mantenga por encima del 20 % ajustado.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ciclo de la tesis estructural.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 M (dic-25, +13,8 %)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el ciclo de inventarios.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 frente a aranceles.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3,0x a dic-27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de recompras y riesgo financiero.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Orgánico de Electrical Solutions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Exposición a centros de datos.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28,0x / 21,1x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 · 3,3x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spacing w:after="100"/>
      </w:pPr>
      <w:r>
        <w:t xml:space="preserve">Harvey Hubbell fundó la empresa en Bridgeport (Connecticut) en 1888 y patentó el enchufe desmontable en 1912 [1]. Durante un siglo fue un fabricante de aparamenta y material eléctrico; desde los noventa compró negocios de red eléctrica (Chance, Anderson, Fargo, Ohio Brass) hasta que la parte de «utility» pasó a ser la mayor [1]. En 2018 compró Aclara (contadores inteligentes, ≈1.100 M) y en 2022 vendió el alumbrado comercial e industrial, en 2024 el residencial [1, 8]. Gerben Bakker, en la casa desde 1988, es consejero delegado desde 2020 y presidente desde 2021; ha concentrado la cartera en red eléctrica y en componentes «críticos» con compras como Systems Control (2023), DMC Power (2025) y NSI (2026) [1,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Bridgeport (Connecticut) por Harvey Hubbell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 del enchufe y la clavija desmontables, base del negocio de aparamenta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A.B. Chance: entrada fuerte en herrajes y anclajes para líneas eléctricas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Aclara (contadores e infraestructura de medición, ≈1.100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Gerben Bakker, consejero delegado; presidente desde 2021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alumbrado comercial e industrial (discontinuado)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Systems Control (paneles de control de subestaciones, ≈1.100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alumbrado residencial (131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DMC Power (conexiones a compresión para subestaciones y transmisión, ≈827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NSI Industries (3.000 M, 15,5x EBITDA), la mayor de su historia [9].</w:t>
            </w:r>
          </w:p>
        </w:tc>
      </w:tr>
    </w:tbl>
    <w:p>
      <w:pPr>
        <w:spacing w:after="160" w:before="0"/>
      </w:pPr>
    </w:p>
    <w:p>
      <w:pPr>
        <w:pStyle w:val="Heading1"/>
      </w:pPr>
      <w:r>
        <w:t xml:space="preserve">2. Modelo de negocio</w:t>
      </w:r>
    </w:p>
    <w:p>
      <w:pPr>
        <w:spacing w:after="100"/>
      </w:pPr>
      <w:r>
        <w:t xml:space="preserve">Hubbell diseña y fabrica componentes eléctricos para la red y para edificios e industria, casi todo en EE. UU. </w:t>
      </w:r>
      <w:r>
        <w:rPr>
          <w:b/>
        </w:rPr>
        <w:t xml:space="preserve">Utility Solutions</w:t>
      </w:r>
      <w:r>
        <w:t xml:space="preserve"> (63 % de las ventas de 2025) vende a eléctricas y a sus distribuidores herrajes, conectores, aisladores, protecciones, arquetas, celdas, paneles de control de subestaciones y equipos de medición (contadores Aclara) para transmisión, subestaciones y distribución [1]. </w:t>
      </w:r>
      <w:r>
        <w:rPr>
          <w:b/>
        </w:rPr>
        <w:t xml:space="preserve">Electrical Solutions</w:t>
      </w:r>
      <w:r>
        <w:t xml:space="preserve"> (37 %) vende «detrás del contador» aparamenta de cableado, conectores y puesta a tierra, cajas, canalizaciones y equipos para zonas peligrosas, usados por instaladores en industria, edificios no residenciales y centros de datos [1]. Fabrica con más de 3.250 patentes activas y unas 18.000 personas, el 61 % en EE. UU. [1]. Vende sobre todo a través de distribuidores mayoristas [1].</w:t>
      </w:r>
    </w:p>
    <w:p>
      <w:pPr>
        <w:pStyle w:val="Heading2"/>
      </w:pPr>
      <w:r>
        <w:t xml:space="preserve">Cómo gana dinero</w:t>
      </w:r>
    </w:p>
    <w:p>
      <w:pPr>
        <w:spacing w:after="100"/>
      </w:pPr>
      <w:r>
        <w:t xml:space="preserve">Son productos pequeños, críticos y baratos frente al coste del proyecto en el que van (un conector o un aislador en una línea de alta tensión), lo que da poder de precios: el cliente valora la fiabilidad, las homologaciones de cada eléctrica y la disponibilidad, no el precio unitario [1]. La mayor parte de las ventas es reposición y mantenimiento de una red envejecida (recurrente de hecho, aunque no contractual) y la otra parte es inversión nueva en transmisión, subestaciones y conexión de centros de datos [1, 3]. El margen depende del precio frente al coste de cobre, acero, aluminio y aranceles, de la mezcla (transmisión y subestaciones dejan más que contadores) y del volumen: con un 20,7 % de margen operativo, cada punto de ventas añade más que proporcionalmente [1]. Estacionalidad suave: el primer trimestre es el más flojo [3].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Utility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Electrical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Utility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Electrical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distribuidores mayoristas de material eléctrico, eléctricas, fabricantes, instaladores, telecos y minoristas. </w:t>
      </w:r>
      <w:r>
        <w:rPr>
          <w:b/>
        </w:rPr>
        <w:t xml:space="preserve">Los diez primeros clientes son ≈42 % de las ventas</w:t>
      </w:r>
      <w:r>
        <w:t xml:space="preserve"> (sobre todo distribuidores), sin dependencia de uno solo [1]. El 92,6 % de las ventas se factura desde EE. UU. [1]. Poder de precios demostrado: en 2022-2023 el margen operativo pasó del 12,7 % al 19,1 % con subidas de precio por encima de la inflación de cobre, acero y aluminio, y en 2025-2026 la empresa compensa aranceles e inflación «con precio y productividad» manteniendo el margen ajustado en el 22-24 % [1, 3, 8]. La cartera de pedidos (2.159 M a dic-25, +13,8 %) da visibilidad de unos seis meses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firme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toda se sirve en el año siguiente; en Utility unos 20 M son contratos plurianuales de contadores y sensores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orgánico +9-11 %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Grid Infrastructure: crecimiento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T&amp;D, subestaciones y transmisión; 1T26 +18 % [3,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Grid Automation: crecimiento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Contadores (Aclara): la parte débil desde 2024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Electrical Solutions: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de datos e industria ligera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ajustado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Inflación, aranceles y costes de reestructuración; Electrical −130 pb [3].</w:t>
            </w:r>
          </w:p>
        </w:tc>
      </w:tr>
    </w:tbl>
    <w:p>
      <w:pPr>
        <w:spacing w:after="160" w:before="0"/>
      </w:pPr>
    </w:p>
    <w:p>
      <w:pPr>
        <w:pStyle w:val="Heading1"/>
      </w:pPr>
      <w:r>
        <w:t xml:space="preserve">3. Sector y mercado</w:t>
      </w:r>
    </w:p>
    <w:p>
      <w:pPr>
        <w:spacing w:after="100"/>
      </w:pPr>
      <w:r>
        <w:t xml:space="preserve">Mercado relevante: la inversión de las eléctricas de EE. UU. en transmisión y distribución (de la que Hubbell vende componentes, un porcentaje pequeño de cada proyecto) más el material eléctrico de baja tensión para edificios, industria y centros de datos en Norteamérica. No hay una cifra pública del mercado de componentes; usamos como indicador la inversión total de las eléctricas privadas de EE. UU. (Edison Electric Institute), de la que más de la mitad es transmisión y distribución [10, 11]. Es un indicador de la demanda, no el tamaño del mercado de Hubbell, por eso la cuota se mide a mano.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Inversión de las eléctricas privadas de EE. UU.: ≈178.000 M USD en 2024 y ≈208.000 M en 2025; más de 1,1 billones previstos en 2025-2029 [10,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versión de las eléctricas privadas de EE. UU.))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carga (centros de datos, electrificación, reindustrialización)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de las eléctricas de 178.000 M (2024) a ≈208.000 M (2025) y &gt;1,1 billones en 2025-2029 [10, 11]; Electrical Solutions orgánico +18 % en el 2T26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 envejecida y endurecimiento frente a incendios y tormentas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la mitad de la inversión de las eléctricas va a transmisión y distribución [11]; Grid Infrastructure +12-18 % en 2026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materias primas y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−50 pb en el 2T26 por inflación, materiales y aranceles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contadores y automatización de red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Grid Automation −18 % en el 3T25 y +1 % en el 2T26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y regulación tarifaria de las eléctricas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inversión de las eléctricas depende de que el regulador la reconozca en tarifa [11].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Competidores grandes (Eaton, ABB, Schneider) y especialistas (Preformed Line Products, MacLean Power); en cada familia de producto hay 2-4 proveedores homologados [1,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diez primeros clientes son el 42 % de las ventas (distribuidores), pero las eléctricas compran por homologación y fiabilidad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cotizadas (cobre, acero, aluminio) sin un proveedor dominante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Homologaciones de cada eléctrica, catálogo de miles de referencias y red de distribución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Componentes físicos de la red sin sustituto; solo cambia la tecnología en contadores y sensores [1].</w:t>
            </w:r>
          </w:p>
        </w:tc>
      </w:tr>
    </w:tbl>
    <w:p>
      <w:pPr>
        <w:spacing w:after="160" w:before="0"/>
      </w:pPr>
    </w:p>
    <w:p>
      <w:pPr>
        <w:pStyle w:val="Heading2"/>
      </w:pPr>
      <w:r>
        <w:t xml:space="preserve">Ciclo</w:t>
      </w:r>
    </w:p>
    <w:p>
      <w:pPr>
        <w:spacing w:after="100"/>
      </w:pPr>
      <w:r>
        <w:t xml:space="preserve">La inversión de las eléctricas está en máximos (≈208.000 M en 2025, +17 %) [10] y el orgánico de Hubbell se aceleró del 0 % de 2024 al 10 % del 2T26 [3]. En 2008-09 y 2020 las ventas de componentes de red aguantaron mejor que el material para la construcción; en 2024 el ajuste de inventarios de los distribuidores y la caída de contadores dejaron el orgánico en cero [1].</w:t>
      </w:r>
    </w:p>
    <w:p>
      <w:pPr>
        <w:pStyle w:val="Heading2"/>
      </w:pPr>
      <w:r>
        <w:t xml:space="preserve">Regulación</w:t>
      </w:r>
    </w:p>
    <w:p>
      <w:pPr>
        <w:spacing w:after="100"/>
      </w:pPr>
      <w:r>
        <w:t xml:space="preserve">Las eléctricas invierten según planes que aprueban las comisiones estatales y la FERC, que reconocen la inversión en la base de activos regulada; la orden 1920 de la FERC (2024) obliga a planificar la transmisión a largo plazo [11]. Los aranceles de 2025-2026 sobre acero, aluminio e importaciones encarecen materiales; la empresa los traslada a precio con retraso [3].</w:t>
      </w:r>
    </w:p>
    <w:p>
      <w:pPr>
        <w:pStyle w:val="Heading2"/>
      </w:pPr>
      <w:r>
        <w:t xml:space="preserve">Tendencias y disrupción</w:t>
      </w:r>
    </w:p>
    <w:p>
      <w:pPr>
        <w:spacing w:after="100"/>
      </w:pPr>
      <w:r>
        <w:t xml:space="preserve">La demanda eléctrica de EE. UU. vuelve a crecer tras dos décadas plana (centros de datos, electrificación, fábricas), lo que exige más transmisión, subestaciones y conexiones: es el centro de la tesis de Hubbell [3, 10]. En contadores la tecnología cambia más deprisa y la competencia es más dura [3]. Las compras de DMC Power y NSI llevan a Hubbell a más transmisión y centros de datos [9].</w:t>
      </w:r>
    </w:p>
    <w:p>
      <w:pPr>
        <w:pStyle w:val="Heading1"/>
      </w:pPr>
      <w:r>
        <w:t xml:space="preserve">4. Posición competitiva y foso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dos o tres primeros fabricantes de herrajes, conectores y aisladores para la red de EE. UU. (con Preformed Line Products y MacLean Power), y proveedor relevante de material eléctrico de baja tensión; no publica cuota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Eaton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 más grande; fuerte en distribución eléctrica y centros de datos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47.138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eléctrica y gestión de energía; más peso fuera de EE. UU.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 (Electrification)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y baja tensión, conectores (Thomas &amp; Betts en EE. UU.)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Legrand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Aparamenta e infraestructura de centros de datos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nVent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Armarios, conexiones y puesta a tierra (Erico); rival directo de Burndy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MacLean Power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rival en herrajes y aisladores de distribución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componentes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Homologaciones por eléctrica y especificación en los proyectos; el cliente no cambia un conector de alta tensión por ahorrar unos euros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como Chance, Anderson, Burndy, Hubbell; 3.250 patentes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fabricación en EE. UU., sin ventaja clara frente a Eaton o ABB [1,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de nicho con pocos proveedores homologados; margen operativo del 20,7 % frente al 16-19 % de Eaton, Schneider y Legrand [1, 6].</w:t>
            </w:r>
          </w:p>
        </w:tc>
      </w:tr>
    </w:tbl>
    <w:p>
      <w:pPr>
        <w:spacing w:after="160" w:before="0"/>
      </w:pPr>
    </w:p>
    <w:p>
      <w:pPr>
        <w:pStyle w:val="Heading2"/>
      </w:pPr>
      <w:r>
        <w:t xml:space="preserve">Amenazas</w:t>
      </w:r>
    </w:p>
    <w:p>
      <w:pPr>
        <w:spacing w:after="100"/>
      </w:pPr>
      <w:r>
        <w:t xml:space="preserve">Las grandes (Eaton, ABB, Schneider) pueden apretar precio en las familias donde coinciden, sobre todo si el ciclo de inversión de las eléctricas se frena. En contadores (Aclara) la tecnología y la competencia (Itron, Landis+Gyr) ya han erosionado ventas. Si los centros de datos frenan su inversión, Electrical Solutions perdería el impulso del 2026 [3, 13].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2019-2025: ingresos </w:t>
      </w:r>
      <w:r>
        <w:rPr>
          <w:b/>
          <w:bCs/>
        </w:rPr>
        <w:t xml:space="preserve">6,8 %</w:t>
      </w:r>
      <w:r>
        <w:t xml:space="preserve">, EBITDA </w:t>
      </w:r>
      <w:r>
        <w:rPr>
          <w:b/>
          <w:bCs/>
        </w:rPr>
        <w:t xml:space="preserve">13,4 %</w:t>
      </w:r>
      <w:r>
        <w:t xml:space="preserve">, BPA </w:t>
      </w:r>
      <w:r>
        <w:rPr>
          <w:b/>
          <w:bCs/>
        </w:rPr>
        <w:t xml:space="preserve">16,6 %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Ventas de 3.947 M (2019, reexpresadas sin el alumbrado comercial vendido en 2022) a 5.845 M en 2025: crecimiento anual compuesto del 6,8 %, con compras (Systems Control, DMC Power, Ventev, Nicor) y un ciclo de precios en 2022-2023 [1, 2, 8]. El margen operativo subió de 12,7 % (2021) a 20,7 % (2025): precio por encima de la inflación de materiales en 2022-2023, venta de negocios de poco margen (alumbrado residencial en 2024) y mezcla hacia transmisión y subestaciones [1, 8]. En 2024 el orgánico fue 0 % y en 2025 +3,3 %, con Grid Automation (contadores) cayendo; desde el 4T25 se acelera (+8,9 %, +8,2 %, +10,2 %) por transmisión, subestaciones y centros de datos [3, 5, 6]. 2026 lleva la compra de NSI (3.000 M, cerrada el 9-jun) y DMC Power: la empresa espera ventas +16-18 % con orgánico +9-11 % [3].</w:t>
      </w:r>
    </w:p>
    <w:p>
      <w:pPr>
        <w:pStyle w:val="Heading2"/>
      </w:pPr>
      <w:r>
        <w:t xml:space="preserve">Ajustes y partidas no recurrentes</w:t>
      </w:r>
    </w:p>
    <w:p>
      <w:pPr>
        <w:spacing w:after="100"/>
      </w:pPr>
      <w:r>
        <w:t xml:space="preserve">Hubbell publica un BPA «ajustado» que excluye la amortización de intangibles de compras (≈1,45 USD por acción en 2025 y ≈2,50 en 2026) y los costes de transacción e integración (≈0,50 en 2026) [3, 6]. Este informe usa </w:t>
      </w:r>
      <w:r>
        <w:rPr>
          <w:b/>
        </w:rPr>
        <w:t xml:space="preserve">cifras GAAP</w:t>
      </w:r>
      <w:r>
        <w:t xml:space="preserve"> en todo: BPA 2025 de 16,54 frente a 18,21 ajustado. 2019-2022: beneficio y BPA de operaciones continuadas (sin el alumbrado comercial e industrial, vendido en feb-2022, que va en discontinuadas) [2, 8]. Los años 2016-2018 se dejan fuera porque no están reexpresados. El 2023 sigue la reexpresión del 10-K 2025 (EBIT 1.027 frente a 1.039 publicado entonces) [1, 8].</w:t>
      </w:r>
    </w:p>
    <w:p>
      <w:pPr>
        <w:pStyle w:val="Heading1"/>
      </w:pPr>
      <w:r>
        <w:t xml:space="preserve">6. Resultados recientes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(28-jul) la dirección habló de «megatendencias de modernización de la red, crecimiento de la carga e inversión en centros de datos» y subió la guía 2026: ventas +16-18 % (orgánico +9-11 %, antes +6-9 %), BPA GAAP 17,25-17,55 (antes 17,45-18,00, por la amortización y los costes de NSI) y ajustado 20,25-20,55 (antes 19,30-19,85) [3, 5]. Ventas +15 %, orgánico +10 %; Electrical Solutions orgánico +18 % y Utility +6 % (Grid Infrastructure +12 %, Grid Automation +1 %) [3]. Lo que preocupó: el margen operativo ajustado bajó 50 pb (Electrical −130 pb) por inflación, materias primas, aranceles y reestructuración, y la acción cayó tras los resultados pese a batir [3]. En el 1T26 (30-abr) el BPA ajustado de 3,93 batió, pero el punto medio de la guía quedó algo por debajo del consenso y la acción cayó un 6,9 % ese día [5]. La dirección no ha cuantificado cuánto pesan hoy los centros de datos en las ventas ni la rentabilidad esperada de NSI (pagada a 15,5x EBITDA) más allá de «acrecitiva al BPA ajustado» [3, 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DMC Power, comprada el 1-oct-2025 por ≈827 M netos de caja: entra en el balance de 2025 y solo un trimestre en la cuenta.; 2023: Systems Control (≈1.100 M) y Balestro, compradas en el 4T23: entran en el balance de 2023 y casi nada en la cuenta.).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compra de NSI (3.008 M netos de caja) se pagó entera con deuda: la deuda bruta pasó de 2.325 M (dic-25) a 5.373 M (jun-26) y la deuda neta a 4.874 M, unas 3,1 veces el EBITDA de los últimos 12 meses sin NSI completa [3, 4]. Es el endeudamiento más alto de la década (1,2x en 2025). El circulante comercial ronda el 23 % de las ventas, estable [1].</w:t>
      </w:r>
    </w:p>
    <w:p>
      <w:pPr>
        <w:pStyle w:val="Heading1"/>
      </w:pPr>
      <w:r>
        <w:t xml:space="preserve">8. Flujos de caja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4.281</w:t>
      </w:r>
      <w:r>
        <w:t xml:space="preserve">, conversión </w:t>
      </w:r>
      <w:r>
        <w:rPr>
          <w:b/>
          <w:bCs/>
        </w:rPr>
        <w:t xml:space="preserve">107 %</w:t>
      </w:r>
      <w:r>
        <w:t xml:space="preserve"> del beneficio neto; adquisiciones 2.658, dividendos 1.634, recompras 565.</w:t>
      </w:r>
    </w:p>
    <w:p>
      <w:pPr>
        <w:spacing w:after="100"/>
      </w:pPr>
      <w:r>
        <w:t xml:space="preserve">Conversión alta y estable: flujo operativo de 1.030 M en 2025 frente a 887 M de beneficio (116 %), con capex de 155 M (2,7 % de ventas); FCF de 875 M [1, 2]. En 2023-2025 el FCF acumulado (≈2.460 M) pagó dividendos (≈800 M) y recompras (≈295 M), y las compras (≈2.170 M: Systems Control, DMC Power) se financiaron en parte con deuda [2]. 2019-2022: flujo de operaciones continuadas [2]. La empresa espera un FCF del ≈90 % del beneficio ajustado en 2026 [3]. Capex de mantenimiento: estimación propia del 1,5-2 % de ventas (la amortización del inmovilizado material, 92,8 M en 2025, es el 1,6 %); el resto es capacidad para transmisión y subestaciones [1, 2].</w:t>
      </w:r>
    </w:p>
    <w:p>
      <w:pPr>
        <w:pStyle w:val="Heading1"/>
      </w:pPr>
      <w:r>
        <w:t xml:space="preserve">9. Calidad contable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 a dic-25)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sin salvedades de PwC y control interno eficaz [1]. Las cifras GAAP llevan la amortización de intangibles de compras (103,6 M en 2025 y ≈170 M previstos en 2026), que el BPA ajustado excluye: la diferencia entre el BPA ajustado y el GAAP pasa del 10 % en 2025 al 17 % en 2026 [3, 6]. Pagos en acciones moderados: 33 M en 2025 (0,6 % de ventas) [2]. Fondo de comercio e intangibles: 7.544 M a jun-26, 1,9 veces el patrimonio, por NSI, DMC Power y Systems Control; un deterioro sería contable, pero señalaría que se pagó de más [4]. Reexpresión menor de 2023 (EBIT −11 M) en el 10-K 2025 [1, 8].</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 1,9 veces el patrimonio tras NSI</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deterioro si NSI o DMC no cumplen; ninguno hasta hoy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excluye amortización y costes de compras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Hubbell compra todos los años; el informe usa GAAP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Reexpresión de 2023</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1.039 → 1.027 M; sin explicación relevante en la nota de resultados [1, 8].</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3.061 M en 2025 (el 54 % del capital invertido medio); ha subido más de un 5 % en 4 de 6 años: comprador en serie. ROIC publicado 18,6 %; sin fondo de comercio, 40,2 %.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30,1 % · </w:t>
      </w:r>
      <w:r>
        <w:rPr>
          <w:b/>
          <w:bCs/>
        </w:rPr>
        <w:t xml:space="preserve">WACC</w:t>
      </w:r>
      <w:r>
        <w:t xml:space="preserve">: 9,5 %.</w:t>
      </w:r>
    </w:p>
    <w:p>
      <w:pPr>
        <w:spacing w:after="100"/>
      </w:pPr>
      <w:r>
        <w:t xml:space="preserve">Hubbell crea valor: el ROIC del motor pasó del 12,3 % en 2019 al 18,6 % en 2025, frente a un WACC del 9,48 %. Lo movió el margen (margen neto del 9,2 % al 15,2 %) más que la rotación. Sin fondo de comercio, el ROIC pasa del 40 %: el negocio de base es excelente y lo que baja el retorno son las compras. Ese es el punto débil: con NSI (3.008 M) el capital invertido sube más de un 50 % y el ROIC de 2026-2027 bajará al 12-13 % (estimación propia: NOPAT ≈1.080 M de 2026e sobre ≈8.700 M de capital), solo 3 puntos sobre el WACC. Stock Analysis da un ROIC de los últimos 12 meses del 13,6 % [18].</w:t>
      </w:r>
    </w:p>
    <w:p>
      <w:pPr>
        <w:pStyle w:val="Heading1"/>
      </w:pPr>
      <w:r>
        <w:t xml:space="preserve">11. Deuda y solvencia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4.962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498,4 M a 30-jun-2026 (caja 378,6 + inversiones a corto 16,1 + inversiones a largo 103,7, parte de ellas ligadas a planes de compensación diferida) y una línea de crédito comprometida de 1.000 M sin disponer a dic-25, ampliable a 1.500 M, que respalda el papel comercial [1, 3,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(la empresa no detalla la nota en el 10-K; hueco registrado)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 único: deuda total / capitalización ≤ 65 % (58 % a 30-jun-2026 según la definición de la empresa, con holgura de 7 puntos tras la compra de NSI) [3, 4]. Pensiones: déficit de 99,5 M en las de prestación definida y 12,8 M en otras prestaciones a dic-25 (112,3 M antes de impuestos, ≈87,6 M netos) [1]. Arrendamientos operativos de 161,9 M (US GAAP: dentro del EBITDA, fuera de la deuda) [2]. Garantías de producto con provisión inmaterial; sin factoring declarado [1].</w:t>
      </w:r>
    </w:p>
    <w:p>
      <w:pPr>
        <w:pStyle w:val="Heading1"/>
      </w:pPr>
      <w:r>
        <w:t xml:space="preserve">12. Asignación de capital</w:t>
      </w:r>
    </w:p>
    <w:p>
      <w:pPr>
        <w:spacing w:after="100"/>
      </w:pPr>
      <w:r>
        <w:t xml:space="preserve">Dividendo trimestral de 1,42 USD (5,68 al año, ≈1,2 % de rentabilidad), subido cada año desde hace más de una década (2,59 en 2016, 5,38 en 2025) [2, 22]. Recompras dentro del programa de 500 M de 2025 (quedan 298,2 M a jun-26), 225 M en 2025 y 203,5 M en el 1S26 [4]. Prioridad declarada: inversión en capacidad, compras en el «núcleo» de red y eléctrico, dividendo y recompras oportunistas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NSI Industries (racores, conectores, temporizadores; ≈570 M de ventas)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préstamo de 900 M, bonos por 1.900 M y papel comercial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9-jun-2026; demasiado pronto [4,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DMC Power (conexiones a compresión para subestaciones y transmisión)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de 600 M y papel comercial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Utility; Grid Infrastructure +12-18 % desde entonces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Systems Control (paneles de control de subestaciones)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el margen de Utility subió del 21,4 % al 21,5 %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Aclara (contadores e infraestructura de medición)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Mixto: Grid Automation cayó en 2024-2025 (−18 % en el 3T25) [7].</w:t>
            </w:r>
          </w:p>
        </w:tc>
      </w:tr>
    </w:tbl>
    <w:p>
      <w:pPr>
        <w:spacing w:after="160" w:before="0"/>
      </w:pPr>
    </w:p>
    <w:p>
      <w:pPr>
        <w:spacing w:after="100"/>
      </w:pPr>
      <w:r>
        <w:t xml:space="preserve">Buena asignación hasta 2025: compras medianas en red eléctrica, venta de alumbrado de poco margen, dividendo creciente y deuda baja (1,2x EBITDA en 2025); el ROIC subió del 12,3 % al 18,6 %. NSI cambia el perfil: es la mayor compra de su historia, pagada a 15,5x EBITDA (≈5,3 veces ventas) con deuda, que lleva la deuda neta a ≈3,1x EBITDA, y un rendimiento antes de sinergias de ≈5 % después de impuestos sobre lo pagado. La retribución de la dirección, con BPA ajustado sin amortización de compras y sin métrica de ROIC, no castiga pagar caro [14].</w:t>
      </w:r>
    </w:p>
    <w:p>
      <w:r>
        <w:br w:type="page"/>
      </w:r>
    </w:p>
    <w:p>
      <w:pPr>
        <w:pStyle w:val="Parte"/>
      </w:pPr>
      <w:r>
        <w:t xml:space="preserve">Parte III — Equipo y gobierno</w:t>
      </w:r>
    </w:p>
    <w:p>
      <w:pPr>
        <w:pStyle w:val="Heading1"/>
      </w:pPr>
      <w:r>
        <w:t xml:space="preserve">13. Equipo directivo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Gerben W. Bakker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Hubbell desde 1988; dirigió Power Systems (2014-2019). Como consejero delegado ha llevado el margen operativo del 12,7 % de 2021 al 20,7 % de 2025 y el BPA continuado de 6,66 a 16,54 [1, 14].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A. Capozzoli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enero de 2026; antes, finanzas de Electrical Solutions y transformación del negocio en la propia Hubbell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Gregory A. Gumbs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Utility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consejero delegado de Bosch Rexroth (2020-2023) y directivo de Eaton (2015-2020)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E. Mikes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Electrical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Hubbell desde 1989; dirigió Hubbell Power Systems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Anthony J. Guzzi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y consejero delegado de EMCOR Group, gran instalador eléctrico de EE. UU. [14].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18,10-18,30 (oct-25); ventas +3-4 %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18,21; ventas +3,8 %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19,15-19,85 (feb-26), subida a 20,25-20,55 (jul-26, con NSI)</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1S26 BPA ajustado 9,45 (+14 %)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la casa: Bakker lleva 38 años en Hubbell y los presidentes de segmento, desde 2023 [1]. El único cambio reciente es el director financiero (enero de 2026), relevo interno [1]. Cumplió la guía de 2025 y la ha subido dos veces en 2026 [3, 6]. El presidente es también consejero delegado; lo compensa un consejero coordinador independiente [14].</w:t>
      </w:r>
    </w:p>
    <w:p>
      <w:pPr>
        <w:pStyle w:val="Heading1"/>
      </w:pPr>
      <w:r>
        <w:t xml:space="preserve">14. Gobierno corporativo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Gerben W. Bakker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Anthony J. Guzzi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Ejecutiva, Finanzas,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F. Malloy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Ejecutiva, Finanzas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 H. Baine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Rhett A. Hernandez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Jennifer M. Pollino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Carlos M. Cardoso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Ejecutiva,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Neal J. Keating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Ejecutiva, Nombramientos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Garrick J. Rochow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Debra L. Dial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Bonnie C. Lind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(presidenta), Ejecutiva, Nombramientos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 a dic-25)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0,19 / ventas 17,43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del 13G/A a dic-23 [14]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 del 13G/A a mar-25 [14]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Gerben W. Bakker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E. Mikes (Electrical Solutions)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Katherine A. Lane (secretaria general)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E. Mikes (Electrical Solutions)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 F. Malloy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Retribución total del consejero delegado en 2025: 10,35 M USD (salario 1,15 M, bonus 1,33 M, acciones y SAR 7,36 M) [14]. El bonus anual es un 80 % financiero (BPA ajustado, flujo de caja libre) y un 20 % estratégico; el incentivo a largo plazo es un 75 % por resultados: acciones por resultados a tres años con tres métricas de igual peso (crecimiento de ventas relativo, margen operativo ajustado y rentabilidad total relativa para el accionista) y derechos de revalorización [14]. El voto consultivo de 2025 tuvo ≈90 % a favor [14]. Ratio con el empleado mediano: 161 veces [14]. Crítica: ninguna métrica mide el rendimiento del capital (ROIC) y el BPA ajustado excluye la amortización de las compras, lo que premia comprar.</w:t>
      </w:r>
    </w:p>
    <w:p>
      <w:pPr>
        <w:pStyle w:val="Heading2"/>
      </w:pPr>
      <w:r>
        <w:t xml:space="preserve">Operaciones vinculadas, estructura de control y defensas</w:t>
      </w:r>
    </w:p>
    <w:p>
      <w:pPr>
        <w:spacing w:after="100"/>
      </w:pPr>
      <w:r>
        <w:t xml:space="preserve">Sin accionista de control: los dos mayores son gestoras pasivas (Vanguard 12,6 %, BlackRock 7,6 %) [14]. Una sola clase de acciones, un voto por acción, consejeros elegidos cada año por mayoría [14]. Sin operaciones vinculadas relevantes declaradas [14]. Presidente ejecutivo con consejero coordinador independiente (Guzzi, desde 2006: casi 20 años en el consejo, lo que resta independencia práctica) [14].</w:t>
      </w:r>
    </w:p>
    <w:p>
      <w:pPr>
        <w:pStyle w:val="Heading2"/>
      </w:pPr>
      <w:r>
        <w:t xml:space="preserve">Señales de alerta</w:t>
      </w:r>
    </w:p>
    <w:p>
      <w:pPr>
        <w:pStyle w:val="ListParagraph"/>
        <w:numPr>
          <w:ilvl w:val="0"/>
          <w:numId w:val="2"/>
        </w:numPr>
        <w:spacing w:after="60"/>
      </w:pPr>
      <w:r>
        <w:t xml:space="preserve">Ventas de directivos por 20,4 M USD en 12 meses, sin plan 10b5-1; la mayor, del consejero delegado (12,6 M el 6-feb-2026 a ≈499 USD), sobre todo tras ejercer derechos de revalorización [15].</w:t>
      </w:r>
    </w:p>
    <w:p>
      <w:pPr>
        <w:pStyle w:val="ListParagraph"/>
        <w:numPr>
          <w:ilvl w:val="0"/>
          <w:numId w:val="2"/>
        </w:numPr>
        <w:spacing w:after="60"/>
      </w:pPr>
      <w:r>
        <w:t xml:space="preserve">Cambio de director financiero en enero de 2026 (relevo interno)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(28-jul-2026, con NSI): ventas +16-18 %, orgánico +9-11 %, BPA GAAP 17,25-17,55 y ajustado 20,25-20,55 (excluye ≈2,50 de amortización de intangibles y ≈0,50 de costes de transacción), tipo fiscal ajustado del 22-22,5 %, conversión de caja del ≈90 % del beneficio ajustado [3]. Es la segunda subida del año del ajustado (19,15-19,85 en febrero) [3]. No hay plan a medio plazo con cifras públicas leído para este informe.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 (S&amp;P Global; BPA ajustado sin amortización de compras), 15-oct-2026 [17]; DPA: 4 × 1,42 declarado</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BPA ajustado), 15-oct-2026 [17]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502,00 – 630,00</w:t>
            </w:r>
          </w:p>
        </w:tc>
      </w:tr>
    </w:tbl>
    <w:p>
      <w:pPr>
        <w:spacing w:after="160" w:before="0"/>
      </w:pPr>
    </w:p>
    <w:p>
      <w:pPr>
        <w:pStyle w:val="Heading2"/>
      </w:pPr>
      <w:r>
        <w:t xml:space="preserve">Revisiones de estimaciones</w:t>
      </w:r>
    </w:p>
    <w:p>
      <w:pPr>
        <w:spacing w:after="100"/>
      </w:pPr>
      <w:r>
        <w:t xml:space="preserve">El BPA ajustado de 2026 sube por las dos revisiones de la guía (de 19,15-19,85 a 20,25-20,55) y por NSI (+0,20) [3, 22]. En el último mes hubo 2 subidas de recomendación y ninguna bajada [24]. Solo una fuente gratuita con estimaciones completas (Stock Analysis); el objetivo medio de 560,58 USD se contrasta con el ≈554 USD que citaba MarketBeat en julio [17, 22].</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bl>
    <w:p>
      <w:pPr>
        <w:spacing w:after="160" w:before="0"/>
      </w:pPr>
    </w:p>
    <w:p>
      <w:pPr>
        <w:spacing w:after="100"/>
      </w:pPr>
      <w:r>
        <w:t xml:space="preserve">Hubbell ha rentado un 22,2 % anual en cinco años frente al 13,2 % del S&amp;P 500, gracias a la subida del margen y del múltiplo en 2022-2024 [16]. En 2025-2026 se quedó atrás (+7,5 % en el año frente al +13,7 % del índice): la compra de NSI con deuda, un primer trimestre con guía algo por debajo del consenso y, desde septiembre, el miedo a un frenazo de la inversión en centros de datos [22, 23, 25]. Caída máxima de cinco años: −32,6 % (nov-24 a abr-25) [16].</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 / -5,3 % / -11,3 % / +8,2 %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-17,1 % / +13,6 %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máximo de 565,5 USD (23-abr) a ≈453 en un mes: el 30-abr cayó un 6,9 % porque el punto medio de la guía de BPA ajustado (19,30-19,85) quedó algo por debajo del consenso pese a batir el trimestre [23]; el 4-may anunció la compra de NSI por 3.000 M a 15,5x EBITDA con deuda [9]. Hecho conocido y recogido en este informe.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hasta ≈539 USD (22-jun) con el cierre de NSI y la emisión de bonos, y el apetito del mercado por la electrificación [22]; después cayó un 5,5 % el 23-jun y un 6,3 % el 1-jul sin noticia propia (rotación sectorial)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29-jul cayó un 4,7 % tras el 2T26: batió el BPA ajustado, pero el margen ajustado bajó 50 pb [22]; el 14-sep el sector cayó por el miedo a un frenazo de la inversión en centros de datos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el 27-oct, antes de la apertura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NSI (3.000 M), financiada con 900 M de préstamo, 1.900 M de bonos y papel comercial; ninguna ampliación de capital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consejero delegado vendió 25.233 acciones (12,6 M USD) a ≈499 USD; en 12 meses los directivos vendieron 20,4 M y un consejero compró 0,19 M [15]. Ventas tras ejercer derechos de revalorización, sin plan 10b5-1; no indican nada nuevo sobre el negocio.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subidas de recomendación y ninguna bajada en el último mes; objetivo medio 560,58 USD (14 analistas) [17,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en todo el sector de electrificación por el temor a un frenazo de la inversión en centros de datos de IA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 un 17 % desde el máximo de abril se explica por hechos conocidos: una guía del 1T26 que no entusiasmó, la compra de NSI con deuda, la presión sobre el margen y el miedo sectorial a los centros de datos. No hay ningún hecho pendiente ajeno al análisis (colocación, ampliación, litigio, oferta) que pueda mover el precio más de un 5 %: el veredicto es «no cambia». Los resultados del 27-oct no aplazan la decisión (regla 11). La decisión la marca la valoración, no el movimiento del precio.</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Hubbell cotizaba a 15-24x el beneficio del año siguiente antes de 2023 y desde entonces a 23-25x: el mercado reclasificó a la empresa de «material eléctrico cíclico» a «beneficiaria de la electrificación y los centros de datos». Hoy, a 23,8x nuestro BPA GAAP de 2027e, está en su media de cinco años (22,9x) y lejos del mínimo de 2022 (16,9x). El cambio estructural es real (orgánico del 10 %, margen en máximos), pero el múltiplo ya lo recoge.</w:t>
      </w:r>
    </w:p>
    <w:p>
      <w:pPr>
        <w:pStyle w:val="Heading1"/>
      </w:pPr>
      <w:r>
        <w:t xml:space="preserve">18. Comparables cotizados</w:t>
      </w:r>
    </w:p>
    <w:p>
      <w:pPr>
        <w:pStyle w:val="Confianza"/>
        <w:spacing w:after="100"/>
      </w:pPr>
      <w:r>
        <w:t xml:space="preserve">Confianza: Media</w:t>
      </w:r>
    </w:p>
    <w:p>
      <w:pPr>
        <w:spacing w:after="100"/>
      </w:pPr>
      <w:r>
        <w:t xml:space="preserve">Fabricantes de material y equipos eléctricos cotizados con exposición a red, edificios y centros de datos: Schneider, ABB, Eaton, nVent, Trane y Johnson Controls (Vertiv, fuera: es un especialista en centros de datos y su EBITDA de los últimos y próximos 12 meses no cuadra entre proveedores). Ninguno es un comparable puro: los especialistas en componentes de red (Preformed Line Products, MacLean Power) son muy pequeños o privados. Cifras de la nota D del informe de Eaton del mismo día, llevadas al cierre del 14-oct [21]. Los PER son en su mayoría ajustados (sin amortización de compras) y el de Hubbell en este informe es GAAP: por eso pesan poco.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Hubbell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nVent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Eaton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 / 23,2x / 23,8x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576,38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 / 27,8x / 29,0x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 / 4,8x / 4,9x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Hubbell cotiza a 20,1x el EBITDA de los últimos 12 meses y 21,1x el PER de los próximos 12 meses, por debajo de la mayoría de comparables (Eaton ≈29x, ABB 27x, nVent 30x) aunque con el mayor margen del grupo (24 % de EBITDA) [21]. El descuento se explica por el tamaño, por la menor exposición directa a centros de datos y porque nuestros PER son GAAP y los de los comparables, ajustados. Los múltiplos de los comparables dan 540-650 USD, pero reflejan el entusiasmo del sector por la electrificación: por eso pesan solo un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NSI Industries (racores, conectores, temporizadores)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Hubbell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3.000 M sobre ventas previstas de ≈570 M en 2026 y ≈15,5x el EBITDA de 2026e [9].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Boyd Thermal (refrigeración líquida)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22,5x el EBITDA ajustado de 2026e; ventas previstas de 1.700 M USD en 2026, 1.500 M de ellas en refrigeración líquida [22]. Cerrada el 12-mar-2026 por 9.550 M netos de caja.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Fibrebond (salas eléctricas modulares)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2025e de 110 M y ventas de ≈378 M; múltiplos calculados por nosotros [9]. Más 240 M de bonus de retención.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Electrical Products Group (Avail)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12,5x el EBITDA de los 12 meses anteriores [25].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Trachte (salas de control)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≈12x el EBITDA ajustado de 2024e [25].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PurgeRite (servicios de refrigeración líquida)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≈10x el EBITDA de 2026e con sinergias [25].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UtilityInnovation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≈13x el EBITDA de 2027e, más earn-out [25].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12,7x (12,3x – 14,3x)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251,16 – 307,47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del sector en 2024-2026 se pagaron a 10-16x EBITDA (mediana ≈13x) [21]; NSI a 15,5x está en la parte alta [9]. Aplicadas a Hubbell dan ≈264 USD por acción, por debajo del precio: la bolsa paga hoy más por Hubbell (20x EBITDA) que lo que pagan los compradores por negocios parecidos. Hubbell no es objeto probable de una oferta: sin accionista de control, pero con 25.000 M de capitalización y deuda tras NSI.</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+17,2 % en 2026e: guía de +16-18 % con orgánico de +9-11 % y NSI desde el 9-jun [3]. 2027e +10 % (orgánico ≈7 % y NSI completa: ≈240 M más), en línea con el +10,3 % del consenso [17]. Después baja del 7,5 % al 3,5 % en 2033e: la inversión de las eléctricas crece a dos cifras [10], pero el orgánico de Hubbell fue de 0-3 % en 2024-2025 y su crecimiento compuesto 2019-2025 del 6,8 % incluye compras [1, 2].</w:t>
      </w:r>
    </w:p>
    <w:p>
      <w:pPr>
        <w:keepNext/>
        <w:spacing w:after="100"/>
      </w:pPr>
      <w:r>
        <w:rPr>
          <w:b/>
          <w:bCs/>
        </w:rPr>
        <w:t xml:space="preserve">Márgenes.</w:t>
      </w:r>
    </w:p>
    <w:p>
      <w:pPr>
        <w:spacing w:after="100"/>
      </w:pPr>
      <w:r>
        <w:t xml:space="preserve">Margen EBITDA GAAP del 24,2 % en 2026e (1S26: 22,9 %, con costes de transacción de NSI) y del 25,0-25,3 % desde 2027e: el 24,2 % de 2025 más la mezcla de NSI (≈194 M de EBITDA sobre ≈570 M de ventas, un 34 %) [3, 9]. Es el máximo de su historia; no suponemos más apalancamiento operativo, porque los aranceles y la inflación ya restaron 50 pb al margen ajustado en el 2T26 [3].</w:t>
      </w:r>
    </w:p>
    <w:p>
      <w:pPr>
        <w:keepNext/>
        <w:spacing w:after="100"/>
      </w:pPr>
      <w:r>
        <w:rPr>
          <w:b/>
          <w:bCs/>
        </w:rPr>
        <w:t xml:space="preserve">Inversión y circulante.</w:t>
      </w:r>
    </w:p>
    <w:p>
      <w:pPr>
        <w:spacing w:after="100"/>
      </w:pPr>
      <w:r>
        <w:t xml:space="preserve">Capex del 2,6-3,2 % de las ventas (2,7 % en 2025, 3,2 % en 2024) y amortización del 4,0-4,1 % en 2026-2027 por los intangibles de NSI y DMC Power (≈170-200 M al año), que baja hacia el 3,2 % con las ventas; en el último año el capex iguala la amortización [1, 3]. Circulante comercial del 23 % de las ventas, como en 2025 [1].</w:t>
      </w:r>
    </w:p>
    <w:p>
      <w:pPr>
        <w:keepNext/>
        <w:spacing w:after="100"/>
      </w:pPr>
      <w:r>
        <w:rPr>
          <w:b/>
          <w:bCs/>
        </w:rPr>
        <w:t xml:space="preserve">Coste del capital.</w:t>
      </w:r>
    </w:p>
    <w:p>
      <w:pPr>
        <w:spacing w:after="100"/>
      </w:pPr>
      <w:r>
        <w:t xml:space="preserve">Tasa libre: bono a 10 años de EE. UU. al 5,21 % (13-oct-2026) [19]. Beta 1,0: entre la mensual de cinco años (0,83) y las semanales de cinco y dos años (0,97 y 1,08) [16]. Prima de mercado del 5,5 %; coste de la deuda antes de impuestos del 5,0 % (bonos de junio de 2026 al 4,65-5,15 %) [4]; peso de la deuda del 18 % (5.373 M frente a ≈25.100 M de capitalización). WACC 9,48 %. Con la beta mensual (0,83) el WACC baja a ≈8,7 % y el valor sube ≈15 %: la conclusión no cambia.</w:t>
      </w:r>
    </w:p>
    <w:p>
      <w:pPr>
        <w:keepNext/>
        <w:spacing w:after="100"/>
      </w:pPr>
      <w:r>
        <w:rPr>
          <w:b/>
          <w:bCs/>
        </w:rPr>
        <w:t xml:space="preserve">Valor terminal.</w:t>
      </w:r>
    </w:p>
    <w:p>
      <w:pPr>
        <w:spacing w:after="100"/>
      </w:pPr>
      <w:r>
        <w:t xml:space="preserve">Gordon con un crecimiento del 3,0 %, entre la inflación esperada en dólares (≈2,5 %) y la tasa libre menos medio punto. El valor terminal es el 66 % del valor. El múltiplo implícito es ≈13x el EBITDA terminal, por debajo de las transacciones del sector (12-16x) y de los comparables (≈18x).</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298,69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397,85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M (6 %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(reinvierte el 28 %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 (histórico: 30,1 %)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 frente al 7,7 %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720 M, el 6 % del NOPAT, con un capex bruto medio del 3,0 % de las ventas). En un negocio de activos ligeros, el crecimiento medio del 7,7 %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orgánico +9-11 % (≈6 de volumen y ≈4 de precio, que la empresa cita para compensar aranceles e inflación) y ≈7 puntos de compras (NSI desde junio y DMC Power)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+4,5 % con la cartera de pedidos (+13,8 % a dic-25) y el ciclo de transmisión; precio +2,5 %; NSI completa añade ≈3 puntos [1,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+5 % y precio +2,5 %: la inversión de las eléctricas de EE. UU. crece a dos cifras en 2025-2029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+4,5 % y precio +2,5 %.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+4 % y precio +2,5 %, por encima de la historia orgánica de 2019-2025 (≈4 %).</w:t>
            </w:r>
          </w:p>
        </w:tc>
      </w:tr>
    </w:tbl>
    <w:p>
      <w:pPr>
        <w:spacing w:after="160" w:before="0"/>
      </w:pPr>
    </w:p>
    <w:p>
      <w:pPr>
        <w:spacing w:after="100"/>
      </w:pPr>
      <w:r>
        <w:t xml:space="preserve">Sí. El crecimiento orgánico proyectado (5-7 % a partir de 2028) está por debajo del que hoy da la empresa (+10 % en el 2T26) y apenas por encima de su media de 2019-2025 [2, 3]; se apoya en precio, que Hubbell ha demostrado poder subir por encima de la inflación (margen operativo del 12,7 % al 20,7 % en 2021-2025) [1], y en volumen de un ciclo de inversión de las eléctricas que se proyecta a cinco años [10]. El motor da «Sí»: la reinversión bruta financia un 5,1 % al ROIC de 2025 y el rendimiento que supone la proyección (25,9 %) queda por debajo del ROIC incremental histórico (30,1 %). La cuota no se puede medir (Hubbell no la publica); con la inversión de las eléctricas creciendo a dos cifras, crecer al 7 % no exige ganar cuota. Matiz: parte del crecimiento de 2026-2027 es comprado (NSI a 15,5x EBITDA), y ese no rinde el ROIC histórico.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 (base: 6,4 %)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33,3 % (base: 25,3 %)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 (WACC: 9,5 %)</w:t>
            </w:r>
          </w:p>
        </w:tc>
      </w:tr>
    </w:tbl>
    <w:p>
      <w:pPr>
        <w:spacing w:after="160" w:before="0"/>
      </w:pPr>
    </w:p>
    <w:p>
      <w:pPr>
        <w:spacing w:after="100"/>
      </w:pPr>
      <w:r>
        <w:t xml:space="preserve">El DCF da 317,82 USD por acción, un 32,9 % por debajo del precio, con el valor terminal como el 66 % del valor. El DCF inverso dice que para justificar 473,37 USD con nuestro WACC del 9,48 % las ventas tendrían que crecer un 14,0 % anual en 2027-2033 (frente al 6,4 % de nuestro base y al 6,8 % de los últimos seis años con compras), o el margen subir al 33,3 % frente al 25,3 %; la rentabilidad implícita en el precio es del 7,7 % anual, por debajo del WACC y del 8,4 % que pide hoy el mercado. Es una exigencia alta frente a la historia: el mercado paga a Hubbell como una empresa de crecimiento a dos cifras sostenido, cuando su orgánico fue de 0 % en 2024 y 3,3 % en 2025. La lectura depende de la tasa libre al 5,21 %: con la prima del mercado el valor sube a 418,73, aún por debajo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2024: los distribuidores reducen inventarios, las eléctricas retrasan proyectos por tipos o por los reguladores y los centros de datos frenan; el orgánico vuelve a 0-3 % y los aranceles comen 150 pb de margen.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 de inversión en transmisión y subestaciones durante cinco años, NSI integrada sin sorpresas y margen EBITDA estable en 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carga de los centros de datos y la reindustrialización mantienen el orgánico cerca del 10 % hasta 2028 y el margen sube al 26 % por apalancamiento operativo.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473,3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309,74 USD (-34,6 %).</w:t>
      </w:r>
    </w:p>
    <w:p>
      <w:pPr>
        <w:spacing w:after="100"/>
      </w:pPr>
      <w:r>
        <w:t xml:space="preserve">La asimetría es negativa: el alcista vale 376,08 (−20,6 %) y el bajista 227,23 (−52,0 %). Incluso con crecimiento y margen mejores, el DCF queda por debajo del precio, porque la tasa de descuento con el bono al 5,21 % pesa más que dos puntos de crecimiento. A 12 meses, con la regla de múltiplos, la asimetría sí es positiva (bajista −30,3 %, alcista +48,3 %): la diferencia entre las dos lecturas es la tesis del informe.</w:t>
      </w:r>
    </w:p>
    <w:p>
      <w:pPr>
        <w:pStyle w:val="Heading1"/>
      </w:pPr>
      <w:r>
        <w:t xml:space="preserve">22. Suma de partes</w:t>
      </w:r>
    </w:p>
    <w:p>
      <w:pPr>
        <w:pStyle w:val="Confianza"/>
        <w:spacing w:after="100"/>
      </w:pPr>
      <w:r>
        <w:t xml:space="preserve">Confianza: Alta</w:t>
      </w:r>
    </w:p>
    <w:p>
      <w:pPr>
        <w:spacing w:after="100"/>
      </w:pPr>
      <w:r>
        <w:t xml:space="preserve">No aplica: los dos segmentos venden componentes eléctricos parecidos por los mismos canales y con márgenes cercanos (21,5 % y 19,3 % en 2025); separarlos no añade información.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473,3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346,00 USD (-26,9 % sobre 473,37).</w:t>
      </w:r>
    </w:p>
    <w:p>
      <w:pPr>
        <w:spacing w:after="100"/>
      </w:pPr>
      <w:r>
        <w:t xml:space="preserve">El DCF pesa un 60 %, los escenarios un 30 % y los comparables un 10 %: Hubbell es un negocio estable y previsible, en el que el descuento de flujos es el método más fiable; los comparables llevan PER y EBITDA mayoritariamente ajustados y cotizan en pleno entusiasmo por la electrificación, por eso pesan poco; las transacciones (mediana ≈13x EBITDA) llevan prima de control y no pesan. La dispersión es grande: los múltiplos de los comparables dan 540-650 USD y el DCF 318: el precio actual se explica por los múltiplos del sector, no por los flujos descontados a un 9,5 %. Con la prima implícita del mercado (4,2 %, WACC 8,4 %) el valor sube a 418,73, todavía un 11 % por debajo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(23.8x) a mitad de camino hacia abajo, hacia la mediana de 5 años (22.9x)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+48,3 %</w:t>
            </w:r>
          </w:p>
        </w:tc>
      </w:tr>
    </w:tbl>
    <w:p>
      <w:pPr>
        <w:spacing w:after="160" w:before="0"/>
      </w:pPr>
    </w:p>
    <w:p>
      <w:pPr>
        <w:spacing w:after="100"/>
      </w:pPr>
      <w:r>
        <w:rPr>
          <w:b/>
          <w:bCs/>
        </w:rPr>
        <w:t xml:space="preserve">Objetivo a 12 meses (ponderado):</w:t>
      </w:r>
      <w:r>
        <w:t xml:space="preserve"> 516,13 USD · rentabilidad +10,2 % (base +11,5 %) · señal Mantener.</w:t>
      </w:r>
    </w:p>
    <w:p>
      <w:pPr>
        <w:spacing w:after="100"/>
      </w:pPr>
      <w:r>
        <w:t xml:space="preserve">Para comparar, con la regla v2 (historia al cierre, mismo precio): 23,7x / 23,8x / 28,3x, 18,3 %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(19,90) es GAAP; el del consenso (22,96) es ajustado y excluye ≈2,9 USD de amortización de intangibles de compras: en la misma base, la diferencia es de un 1-2 % [17]. En ventas coincidimos: 6.850 M en 2026 y 7.535 M en 2027 frente a 6.870 y 7.570 del consenso [17]. Nuestro precio base a 12 meses (521,92) queda un 6,9 % por debajo del objetivo medio de los analistas (560,58): la diferencia es de múltiplo, no de beneficio; los analistas aplican un PER de ≈24x sobre el BPA ajustado, unos 28x sobre el GAAP.</w:t>
      </w:r>
    </w:p>
    <w:p>
      <w:pPr>
        <w:keepNext/>
        <w:spacing w:after="100"/>
      </w:pPr>
      <w:r>
        <w:rPr>
          <w:b/>
          <w:bCs/>
        </w:rPr>
        <w:t xml:space="preserve">Del valor intrínseco al objetivo a 12 meses.</w:t>
      </w:r>
    </w:p>
    <w:p>
      <w:pPr>
        <w:spacing w:after="100"/>
      </w:pPr>
      <w:r>
        <w:t xml:space="preserve">El objetivo a 12 meses (516,13) y el valor intrínseco (346,00) están a un 49 % de distancia: el mercado paga a Hubbell un PER adelantado de 23,8x, en su media de cinco años, mientras el DCF con un WACC del 9,48 % (bono al 5,21 %) da 317,82. Para cerrar la distancia haría falta que el crecimiento se mantuviera muy por encima de lo proyectado (el DCF inverso pide un 14,0 % anual frente al 6,4 % de nuestro base) o que bajaran los tipos. Es una tesis de varios años que no depende de un catalizador con fecha.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NSI completa; confirmación de la guía 2026 (BPA GAAP 17,25-17,55)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2026 y guía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NSI todo el año; el consenso espera BPA ajustado de 22,96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Reducción de deuda tras NSI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Bajar de ≈3,1x a ≈2x EBITDA libera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Planes de inversión de las eléctricas (EEI) y de los centros de datos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al alza o a la baja del ciclo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anual del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confianza; efecto pequeño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 la inversión en centros de datos («AI slowdown»)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−30 % en precio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parte de las ventas es red eléctrica y mantenimiento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Electrical Solutions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NSI cara (15,5x EBITDA) y con deuda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NSI por encima del grupo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fondo de comercio o margen de Electrical por debajo del 20 % ajustado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inventarios de los distribuidores y de las eléctricas (como en 2024)</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−52 % en el escenario bajista del DCF; −30 %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de 2.159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que cae interanualmente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e inflación de materias primas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 demostrado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por debajo del 22 %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 el WACC +1 punto,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a tipo fijo en su mayoría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Pérdida de ventas de contadores (Aclara) frente a Itron y Landis+Gyr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una parte pequeña de Utility</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Grid Automation negativo dos trimestres seguidos</w:t>
            </w:r>
          </w:p>
        </w:tc>
      </w:tr>
    </w:tbl>
    <w:p>
      <w:pPr>
        <w:spacing w:after="160" w:before="0"/>
      </w:pPr>
    </w:p>
    <w:p>
      <w:pPr>
        <w:pStyle w:val="Heading2"/>
      </w:pPr>
      <w:r>
        <w:t xml:space="preserve">Pre-mortem</w:t>
      </w:r>
    </w:p>
    <w:p>
      <w:pPr>
        <w:spacing w:after="100"/>
      </w:pPr>
      <w:r>
        <w:t xml:space="preserve">Octubre de 2029: la acción ha perdido un 40 %. En 2027 los grandes de la nube recortaron la inversión en centros de datos tras dos años sin rentabilizar la IA, y las eléctricas, con tipos al 5 % y reguladores que no aceptaban más subidas de tarifa, aplazaron proyectos de transmisión. Los distribuidores redujeron inventarios como en 2024: el orgánico pasó del +10 % al −2 %. Al mismo tiempo, NSI, comprada a 15,5x EBITDA con deuda, perdió margen con la caída de la construcción no residencial, y Hubbell tuvo que dedicar la caja a bajar deuda en lugar de recomprar. El PER, que en 2026 estaba en 24x, volvió a 17x, su mínimo de 2022, sobre un BPA un 15 % menor que el esperado. La señal temprana habría sido la cartera de pedidos cayendo interanualmente y el orgánico de Electrical Solutions por debajo del 5 %.</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+5 % (más demanda de red); el riesgo es de ciclo, no de sustitución</w:t>
      </w:r>
    </w:p>
    <w:p>
      <w:pPr>
        <w:spacing w:after="100"/>
      </w:pPr>
      <w:r>
        <w:t xml:space="preserve">La IA no sustituye lo que vende Hubbell: conectores, herrajes, aisladores y material eléctrico son físicos y no hay modelo que los reemplace. Al contrario, los centros de datos para IA son una fuente de demanda (Electrical Solutions orgánico +18 % en el 2T26) y la razón por la que las eléctricas invierten más en transmisión [3, 10]. La IA puede abaratar algo el diseño y la gestión interna, pero eso no cambia el foso. El riesgo real es indirecto: si la inversión en centros de datos de IA se frena, el múltiplo que el mercado paga por la «exposición a la IA» se desinfla (como el 14-sep-2026 con todo el sector) [25]. Riesgo de IA para el negocio: bajo. Señal: el orgánico de Electrical Solutions y los comentarios sobre centros de datos en las conferencias.</w:t>
      </w:r>
    </w:p>
    <w:p>
      <w:pPr>
        <w:pStyle w:val="Heading1"/>
      </w:pPr>
      <w:r>
        <w:t xml:space="preserve">26. ESG y controversias</w:t>
      </w:r>
    </w:p>
    <w:p>
      <w:pPr>
        <w:spacing w:after="160" w:before="0"/>
      </w:pPr>
    </w:p>
    <w:p>
      <w:pPr>
        <w:pStyle w:val="Heading2"/>
      </w:pPr>
      <w:r>
        <w:t xml:space="preserve">Asuntos materiales</w:t>
      </w:r>
    </w:p>
    <w:p>
      <w:pPr>
        <w:spacing w:after="100"/>
      </w:pPr>
      <w:r>
        <w:t xml:space="preserve">Lo material es el ahorro y la fiabilidad de la red: los productos de Hubbell permiten conectar renovables y nueva carga; seguridad laboral en 18.000 empleados de fábrica; consumo de metales (cobre, acero, aluminio) [1].</w:t>
      </w:r>
    </w:p>
    <w:p>
      <w:pPr>
        <w:pStyle w:val="Heading2"/>
      </w:pPr>
      <w:r>
        <w:t xml:space="preserve">Controversias</w:t>
      </w:r>
    </w:p>
    <w:p>
      <w:pPr>
        <w:spacing w:after="100"/>
      </w:pPr>
      <w:r>
        <w:t xml:space="preserve">Sin sanciones ni litigios materiales en los últimos tres años según el 10-K 2025 (contingencias legales «no materiales»)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NSI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esperan de NSI en el tercer año y qué sinergias de coste y de ventas cruzadas suponen?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pagaron 3.000 M (15,5x EBITDA) con deuda; a ese precio rinde ≈5 % después de impuestos sin sinergias.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las ventas va hoy a centros de datos, directa e indirectamente?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orgánico de Electrical (+18 %) y el principal riesgo del múltiplo.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recuperan el margen ajustado perdido por aranceles y cuánto precio queda por aplicar?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ajustado cayó 50 pb en el 2T26.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apalancamiento objetivo tienen y cuándo vuelven las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neta pasó a ≈3,1x EBITDA.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Retribución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hay una métrica de rendimiento del capital en el incentivo a largo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ajustado excluye la amortización de las compras.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Grid Automation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ha tocado fondo en contadores o hay pérdida de cuota frente a Itron y Landis+Gyr?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Cayó un 18 % en el 3T25 y apenas creció en el 2T26.</w:t>
            </w:r>
          </w:p>
        </w:tc>
      </w:tr>
    </w:tbl>
    <w:p>
      <w:pPr>
        <w:spacing w:after="160" w:before="0"/>
      </w:pPr>
    </w:p>
    <w:p>
      <w:pPr>
        <w:pStyle w:val="Heading1"/>
      </w:pPr>
      <w:r>
        <w:t xml:space="preserve">28. Sentimiento en foros y comentarios</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($HUBB)</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Dominan los mensajes alcistas sobre la red eléctrica como «cuello de botella» de la IA; en mayo-junio, desconcierto por la caída de ~100 USD en un mes y operaciones con opciones [26].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Mitad «compounder premium del superciclo de la red», mitad «valoración alta y márgenes bajo presión»; nadie discute la calidad del negocio [22].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AAII (comentario de valoración)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 la valoración de «Ultra Expensive» [24].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red eléctrica como beneficiaria de la IA y los centros de datos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apoyan los datos: Electrical Solutions orgánico +18 % y Grid Infrastructure +12 % en el 2T26 [22].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nuestro DCF: el valor intrínseco queda por debajo del precio.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Márgenes y compra de NSI</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margen ajustado bajó 50 pb en el 2T26 y NSI se pagó a 15,5x EBITDA con deuda [22].</w:t>
            </w:r>
          </w:p>
        </w:tc>
      </w:tr>
    </w:tbl>
    <w:p>
      <w:pPr>
        <w:spacing w:after="160" w:before="0"/>
      </w:pPr>
    </w:p>
    <w:p>
      <w:pPr>
        <w:spacing w:after="100"/>
      </w:pPr>
      <w:r>
        <w:t xml:space="preserve">El inversor particular está más entusiasmado que el análisis: lee Hubbell como «acción de IA», mientras los autores con más trabajo detrás coinciden en que el negocio es bueno pero el precio ya lo descuenta. No hay euforia ni capitulación; el sentimiento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26 (12 primarias); citas distintas en el texto: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23,0 % frente a 21,5 % real: genera una variación de circulante de 318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3T24-4T25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(no dan consenso); 2) Seeking Alpha RSS solo da titulares de 2026; 3) búsqueda de prensa sin cifras de consenso previas fiables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de componentes de red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(no lo da); 2) EEI y prensa sectorial (solo la inversión total de las eléctricas); 3) informes de mercado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«no puede especificar con precisión» la cuota; 2) presentaciones a inversores;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 MSCI y Sustainalytics (de pago);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voto_remuneracion_contra_pct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(solo «≈90 % a favor»); 2) 8-K 5.07 de mayo-2025 y mayo-2026 (no leído el detalle);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(agencia y nota)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(solo habla de «mantener nuestras calificaciones»); 2) 8-K de la emisión de junio de 2026 (folleto no leído entero);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mercado_final para la prueba de cuota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(no publica cuota); 2) EEI (solo inversión total de las eléctricas); 3) informes de mercado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prueba de cuota a mano con la inversión de las eléctricas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auditadas; nota 20 de segmentos y geografía; cartera de pedidos; clientes; empleados; pensiones;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Hubbell Incorporated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https://www.sec.gov/Archives/edgar/data/48898/000162828026007500/hubb-20251231.htm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Hechos XBRL (companyfacts): cuenta, balance y flujos 2016-2025 y trimestres; resultado de operaciones continuadas 2019-2022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https://data.sec.gov/api/xbrl/companyfacts/CIK0000048898.json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Reports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Incorporated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https://www.sec.gov/Archives/edgar/data/48898/000162828026049934/exhibit991_07282026.htm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(balance a 30-jun-2026, compra de NSI, deuda, recompras, acciones en circulación)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Incorporated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https://www.sec.gov/Archives/edgar/data/48898/000162828026050405/hubb-20260630.htm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Reports First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Incorporated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https://www.sec.gov/Archives/edgar/data/48898/000162828026028600/exhibit991_04302026.htm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Reports Fourth Quarter and Full Year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Incorporated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https://www.sec.gov/Archives/edgar/data/48898/000162828026004800/exhibit991_02032026.htm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Reports Third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Incorporated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https://www.sec.gov/Archives/edgar/data/48898/000162828025046573/exhibit991_10282025.htm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2023 (segmentos 2021-2023, venta del alumbrado comercial e industrial en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Incorporated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https://www.sec.gov/Archives/edgar/data/48898/000162828024003792/hubb-20231231.htm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to Acquire NSI Industries (8-K, anexo 99.1: 3.000 M USD, ≈15,5x el EBITDA de 2026e, ventas de ≈570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Incorporated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https://www.sec.gov/Archives/edgar/data/48898/000119312526204099/d133302dex991.htm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Investor-owned utilities to spend $1.1T in grid boost as power demand spirals (EEI: 178.000 M USD en 2024, ≈208.000 M en 2025, &gt;1,1 billones 2025-2029)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https://www.powermag.com/investor-owned-utilities-to-spend-1-1t-in-grid-boost-as-power-demand-spirals/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Industry Capital Expenditures (proyecciones de inversión de las eléctricas de EE. UU.; más de la mitad en transmisión y distribución)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Edison Electric Institute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https://eei.org/-/media/Project/EEI/Documents/Issues-and-Policy/Finance-And-Tax/Industry-Capital-Expenditures.pdf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Investor-owned utilities spending more than ever (EEI)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Utility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https://www.utilitydive.com/news/investor-owned-utilities-spending-more-than-ever-eei/802315/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de Eaton y ABB (ventas y márgenes de Schneider, ABB Electrification, Eaton, Legrand, nVent) en las notas B de los informes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Empresas / Yahoo Finance (vía informes eaton-2026-10-15 y abb-2026-10-15)</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informes/eaton-2026-10-15/notas/B.json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comisiones, retribución, ratio de retribución, accionistas, voto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Incorporated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https://www.sec.gov/Archives/edgar/data/48898/000130817926000121/hubb014454-def14a.htm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HUBB presentados entre el 15-oct-2025 y el 15-oct-2026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https://www.sec.gov/cgi-bin/browse-edgar?action=getcompany&amp;CIK=0000048898&amp;type=4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HUBB, SPY y XLI (precio, rentabilidades, betas, volatilidad, cierres anuales) hasta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https://finance.yahoo.com/quote/HUBB/history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(HUBB) Stock Forecast: 14 analistas, «Buy», objetivo medio 560,58 USD (mín. 502, máx. 630); ventas 2026e 6.870 M y 2027e 7.570 M; BPA ajustado 20,50 y 22,96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https://stockanalysis.com/stocks/hubb/forecast/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(HUBB) statistics: acciones 52,83 M, posición corta 4,83 %, ROIC 13,6 %, próximos resultados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https://stockanalysis.com/stocks/hubb/statistics/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(Schneider, ABB, nVent, Trane, Johnson Controls, Vertiv): múltiplos de MarketScreener y ROIC de Stock Analysis llevados al cierre del 14-oct, en la nota D del informe de Eaton del repositorio; Eaton con su consenso de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Stock Analysis (vía informe eaton-2026-10-15)</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informes/eaton-2026-10-15/notas/D.json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de HUBB en Seeking Alpha (RSS): resultados 1T26 y 2T26, compra de NSI, emisión de 1.900 M en bonos, conferencias de septiembre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https://seekingalpha.com/api/sa/combined/HUBB.xml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Track: Hubbell Plunges 7.02% in Pre-market Despite Q1 Beat as Guidance Disappoints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https://www.itiger.com/news/1141953025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Hubbell Incorporated’s (HUBB) Stock Is Down (15-oct-2026: −2,5 % en la sesión; 2 subidas de recomendación y ninguna bajada en el último mes)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https://www.aaii.com/investingideas/article/541523-why-hubbell-incorporated8217s-hubb-stock-is-down-513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noticias del sector (14-sep-2026: «AI slowdown fears hammer data-center power and construction stocks»)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(vía informe eaton-2026-10-15)</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https://seekingalpha.com/api/sa/combined/ETN.xml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$HUBB (30 mensajes, mayo-octubre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https://api.stocktwits.com/api/2/streams/symbol/HUBB.json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85,7 %</w:t>
      </w:r>
      <w:r>
        <w:t xml:space="preserve"> · Secciones con menos del 60 % de campos cubiertos: </w:t>
      </w:r>
      <w:r>
        <w:rPr>
          <w:b/>
          <w:bCs/>
        </w:rPr>
        <w:t xml:space="preserve">esg, flujos</w:t>
      </w:r>
      <w:r>
        <w:t xml:space="preserve"> · Generado el 15 oct 2026.</w:t>
      </w:r>
    </w:p>
    <w:p>
      <w:pPr>
        <w:pStyle w:val="Nota"/>
        <w:spacing w:after="100"/>
      </w:pPr>
      <w:r>
        <w:t xml:space="preserve">Línea cotizada: acciones ordinarias en la Bolsa de Nueva York (HUBB), única clase. Precio: cierre del 14-oct-2026 (473,37 USD), porque la sesión del 15-oct no había cerrado a la hora del análisis (a mediodía cotizaba a 462,63, −2,3 %) [16]. Cuentas 2019-2025 del XBRL de la SEC, comprobadas con los 10-K de 2023 y 2025 [1, 2, 8]; 2019-2022 con el beneficio y el BPA de operaciones continuadas (el alumbrado comercial e industrial vendido en 2022 va en discontinuadas) y 2016-2018 fuera por no estar reexpresados. Todo en GAAP: el BPA ajustado de la empresa y del consenso excluye la amortización de intangibles de compras (≈2,50 USD por acción en 2026). US GAAP: los arrendamientos operativos (161,9 M) quedan dentro del EBITDA y fuera de la deuda. Puente a 30-jun-2026, después de la compra de NSI (9-jun). Comparables tomados de la nota D del informe de Eaton del mismo día (cifras de MarketScreener y Stock Analysis llevadas al 14-oct) [21]; sus PER son mayoritariamente ajustados. Consenso de una sola fuente gratuita con estimaciones (Stock Analysis) [17].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Hubbell Incorporated (HUBB)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473,37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(403,82 – 565,50)</c:v>
                </c:pt>
                <c:pt idx="1">
                  <c:v>Precio objetivo de los analistas (502,00 – 630,00)</c:v>
                </c:pt>
                <c:pt idx="2">
                  <c:v>Comparables: PER NTM (589,09 – 650,24)</c:v>
                </c:pt>
                <c:pt idx="3">
                  <c:v>Transacciones precedentes (EV/EBITDA) (251,16 – 307,47)</c:v>
                </c:pt>
                <c:pt idx="4">
                  <c:v>DCF (WACC y g ± 0,5) (270,81 – 381,71)</c:v>
                </c:pt>
                <c:pt idx="5">
                  <c:v>Escenarios (bajista – alcista) (227,23 – 376,08)</c:v>
                </c:pt>
                <c:pt idx="6">
                  <c:v>DCF con la prima implícita del mercado (4,2 %)</c:v>
                </c:pt>
                <c:pt idx="7">
                  <c:v>Precio actual (473,37)</c:v>
                </c:pt>
              </c:strCache>
            </c:strRef>
          </c:cat>
          <c:val>
            <c:numRef>
              <c:f>Hoja1!$B$2:$B$9</c:f>
              <c:numCache>
                <c:formatCode>#,##0</c:formatCode>
                <c:ptCount val="8"/>
                <c:pt idx="0">
                  <c:v>403.82</c:v>
                </c:pt>
                <c:pt idx="1">
                  <c:v>502</c:v>
                </c:pt>
                <c:pt idx="2">
                  <c:v>589.09</c:v>
                </c:pt>
                <c:pt idx="3">
                  <c:v>251.16</c:v>
                </c:pt>
                <c:pt idx="4">
                  <c:v>270.81</c:v>
                </c:pt>
                <c:pt idx="5">
                  <c:v>227.23</c:v>
                </c:pt>
                <c:pt idx="6">
                  <c:v>357.54</c:v>
                </c:pt>
                <c:pt idx="7">
                  <c:v>471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(403,82 – 565,50)</c:v>
                </c:pt>
                <c:pt idx="1">
                  <c:v>Precio objetivo de los analistas (502,00 – 630,00)</c:v>
                </c:pt>
                <c:pt idx="2">
                  <c:v>Comparables: PER NTM (589,09 – 650,24)</c:v>
                </c:pt>
                <c:pt idx="3">
                  <c:v>Transacciones precedentes (EV/EBITDA) (251,16 – 307,47)</c:v>
                </c:pt>
                <c:pt idx="4">
                  <c:v>DCF (WACC y g ± 0,5) (270,81 – 381,71)</c:v>
                </c:pt>
                <c:pt idx="5">
                  <c:v>Escenarios (bajista – alcista) (227,23 – 376,08)</c:v>
                </c:pt>
                <c:pt idx="6">
                  <c:v>DCF con la prima implícita del mercado (4,2 %)</c:v>
                </c:pt>
                <c:pt idx="7">
                  <c:v>Precio actual (473,37)</c:v>
                </c:pt>
              </c:strCache>
            </c:strRef>
          </c:cat>
          <c:val>
            <c:numRef>
              <c:f>Hoja1!$C$2:$C$9</c:f>
              <c:numCache>
                <c:formatCode>#,##0</c:formatCode>
                <c:ptCount val="8"/>
                <c:pt idx="0">
                  <c:v>161.68</c:v>
                </c:pt>
                <c:pt idx="1">
                  <c:v>128</c:v>
                </c:pt>
                <c:pt idx="2">
                  <c:v>61.14999999999998</c:v>
                </c:pt>
                <c:pt idx="3">
                  <c:v>56.31000000000003</c:v>
                </c:pt>
                <c:pt idx="4">
                  <c:v>110.89999999999998</c:v>
                </c:pt>
                <c:pt idx="5">
                  <c:v>148.85</c:v>
                </c:pt>
                <c:pt idx="6">
                  <c:v>92.71999999999997</c:v>
                </c:pt>
                <c:pt idx="7">
                  <c:v>4.740000000000009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Utility Solutions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2334.4</c:v>
                </c:pt>
                <c:pt idx="1">
                  <c:v>2871.1</c:v>
                </c:pt>
                <c:pt idx="2">
                  <c:v>3261.7</c:v>
                </c:pt>
                <c:pt idx="3">
                  <c:v>3600.7</c:v>
                </c:pt>
                <c:pt idx="4">
                  <c:v>3672.3</c:v>
                </c:pt>
              </c:numCache>
            </c:numRef>
          </c:val>
        </c:ser>
        <c:ser>
          <c:idx val="1"/>
          <c:order val="1"/>
          <c:tx>
            <c:strRef>
              <c:f>Hoja1!$C$1</c:f>
              <c:strCache>
                <c:ptCount val="1"/>
                <c:pt idx="0">
                  <c:v>Electrical Solutions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1859.7</c:v>
                </c:pt>
                <c:pt idx="1">
                  <c:v>2076.8</c:v>
                </c:pt>
                <c:pt idx="2">
                  <c:v>2111.2</c:v>
                </c:pt>
                <c:pt idx="3">
                  <c:v>2027.8</c:v>
                </c:pt>
                <c:pt idx="4">
                  <c:v>2172.3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Utility Solutions</c:v>
                </c:pt>
                <c:pt idx="1">
                  <c:v>Electrical Solutions</c:v>
                </c:pt>
              </c:strCache>
            </c:strRef>
          </c:cat>
          <c:val>
            <c:numRef>
              <c:f>Hoja1!$B$2:$B$3</c:f>
              <c:numCache>
                <c:formatCode>General</c:formatCode>
                <c:ptCount val="2"/>
                <c:pt idx="0">
                  <c:v>62.8</c:v>
                </c:pt>
                <c:pt idx="1">
                  <c:v>37.2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Internacional (Canadá, Reino Unido, Brasil y otros)</c:v>
                </c:pt>
              </c:strCache>
            </c:strRef>
          </c:cat>
          <c:val>
            <c:numRef>
              <c:f>Hoja1!$B$2:$B$3</c:f>
              <c:numCache>
                <c:formatCode>0"%"</c:formatCode>
                <c:ptCount val="2"/>
                <c:pt idx="0">
                  <c:v>92.6</c:v>
                </c:pt>
                <c:pt idx="1">
                  <c:v>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(inversión de las eléctricas privadas de EE. UU.))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c:formatCode>
                <c:ptCount val="2"/>
                <c:pt idx="0">
                  <c:v>178000</c:v>
                </c:pt>
                <c:pt idx="1">
                  <c:v>208000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Hubbell</c:v>
                </c:pt>
                <c:pt idx="1">
                  <c:v>Eaton</c:v>
                </c:pt>
                <c:pt idx="2">
                  <c:v>Schneider Electric</c:v>
                </c:pt>
                <c:pt idx="3">
                  <c:v>ABB (Electrification)</c:v>
                </c:pt>
                <c:pt idx="4">
                  <c:v>Legrand</c:v>
                </c:pt>
                <c:pt idx="5">
                  <c:v>nVent Electric</c:v>
                </c:pt>
                <c:pt idx="6">
                  <c:v>MacLean Power Systems</c:v>
                </c:pt>
              </c:strCache>
            </c:strRef>
          </c:cat>
          <c:val>
            <c:numRef>
              <c:f>Hoja1!$B$2:$B$8</c:f>
              <c:numCache>
                <c:formatCode>0.0"%"</c:formatCode>
                <c:ptCount val="7"/>
                <c:pt idx="0">
                  <c:v>20.7</c:v>
                </c:pt>
                <c:pt idx="1">
                  <c:v>16.6</c:v>
                </c:pt>
                <c:pt idx="2">
                  <c:v>18.2</c:v>
                </c:pt>
                <c:pt idx="3">
                  <c:v>23.5</c:v>
                </c:pt>
                <c:pt idx="4">
                  <c:v>19</c:v>
                </c:pt>
                <c:pt idx="5">
                  <c:v>15.8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Hoja1!$B$2:$B$16</c:f>
              <c:numCache>
                <c:formatCode>#,##0</c:formatCode>
                <c:ptCount val="15"/>
                <c:pt idx="0">
                  <c:v>3946.6</c:v>
                </c:pt>
                <c:pt idx="1">
                  <c:v>3682.5</c:v>
                </c:pt>
                <c:pt idx="2">
                  <c:v>4194.1</c:v>
                </c:pt>
                <c:pt idx="3">
                  <c:v>4947.9</c:v>
                </c:pt>
                <c:pt idx="4">
                  <c:v>5372.9</c:v>
                </c:pt>
                <c:pt idx="5">
                  <c:v>5628.5</c:v>
                </c:pt>
                <c:pt idx="6">
                  <c:v>5844.6</c:v>
                </c:pt>
                <c:pt idx="7">
                  <c:v>6850</c:v>
                </c:pt>
                <c:pt idx="8">
                  <c:v>7535</c:v>
                </c:pt>
                <c:pt idx="9">
                  <c:v>8100</c:v>
                </c:pt>
                <c:pt idx="10">
                  <c:v>8667</c:v>
                </c:pt>
                <c:pt idx="11">
                  <c:v>9230</c:v>
                </c:pt>
                <c:pt idx="12">
                  <c:v>9738</c:v>
                </c:pt>
                <c:pt idx="13">
                  <c:v>10176</c:v>
                </c:pt>
                <c:pt idx="14">
                  <c:v>10532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Hoja1!$C$2:$C$16</c:f>
              <c:numCache>
                <c:formatCode>#,##0</c:formatCode>
                <c:ptCount val="15"/>
                <c:pt idx="0">
                  <c:v>664.6</c:v>
                </c:pt>
                <c:pt idx="1">
                  <c:v>639</c:v>
                </c:pt>
                <c:pt idx="2">
                  <c:v>681.4</c:v>
                </c:pt>
                <c:pt idx="3">
                  <c:v>857.6</c:v>
                </c:pt>
                <c:pt idx="4">
                  <c:v>1177.1</c:v>
                </c:pt>
                <c:pt idx="5">
                  <c:v>1305.2</c:v>
                </c:pt>
                <c:pt idx="6">
                  <c:v>1414.9</c:v>
                </c:pt>
                <c:pt idx="7">
                  <c:v>1658</c:v>
                </c:pt>
                <c:pt idx="8">
                  <c:v>1884</c:v>
                </c:pt>
                <c:pt idx="9">
                  <c:v>2049</c:v>
                </c:pt>
                <c:pt idx="10">
                  <c:v>2193</c:v>
                </c:pt>
                <c:pt idx="11">
                  <c:v>2335</c:v>
                </c:pt>
                <c:pt idx="12">
                  <c:v>2464</c:v>
                </c:pt>
                <c:pt idx="13">
                  <c:v>2575</c:v>
                </c:pt>
                <c:pt idx="14">
                  <c:v>2665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29.7</c:v>
                </c:pt>
                <c:pt idx="1">
                  <c:v>29.5</c:v>
                </c:pt>
                <c:pt idx="2">
                  <c:v>27.5</c:v>
                </c:pt>
                <c:pt idx="3">
                  <c:v>29.7</c:v>
                </c:pt>
                <c:pt idx="4">
                  <c:v>34.9</c:v>
                </c:pt>
                <c:pt idx="5">
                  <c:v>33.9</c:v>
                </c:pt>
                <c:pt idx="6">
                  <c:v>35.3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16.8</c:v>
                </c:pt>
                <c:pt idx="1">
                  <c:v>17.4</c:v>
                </c:pt>
                <c:pt idx="2">
                  <c:v>16.2</c:v>
                </c:pt>
                <c:pt idx="3">
                  <c:v>17.3</c:v>
                </c:pt>
                <c:pt idx="4">
                  <c:v>21.9</c:v>
                </c:pt>
                <c:pt idx="5">
                  <c:v>23.2</c:v>
                </c:pt>
                <c:pt idx="6">
                  <c:v>24.2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13.3</c:v>
                </c:pt>
                <c:pt idx="1">
                  <c:v>13.4</c:v>
                </c:pt>
                <c:pt idx="2">
                  <c:v>12.7</c:v>
                </c:pt>
                <c:pt idx="3">
                  <c:v>14.3</c:v>
                </c:pt>
                <c:pt idx="4">
                  <c:v>19.1</c:v>
                </c:pt>
                <c:pt idx="5">
                  <c:v>19.4</c:v>
                </c:pt>
                <c:pt idx="6">
                  <c:v>20.7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9.2</c:v>
                </c:pt>
                <c:pt idx="1">
                  <c:v>9</c:v>
                </c:pt>
                <c:pt idx="2">
                  <c:v>8.7</c:v>
                </c:pt>
                <c:pt idx="3">
                  <c:v>10.3</c:v>
                </c:pt>
                <c:pt idx="4">
                  <c:v>14</c:v>
                </c:pt>
                <c:pt idx="5">
                  <c:v>13.8</c:v>
                </c:pt>
                <c:pt idx="6">
                  <c:v>15.2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-2.4</c:v>
                </c:pt>
                <c:pt idx="3">
                  <c:v>2.2</c:v>
                </c:pt>
                <c:pt idx="4">
                  <c:v>4.1</c:v>
                </c:pt>
                <c:pt idx="5">
                  <c:v>11.9</c:v>
                </c:pt>
                <c:pt idx="6">
                  <c:v>11.1</c:v>
                </c:pt>
                <c:pt idx="7">
                  <c:v>15.3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c:v>
                </c:pt>
                <c:pt idx="1">
                  <c:v>-3</c:v>
                </c:pt>
                <c:pt idx="2">
                  <c:v>-0.6</c:v>
                </c:pt>
                <c:pt idx="3">
                  <c:v>2</c:v>
                </c:pt>
                <c:pt idx="4">
                  <c:v>3.2</c:v>
                </c:pt>
                <c:pt idx="5">
                  <c:v>8.9</c:v>
                </c:pt>
                <c:pt idx="6">
                  <c:v>8.2</c:v>
                </c:pt>
                <c:pt idx="7">
                  <c:v>10.2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63</c:v>
                </c:pt>
                <c:pt idx="1">
                  <c:v>55</c:v>
                </c:pt>
                <c:pt idx="2">
                  <c:v>59</c:v>
                </c:pt>
                <c:pt idx="3">
                  <c:v>55</c:v>
                </c:pt>
                <c:pt idx="4">
                  <c:v>53</c:v>
                </c:pt>
                <c:pt idx="5">
                  <c:v>49</c:v>
                </c:pt>
                <c:pt idx="6">
                  <c:v>54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83</c:v>
                </c:pt>
                <c:pt idx="1">
                  <c:v>74</c:v>
                </c:pt>
                <c:pt idx="2">
                  <c:v>79</c:v>
                </c:pt>
                <c:pt idx="3">
                  <c:v>78</c:v>
                </c:pt>
                <c:pt idx="4">
                  <c:v>87</c:v>
                </c:pt>
                <c:pt idx="5">
                  <c:v>99</c:v>
                </c:pt>
                <c:pt idx="6">
                  <c:v>105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46</c:v>
                </c:pt>
                <c:pt idx="1">
                  <c:v>48</c:v>
                </c:pt>
                <c:pt idx="2">
                  <c:v>64</c:v>
                </c:pt>
                <c:pt idx="3">
                  <c:v>56</c:v>
                </c:pt>
                <c:pt idx="4">
                  <c:v>59</c:v>
                </c:pt>
                <c:pt idx="5">
                  <c:v>53</c:v>
                </c:pt>
                <c:pt idx="6">
                  <c:v>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430.09999999999997</c:v>
                </c:pt>
                <c:pt idx="1">
                  <c:v>520.1</c:v>
                </c:pt>
                <c:pt idx="2">
                  <c:v>423.50000000000006</c:v>
                </c:pt>
                <c:pt idx="3">
                  <c:v>506.90000000000003</c:v>
                </c:pt>
                <c:pt idx="4">
                  <c:v>715.0999999999999</c:v>
                </c:pt>
                <c:pt idx="5">
                  <c:v>810.8000000000001</c:v>
                </c:pt>
                <c:pt idx="6">
                  <c:v>874.6999999999999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361.5</c:v>
                </c:pt>
                <c:pt idx="1">
                  <c:v>330</c:v>
                </c:pt>
                <c:pt idx="2">
                  <c:v>365</c:v>
                </c:pt>
                <c:pt idx="3">
                  <c:v>511.3</c:v>
                </c:pt>
                <c:pt idx="4">
                  <c:v>751.4</c:v>
                </c:pt>
                <c:pt idx="5">
                  <c:v>779</c:v>
                </c:pt>
                <c:pt idx="6">
                  <c:v>887.1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12.3</c:v>
                </c:pt>
                <c:pt idx="1">
                  <c:v>11.5</c:v>
                </c:pt>
                <c:pt idx="2">
                  <c:v>12.6</c:v>
                </c:pt>
                <c:pt idx="3">
                  <c:v>16.5</c:v>
                </c:pt>
                <c:pt idx="4">
                  <c:v>19.9</c:v>
                </c:pt>
                <c:pt idx="5">
                  <c:v>18.2</c:v>
                </c:pt>
                <c:pt idx="6">
                  <c:v>18.6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9.5</c:v>
                </c:pt>
                <c:pt idx="1">
                  <c:v>9.5</c:v>
                </c:pt>
                <c:pt idx="2">
                  <c:v>9.5</c:v>
                </c:pt>
                <c:pt idx="3">
                  <c:v>9.5</c:v>
                </c:pt>
                <c:pt idx="4">
                  <c:v>9.5</c:v>
                </c:pt>
                <c:pt idx="5">
                  <c:v>9.5</c:v>
                </c:pt>
                <c:pt idx="6">
                  <c:v>9.5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18.6</c:v>
                </c:pt>
                <c:pt idx="1">
                  <c:v>16.4</c:v>
                </c:pt>
                <c:pt idx="2">
                  <c:v>17</c:v>
                </c:pt>
                <c:pt idx="3">
                  <c:v>22.3</c:v>
                </c:pt>
                <c:pt idx="4">
                  <c:v>28.7</c:v>
                </c:pt>
                <c:pt idx="5">
                  <c:v>24.8</c:v>
                </c:pt>
                <c:pt idx="6">
                  <c:v>24.5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2.09</c:v>
                </c:pt>
                <c:pt idx="1">
                  <c:v>2.08</c:v>
                </c:pt>
                <c:pt idx="2">
                  <c:v>1.7</c:v>
                </c:pt>
                <c:pt idx="3">
                  <c:v>1.17</c:v>
                </c:pt>
                <c:pt idx="4">
                  <c:v>1.53</c:v>
                </c:pt>
                <c:pt idx="5">
                  <c:v>0.95</c:v>
                </c:pt>
                <c:pt idx="6">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2031</c:v>
                </c:pt>
                <c:pt idx="5">
                  <c:v>2033+</c:v>
                </c:pt>
              </c:strCache>
            </c:strRef>
          </c:cat>
          <c:val>
            <c:numRef>
              <c:f>Hoja1!$B$2:$B$7</c:f>
              <c:numCache>
                <c:formatCode>#,##0</c:formatCode>
                <c:ptCount val="6"/>
                <c:pt idx="0">
                  <c:v>568.7</c:v>
                </c:pt>
                <c:pt idx="1">
                  <c:v>300</c:v>
                </c:pt>
                <c:pt idx="2">
                  <c:v>1050</c:v>
                </c:pt>
                <c:pt idx="3">
                  <c:v>900</c:v>
                </c:pt>
                <c:pt idx="4">
                  <c:v>800</c:v>
                </c:pt>
                <c:pt idx="5">
                  <c:v>1800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70.8</c:v>
                </c:pt>
                <c:pt idx="1">
                  <c:v>239.6</c:v>
                </c:pt>
                <c:pt idx="2">
                  <c:v>0</c:v>
                </c:pt>
                <c:pt idx="3">
                  <c:v>177.1</c:v>
                </c:pt>
                <c:pt idx="4">
                  <c:v>1211.7</c:v>
                </c:pt>
                <c:pt idx="5">
                  <c:v>0</c:v>
                </c:pt>
                <c:pt idx="6">
                  <c:v>958.3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186.6</c:v>
                </c:pt>
                <c:pt idx="1">
                  <c:v>201.4</c:v>
                </c:pt>
                <c:pt idx="2">
                  <c:v>216.9</c:v>
                </c:pt>
                <c:pt idx="3">
                  <c:v>229.6</c:v>
                </c:pt>
                <c:pt idx="4">
                  <c:v>245.5</c:v>
                </c:pt>
                <c:pt idx="5">
                  <c:v>267.3</c:v>
                </c:pt>
                <c:pt idx="6">
                  <c:v>286.6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35</c:v>
                </c:pt>
                <c:pt idx="1">
                  <c:v>41.3</c:v>
                </c:pt>
                <c:pt idx="2">
                  <c:v>11.2</c:v>
                </c:pt>
                <c:pt idx="3">
                  <c:v>182</c:v>
                </c:pt>
                <c:pt idx="4">
                  <c:v>30</c:v>
                </c:pt>
                <c:pt idx="5">
                  <c:v>40</c:v>
                </c:pt>
                <c:pt idx="6">
                  <c:v>225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The Vanguard Group</c:v>
                </c:pt>
                <c:pt idx="1">
                  <c:v>BlackRock</c:v>
                </c:pt>
              </c:strCache>
            </c:strRef>
          </c:cat>
          <c:val>
            <c:numRef>
              <c:f>Hoja1!$B$2:$B$3</c:f>
              <c:numCache>
                <c:formatCode>0.0"%"</c:formatCode>
                <c:ptCount val="2"/>
                <c:pt idx="0">
                  <c:v>12.6</c:v>
                </c:pt>
                <c:pt idx="1">
                  <c:v>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18.4</c:v>
                </c:pt>
                <c:pt idx="1">
                  <c:v>18.8</c:v>
                </c:pt>
                <c:pt idx="2">
                  <c:v>-24.6</c:v>
                </c:pt>
                <c:pt idx="3">
                  <c:v>52.9</c:v>
                </c:pt>
                <c:pt idx="4">
                  <c:v>8.9</c:v>
                </c:pt>
                <c:pt idx="5">
                  <c:v>35.6</c:v>
                </c:pt>
                <c:pt idx="6">
                  <c:v>15.1</c:v>
                </c:pt>
                <c:pt idx="7">
                  <c:v>42.4</c:v>
                </c:pt>
                <c:pt idx="8">
                  <c:v>28.9</c:v>
                </c:pt>
                <c:pt idx="9">
                  <c:v>7.4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14.3</c:v>
                </c:pt>
                <c:pt idx="1">
                  <c:v>15.5</c:v>
                </c:pt>
                <c:pt idx="2">
                  <c:v>18.4</c:v>
                </c:pt>
                <c:pt idx="3">
                  <c:v>16</c:v>
                </c:pt>
                <c:pt idx="4">
                  <c:v>16.6</c:v>
                </c:pt>
                <c:pt idx="5">
                  <c:v>18.3</c:v>
                </c:pt>
                <c:pt idx="6">
                  <c:v>18.1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16.6</c:v>
                </c:pt>
                <c:pt idx="1">
                  <c:v>16.6</c:v>
                </c:pt>
                <c:pt idx="2">
                  <c:v>16.6</c:v>
                </c:pt>
                <c:pt idx="3">
                  <c:v>16.6</c:v>
                </c:pt>
                <c:pt idx="4">
                  <c:v>16.6</c:v>
                </c:pt>
                <c:pt idx="5">
                  <c:v>16.6</c:v>
                </c:pt>
                <c:pt idx="6">
                  <c:v>16.6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Hubbell</c:v>
                </c:pt>
                <c:pt idx="1">
                  <c:v>Schneider Electric</c:v>
                </c:pt>
                <c:pt idx="2">
                  <c:v>ABB</c:v>
                </c:pt>
                <c:pt idx="3">
                  <c:v>nVent Electric</c:v>
                </c:pt>
                <c:pt idx="4">
                  <c:v>Trane Technologies</c:v>
                </c:pt>
                <c:pt idx="5">
                  <c:v>Johnson Controls</c:v>
                </c:pt>
                <c:pt idx="6">
                  <c:v>Eaton</c:v>
                </c:pt>
              </c:strCache>
            </c:strRef>
          </c:cat>
          <c:val>
            <c:numRef>
              <c:f>Hoja1!$B$2:$B$8</c:f>
              <c:numCache>
                <c:formatCode>0.0"x"</c:formatCode>
                <c:ptCount val="7"/>
                <c:pt idx="1">
                  <c:v>15.1</c:v>
                </c:pt>
                <c:pt idx="2">
                  <c:v>19.5</c:v>
                </c:pt>
                <c:pt idx="3">
                  <c:v>18.9</c:v>
                </c:pt>
                <c:pt idx="4">
                  <c:v>20.3</c:v>
                </c:pt>
                <c:pt idx="5">
                  <c:v>18.6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Schneider Electric</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14</c:v>
                </c:pt>
              </c:numCache>
            </c:numRef>
          </c:xVal>
          <c:yVal>
            <c:numRef>
              <c:f>Hoja1!$C$2</c:f>
              <c:numCache>
                <c:formatCode>0.0"x"</c:formatCode>
                <c:ptCount val="1"/>
                <c:pt idx="0">
                  <c:v>15.1</c:v>
                </c:pt>
              </c:numCache>
            </c:numRef>
          </c:yVal>
          <c:smooth val="0"/>
        </c:ser>
        <c:ser>
          <c:idx val="1"/>
          <c:order val="1"/>
          <c:tx>
            <c:strRef>
              <c:f>Hoja1!$A$3</c:f>
              <c:strCache>
                <c:ptCount val="1"/>
                <c:pt idx="0">
                  <c:v>ABB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16</c:v>
                </c:pt>
              </c:numCache>
            </c:numRef>
          </c:xVal>
          <c:yVal>
            <c:numRef>
              <c:f>Hoja1!$C$3</c:f>
              <c:numCache>
                <c:formatCode>0.0"x"</c:formatCode>
                <c:ptCount val="1"/>
                <c:pt idx="0">
                  <c:v>19.5</c:v>
                </c:pt>
              </c:numCache>
            </c:numRef>
          </c:yVal>
          <c:smooth val="0"/>
        </c:ser>
        <c:ser>
          <c:idx val="2"/>
          <c:order val="2"/>
          <c:tx>
            <c:strRef>
              <c:f>Hoja1!$A$4</c:f>
              <c:strCache>
                <c:ptCount val="1"/>
                <c:pt idx="0">
                  <c:v>nVent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33.6</c:v>
                </c:pt>
              </c:numCache>
            </c:numRef>
          </c:xVal>
          <c:yVal>
            <c:numRef>
              <c:f>Hoja1!$C$4</c:f>
              <c:numCache>
                <c:formatCode>0.0"x"</c:formatCode>
                <c:ptCount val="1"/>
                <c:pt idx="0">
                  <c:v>18.9</c:v>
                </c:pt>
              </c:numCache>
            </c:numRef>
          </c:yVal>
          <c:smooth val="0"/>
        </c:ser>
        <c:ser>
          <c:idx val="3"/>
          <c:order val="3"/>
          <c:tx>
            <c:strRef>
              <c:f>Hoja1!$A$5</c:f>
              <c:strCache>
                <c:ptCount val="1"/>
                <c:pt idx="0">
                  <c:v>Trane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12.9</c:v>
                </c:pt>
              </c:numCache>
            </c:numRef>
          </c:xVal>
          <c:yVal>
            <c:numRef>
              <c:f>Hoja1!$C$5</c:f>
              <c:numCache>
                <c:formatCode>0.0"x"</c:formatCode>
                <c:ptCount val="1"/>
                <c:pt idx="0">
                  <c:v>20.3</c:v>
                </c:pt>
              </c:numCache>
            </c:numRef>
          </c:yVal>
          <c:smooth val="0"/>
        </c:ser>
        <c:ser>
          <c:idx val="4"/>
          <c:order val="4"/>
          <c:tx>
            <c:strRef>
              <c:f>Hoja1!$A$6</c:f>
              <c:strCache>
                <c:ptCount val="1"/>
                <c:pt idx="0">
                  <c:v>Johnson Controls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10.2</c:v>
                </c:pt>
              </c:numCache>
            </c:numRef>
          </c:xVal>
          <c:yVal>
            <c:numRef>
              <c:f>Hoja1!$C$6</c:f>
              <c:numCache>
                <c:formatCode>0.0"x"</c:formatCode>
                <c:ptCount val="1"/>
                <c:pt idx="0">
                  <c:v>18.6</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NSI Industries (racores, conectores, temporizadores)</c:v>
                </c:pt>
                <c:pt idx="1">
                  <c:v>Boyd Thermal (refrigeración líquida)</c:v>
                </c:pt>
                <c:pt idx="2">
                  <c:v>Fibrebond (salas eléctricas modulares)</c:v>
                </c:pt>
                <c:pt idx="3">
                  <c:v>Electrical Products Group (Avail)</c:v>
                </c:pt>
                <c:pt idx="4">
                  <c:v>Trachte (salas de control)</c:v>
                </c:pt>
                <c:pt idx="5">
                  <c:v>PurgeRite (servicios de refrigeración líquida)</c:v>
                </c:pt>
                <c:pt idx="6">
                  <c:v>UtilityInnovation Group</c:v>
                </c:pt>
              </c:strCache>
            </c:strRef>
          </c:cat>
          <c:val>
            <c:numRef>
              <c:f>Hoja1!$B$2:$B$8</c:f>
              <c:numCache>
                <c:formatCode>0.0"x"</c:formatCode>
                <c:ptCount val="7"/>
                <c:pt idx="0">
                  <c:v>15.5</c:v>
                </c:pt>
                <c:pt idx="1">
                  <c:v>22.5</c:v>
                </c:pt>
                <c:pt idx="2">
                  <c:v>12.7</c:v>
                </c:pt>
                <c:pt idx="3">
                  <c:v>12.5</c:v>
                </c:pt>
                <c:pt idx="4">
                  <c:v>12</c:v>
                </c:pt>
                <c:pt idx="5">
                  <c:v>10</c:v>
                </c:pt>
                <c:pt idx="6">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857</c:v>
                </c:pt>
                <c:pt idx="1">
                  <c:v>1169</c:v>
                </c:pt>
                <c:pt idx="2">
                  <c:v>1305</c:v>
                </c:pt>
                <c:pt idx="3">
                  <c:v>1392</c:v>
                </c:pt>
                <c:pt idx="4">
                  <c:v>1488</c:v>
                </c:pt>
                <c:pt idx="5">
                  <c:v>1576</c:v>
                </c:pt>
                <c:pt idx="6">
                  <c:v>1656</c:v>
                </c:pt>
                <c:pt idx="7">
                  <c:v>1734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7500</c:v>
                </c:pt>
                <c:pt idx="1">
                  <c:v>14327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473,37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227.23</c:v>
                </c:pt>
                <c:pt idx="1">
                  <c:v>317.82</c:v>
                </c:pt>
                <c:pt idx="2">
                  <c:v>376.08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473,37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(403,82 – 565,50)</c:v>
                </c:pt>
                <c:pt idx="1">
                  <c:v>Precio objetivo de los analistas (502,00 – 630,00)</c:v>
                </c:pt>
                <c:pt idx="2">
                  <c:v>Comparables: PER NTM (589,09 – 650,24)</c:v>
                </c:pt>
                <c:pt idx="3">
                  <c:v>Transacciones precedentes (EV/EBITDA) (251,16 – 307,47)</c:v>
                </c:pt>
                <c:pt idx="4">
                  <c:v>DCF (WACC y g ± 0,5) (270,81 – 381,71)</c:v>
                </c:pt>
                <c:pt idx="5">
                  <c:v>Escenarios (bajista – alcista) (227,23 – 376,08)</c:v>
                </c:pt>
                <c:pt idx="6">
                  <c:v>DCF con la prima implícita del mercado (4,2 %)</c:v>
                </c:pt>
                <c:pt idx="7">
                  <c:v>Precio actual (473,37)</c:v>
                </c:pt>
              </c:strCache>
            </c:strRef>
          </c:cat>
          <c:val>
            <c:numRef>
              <c:f>Hoja1!$B$2:$B$9</c:f>
              <c:numCache>
                <c:formatCode>#,##0</c:formatCode>
                <c:ptCount val="8"/>
                <c:pt idx="0">
                  <c:v>403.82</c:v>
                </c:pt>
                <c:pt idx="1">
                  <c:v>502</c:v>
                </c:pt>
                <c:pt idx="2">
                  <c:v>589.09</c:v>
                </c:pt>
                <c:pt idx="3">
                  <c:v>251.16</c:v>
                </c:pt>
                <c:pt idx="4">
                  <c:v>270.81</c:v>
                </c:pt>
                <c:pt idx="5">
                  <c:v>227.23</c:v>
                </c:pt>
                <c:pt idx="6">
                  <c:v>357.54</c:v>
                </c:pt>
                <c:pt idx="7">
                  <c:v>471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(403,82 – 565,50)</c:v>
                </c:pt>
                <c:pt idx="1">
                  <c:v>Precio objetivo de los analistas (502,00 – 630,00)</c:v>
                </c:pt>
                <c:pt idx="2">
                  <c:v>Comparables: PER NTM (589,09 – 650,24)</c:v>
                </c:pt>
                <c:pt idx="3">
                  <c:v>Transacciones precedentes (EV/EBITDA) (251,16 – 307,47)</c:v>
                </c:pt>
                <c:pt idx="4">
                  <c:v>DCF (WACC y g ± 0,5) (270,81 – 381,71)</c:v>
                </c:pt>
                <c:pt idx="5">
                  <c:v>Escenarios (bajista – alcista) (227,23 – 376,08)</c:v>
                </c:pt>
                <c:pt idx="6">
                  <c:v>DCF con la prima implícita del mercado (4,2 %)</c:v>
                </c:pt>
                <c:pt idx="7">
                  <c:v>Precio actual (473,37)</c:v>
                </c:pt>
              </c:strCache>
            </c:strRef>
          </c:cat>
          <c:val>
            <c:numRef>
              <c:f>Hoja1!$C$2:$C$9</c:f>
              <c:numCache>
                <c:formatCode>#,##0</c:formatCode>
                <c:ptCount val="8"/>
                <c:pt idx="0">
                  <c:v>161.68</c:v>
                </c:pt>
                <c:pt idx="1">
                  <c:v>128</c:v>
                </c:pt>
                <c:pt idx="2">
                  <c:v>61.14999999999998</c:v>
                </c:pt>
                <c:pt idx="3">
                  <c:v>56.31000000000003</c:v>
                </c:pt>
                <c:pt idx="4">
                  <c:v>110.89999999999998</c:v>
                </c:pt>
                <c:pt idx="5">
                  <c:v>148.85</c:v>
                </c:pt>
                <c:pt idx="6">
                  <c:v>92.71999999999997</c:v>
                </c:pt>
                <c:pt idx="7">
                  <c:v>4.740000000000009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