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Johnson Controls International plc</w:t>
      </w:r>
    </w:p>
    <w:p>
      <w:pPr>
        <w:spacing w:after="60"/>
        <w:rPr>
          <w:color w:val="52514E"/>
          <w:sz w:val="22"/>
          <w:szCs w:val="22"/>
        </w:rPr>
      </w:pPr>
      <w:r>
        <w:rPr>
          <w:color w:val="52514E"/>
          <w:sz w:val="22"/>
          <w:szCs w:val="22"/>
        </w:rPr>
        <w:t xml:space="preserve">JCI · New York Stock Exchange · ISIN IE00BY7QL619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152,44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139,82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-7,2 % (base +2,3 %)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87,35 USD · mercado 102,45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92.339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Johnson Controls International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JCI / IE00BY7QL619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(climatización, control de edificios, incendios y seguridad)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Cork (Irlanda) · 1885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https://www.johnsoncontrols.com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152,44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107,77 – 160,41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92.339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101.348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478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139,82 USD</w:t>
      </w:r>
      <w:r>
        <w:t xml:space="preserve"> frente a 152,44 · Rentabilidad a 12 meses </w:t>
      </w:r>
      <w:r>
        <w:rPr>
          <w:b/>
          <w:bCs/>
        </w:rPr>
        <w:t xml:space="preserve">-7,2 % (base +2,3 %)</w:t>
      </w:r>
      <w:r>
        <w:t xml:space="preserve"> · Valor intrínseco 87,35 USD · con la prima implícita del mercado: 102,45 (-32,8 %) · Alcista / bajista -38,8 % / -66,3 %</w:t>
      </w:r>
    </w:p>
    <w:p>
      <w:pPr>
        <w:spacing w:after="100"/>
      </w:pPr>
      <w:r>
        <w:rPr>
          <w:b/>
        </w:rPr>
        <w:t xml:space="preserve">La recomendación y por qué.</w:t>
      </w:r>
      <w:r>
        <w:t xml:space="preserve"> Mantener, con convicción media. El objetivo a 12 meses es de 139,82 USD (rentabilidad ponderada del −7,2 % y del 2,3 % en el base, con dividendo), por debajo del precio de 152,44 USD (cierre del 14-oct) y del objetivo medio de 20 analistas (167,75). El valor intrínseco es de 87,35 USD, un 42,7 % por debajo del precio. La regla no da Comprar por tres filtros a la vez: la rentabilidad a 12 meses no llega al 15 %, el valor intrínseco queda muy lejos y la calidad no pasa (ROIC − WACC negativo). Tampoco pasaría el filtro de mantener en cartera. La convicción es media porque las dos reglas (absoluta y relativa) coinciden y estamos lejos de los umbrales; subiría si la acción cayera hacia el valor intrínseco con la calidad mejorando, y bajaría si la guía de 2027 del 27-oct confirmara un crecimiento de dos dígitos sostenido.</w:t>
      </w:r>
    </w:p>
    <w:p>
      <w:pPr>
        <w:spacing w:after="100"/>
      </w:pPr>
      <w:r>
        <w:rPr>
          <w:b/>
        </w:rPr>
        <w:t xml:space="preserve">El negocio.</w:t>
      </w:r>
      <w:r>
        <w:t xml:space="preserve"> Johnson Controls fabrica, instala y mantiene la climatización y la seguridad de edificios grandes: enfriadoras York, unidades de aire Silent-Aire para centros de datos, controles Metasys e incendios y seguridad Tyco [1]. Crece al 10 % orgánico con una cartera récord de 21.000 M (+32 %) y los centros de datos ya son casi una quinta parte de las ventas, con el objetivo de llegar a un tercio en 3-5 años [3, 8]. Pero su ROIC es del 8,2 % frente a un WACC del 10,85 %, por el fondo de comercio de Tyco: es un buen negocio comprado caro. La calidad sí sostiene el crecimiento que proyectamos (sostenibilidad Sí): un 5,7 % anual, respaldado por la cartera y sin necesidad de capital.</w:t>
      </w:r>
    </w:p>
    <w:p>
      <w:pPr>
        <w:spacing w:after="100"/>
      </w:pPr>
      <w:r>
        <w:rPr>
          <w:b/>
        </w:rPr>
        <w:t xml:space="preserve">Finanzas y equipo.</w:t>
      </w:r>
      <w:r>
        <w:t xml:space="preserve"> El nuevo consejero delegado, Joakim Weidemanis (ex-Danaher), ha subido tres veces la guía de 2026, hasta un BPA ajustado de ≈5,05 USD (+34 %) [3]. Usamos ese BPA, el del consenso y el de la historia; el contable es un 20-30 % menor porque la empresa excluye cada año 500-1.000 M de reestructuración [2]. Deuda neta de 8.834 M, 1,9 veces el EBITDA ajustado.</w:t>
      </w:r>
    </w:p>
    <w:p>
      <w:pPr>
        <w:spacing w:after="100"/>
      </w:pPr>
      <w:r>
        <w:rPr>
          <w:b/>
        </w:rPr>
        <w:t xml:space="preserve">Valoración.</w:t>
      </w:r>
      <w:r>
        <w:t xml:space="preserve"> El DCF da 77,65 USD; para justificar el precio, JCI tendría que crecer un 17,6 % anual siete años, tres veces lo que proyectamos. A 25,4 veces nuestro BPA de 2027e cotiza muy por encima de su mediana histórica adelantada (20,6 veces), así que la regla a 12 meses baja el múltiplo a 23,1 veces y deja un recorrido casi nulo.</w:t>
      </w:r>
    </w:p>
    <w:p>
      <w:pPr>
        <w:spacing w:after="100"/>
      </w:pPr>
      <w:r>
        <w:rPr>
          <w:b/>
        </w:rPr>
        <w:t xml:space="preserve">Riesgos y catalizadores.</w:t>
      </w:r>
      <w:r>
        <w:t xml:space="preserve"> El riesgo de IA es medio y sobre todo de demanda: la IA es la que llena la cartera, y la amenaza es que los chips nuevos necesiten menos enfriadoras (Nvidia, enero: −6,2 % en un día) o que el ciclo de inversión de los hiperescaladores se frene. Catalizadores: resultados del 4T26 y guía de 2027 el 27-oct.</w:t>
      </w:r>
    </w:p>
    <w:p>
      <w:pPr>
        <w:spacing w:after="100"/>
      </w:pPr>
      <w:r>
        <w:rPr>
          <w:b/>
        </w:rPr>
        <w:t xml:space="preserve">Qué cambiaría la decisión.</w:t>
      </w:r>
      <w:r>
        <w:t xml:space="preserve"> Compraríamos por debajo de 87,35 USD solo si la calidad mejorara; venderíamos por encima de 157,10. Revisaríamos al alza si la guía de 2027 superara 6,5 USD con pedidos todavía al +20 %; a la baja si los pedidos de Américas bajaran del +5 %.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139,82 USD</w:t>
      </w:r>
      <w:r>
        <w:t xml:space="preserve"> (rentabilidad -7,2 % (base +2,3 %)) · Valor intrínseco: 87,35 USD (-42,7 % sobre 152,44) · con la prima implícita del mercado: 102,45 (-32,8 %)</w:t>
      </w:r>
    </w:p>
    <w:p>
      <w:pPr>
        <w:spacing w:after="100"/>
      </w:pPr>
      <w:r>
        <w:t xml:space="preserve">Johnson Controls fabrica e instala la maquinaria que climatiza y protege edificios grandes: enfriadoras York para naves, hospitales y centros de datos, unidades de aire Silent-Aire, controles Metasys y sistemas de incendios y seguridad Tyco, con un 30 % de ventas de servicio [1, 3]. Tras vender el residencial a Bosch y con un nuevo consejero delegado de Danaher, crece al 10 % orgánico con una cartera récord de 21.000 M (+32 %) por los centros de datos, que ya son casi una quinta parte de las ventas [3, 8].</w:t>
      </w:r>
    </w:p>
    <w:p>
      <w:pPr>
        <w:spacing w:after="100"/>
      </w:pPr>
      <w:r>
        <w:t xml:space="preserve">El precio, 152,44 USD, descuenta mucho: 25,4 veces nuestro BPA ajustado de 2027e y, en el DCF inverso, un crecimiento del 17,6 % anual durante siete años.</w:t>
      </w:r>
    </w:p>
    <w:p>
      <w:pPr>
        <w:spacing w:after="100"/>
      </w:pPr>
      <w:r>
        <w:t xml:space="preserve">El negocio tiene un punto débil que el entusiasmo tapa: el ROIC (8,2 %) no cubre el coste de capital por el fondo de comercio de Tyco. Para invertir hay que creer en un ciclo de centros de datos de diez años; nosotros proyectamos que se normaliza en 2029.</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5,72 = 80,65 · 23,1x × 6,68 = 154,31 · 23,1x × 7,36 = 170,02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167,75 (nuestro base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 / -66,3 %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10,8 %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 frente a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87,35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87,35 y 157,10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157,10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87,35 USD (valor intrínseco): pasaríamos a Comprar solo si además la calidad mejorara (ROIC − WACC ≥ 5).</w:t>
      </w:r>
    </w:p>
    <w:p>
      <w:pPr>
        <w:pStyle w:val="ListParagraph"/>
        <w:numPr>
          <w:ilvl w:val="0"/>
          <w:numId w:val="2"/>
        </w:numPr>
        <w:spacing w:after="60"/>
      </w:pPr>
      <w:r>
        <w:t xml:space="preserve">Precio por encima de 157,10 USD: pasaríamos a Vender.</w:t>
      </w:r>
    </w:p>
    <w:p>
      <w:pPr>
        <w:pStyle w:val="ListParagraph"/>
        <w:numPr>
          <w:ilvl w:val="0"/>
          <w:numId w:val="2"/>
        </w:numPr>
        <w:spacing w:after="60"/>
      </w:pPr>
      <w:r>
        <w:t xml:space="preserve">Guía de BPA ajustado de 2027 por debajo de 5,7 USD el 27-oct: revisión a la baja.</w:t>
      </w:r>
    </w:p>
    <w:p>
      <w:pPr>
        <w:pStyle w:val="ListParagraph"/>
        <w:numPr>
          <w:ilvl w:val="0"/>
          <w:numId w:val="2"/>
        </w:numPr>
        <w:spacing w:after="60"/>
      </w:pPr>
      <w:r>
        <w:t xml:space="preserve">Pedidos orgánicos negativos en Américas dos trimestres seguidos.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JCI será durante muchos años un ganador de la IA, con crecimientos de dos dígitos y márgenes de especialista.</w:t>
      </w:r>
    </w:p>
    <w:p>
      <w:pPr>
        <w:keepNext/>
        <w:spacing w:after="100"/>
      </w:pPr>
      <w:r>
        <w:rPr>
          <w:b/>
          <w:bCs/>
        </w:rPr>
        <w:t xml:space="preserve">Lo que creemos nosotros.</w:t>
      </w:r>
    </w:p>
    <w:p>
      <w:pPr>
        <w:spacing w:after="100"/>
      </w:pPr>
      <w:r>
        <w:t xml:space="preserve">Dos años muy buenos por la cartera, normalización después al ritmo del mercado y un múltiplo que vuelve hacia su mediana de 20 veces.</w:t>
      </w:r>
    </w:p>
    <w:p>
      <w:pPr>
        <w:keepNext/>
        <w:spacing w:after="100"/>
      </w:pPr>
      <w:r>
        <w:rPr>
          <w:b/>
          <w:bCs/>
        </w:rPr>
        <w:t xml:space="preserve">Por qué podemos tener razón.</w:t>
      </w:r>
    </w:p>
    <w:p>
      <w:pPr>
        <w:spacing w:after="100"/>
      </w:pPr>
      <w:r>
        <w:t xml:space="preserve">Los centros de datos son el 17-19 % de las ventas; el resto (incendios, seguridad, servicio en EMEA) crece al 1-5 % [3, 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2,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Pedidos récord</w:t>
      </w:r>
      <w:r>
        <w:t xml:space="preserve">: +27 % orgánico en el 3T26 (Américas +37 %) y cartera de 21.000 M, +32 % [3].</w:t>
      </w:r>
    </w:p>
    <w:p>
      <w:pPr>
        <w:pStyle w:val="ListParagraph"/>
        <w:numPr>
          <w:ilvl w:val="0"/>
          <w:numId w:val="2"/>
        </w:numPr>
        <w:spacing w:after="60"/>
      </w:pPr>
      <w:r>
        <w:rPr>
          <w:b/>
        </w:rPr>
        <w:t xml:space="preserve">Guía subida tres veces</w:t>
      </w:r>
      <w:r>
        <w:t xml:space="preserve">: BPA ajustado de 2026 de ≈4,55 a ≈5,05 USD (+34 %) [3, 6].</w:t>
      </w:r>
    </w:p>
    <w:p>
      <w:pPr>
        <w:pStyle w:val="ListParagraph"/>
        <w:numPr>
          <w:ilvl w:val="0"/>
          <w:numId w:val="2"/>
        </w:numPr>
        <w:spacing w:after="60"/>
      </w:pPr>
      <w:r>
        <w:rPr>
          <w:b/>
        </w:rPr>
        <w:t xml:space="preserve">Exposición directa al frío de los centros de datos</w:t>
      </w:r>
      <w:r>
        <w:t xml:space="preserve">: enfriadoras York, Silent-Aire, CDU certificadas por Nvidia y la compra de Alloy [8, 13].</w:t>
      </w:r>
    </w:p>
    <w:p>
      <w:pPr>
        <w:pStyle w:val="ListParagraph"/>
        <w:numPr>
          <w:ilvl w:val="0"/>
          <w:numId w:val="2"/>
        </w:numPr>
        <w:spacing w:after="60"/>
      </w:pPr>
      <w:r>
        <w:rPr>
          <w:b/>
        </w:rPr>
        <w:t xml:space="preserve">Márgenes al alza</w:t>
      </w:r>
      <w:r>
        <w:t xml:space="preserve">: margen EBITA ajustado de los segmentos del 19,8 % en el 3T26, +220 pb [3].</w:t>
      </w:r>
    </w:p>
    <w:p>
      <w:pPr>
        <w:pStyle w:val="ListParagraph"/>
        <w:numPr>
          <w:ilvl w:val="0"/>
          <w:numId w:val="2"/>
        </w:numPr>
        <w:spacing w:after="60"/>
      </w:pPr>
      <w:r>
        <w:rPr>
          <w:b/>
        </w:rPr>
        <w:t xml:space="preserve">Retorno al accionista</w:t>
      </w:r>
      <w:r>
        <w:t xml:space="preserve">: recompra acelerada de 5.000 M en 2025 y dividendo de 1,60 USD [6].</w:t>
      </w:r>
    </w:p>
    <w:p>
      <w:pPr>
        <w:pStyle w:val="Heading2"/>
      </w:pPr>
      <w:r>
        <w:t xml:space="preserve">En contra</w:t>
      </w:r>
    </w:p>
    <w:p>
      <w:pPr>
        <w:pStyle w:val="ListParagraph"/>
        <w:numPr>
          <w:ilvl w:val="0"/>
          <w:numId w:val="2"/>
        </w:numPr>
        <w:spacing w:after="60"/>
      </w:pPr>
      <w:r>
        <w:rPr>
          <w:b/>
        </w:rPr>
        <w:t xml:space="preserve">Calidad del capital</w:t>
      </w:r>
      <w:r>
        <w:t xml:space="preserve">: ROIC del 8,2 % frente a un WACC del 10,85 %, por el fondo de comercio de Tyco.</w:t>
      </w:r>
    </w:p>
    <w:p>
      <w:pPr>
        <w:pStyle w:val="ListParagraph"/>
        <w:numPr>
          <w:ilvl w:val="0"/>
          <w:numId w:val="2"/>
        </w:numPr>
        <w:spacing w:after="60"/>
      </w:pPr>
      <w:r>
        <w:rPr>
          <w:b/>
        </w:rPr>
        <w:t xml:space="preserve">Precio exigente</w:t>
      </w:r>
      <w:r>
        <w:t xml:space="preserve">: 25,4x el BPA ajustado de 2027e y un DCF inverso del 17,6 % de crecimiento anual.</w:t>
      </w:r>
    </w:p>
    <w:p>
      <w:pPr>
        <w:pStyle w:val="ListParagraph"/>
        <w:numPr>
          <w:ilvl w:val="0"/>
          <w:numId w:val="2"/>
        </w:numPr>
        <w:spacing w:after="60"/>
      </w:pPr>
      <w:r>
        <w:rPr>
          <w:b/>
        </w:rPr>
        <w:t xml:space="preserve">Rentabilidad a 12 meses negativa</w:t>
      </w:r>
      <w:r>
        <w:t xml:space="preserve">: −7,2 % ponderada y +2,3 % en el base.</w:t>
      </w:r>
    </w:p>
    <w:p>
      <w:pPr>
        <w:pStyle w:val="ListParagraph"/>
        <w:numPr>
          <w:ilvl w:val="0"/>
          <w:numId w:val="2"/>
        </w:numPr>
        <w:spacing w:after="60"/>
      </w:pPr>
      <w:r>
        <w:rPr>
          <w:b/>
        </w:rPr>
        <w:t xml:space="preserve">Beneficio ajustado frente al contable</w:t>
      </w:r>
      <w:r>
        <w:t xml:space="preserve">: la empresa excluye cada año 500-1.000 M de reestructuración [2].</w:t>
      </w:r>
    </w:p>
    <w:p>
      <w:pPr>
        <w:pStyle w:val="ListParagraph"/>
        <w:numPr>
          <w:ilvl w:val="0"/>
          <w:numId w:val="2"/>
        </w:numPr>
        <w:spacing w:after="60"/>
      </w:pPr>
      <w:r>
        <w:rPr>
          <w:b/>
        </w:rPr>
        <w:t xml:space="preserve">Cúpula en cambio</w:t>
      </w:r>
      <w:r>
        <w:t xml:space="preserve">: salen dos presidentas de división en 2026 y la directiva saliente vendió 21,0 M USD [15, 17].</w:t>
      </w:r>
    </w:p>
    <w:p>
      <w:pPr>
        <w:pStyle w:val="Heading2"/>
      </w:pPr>
      <w:r>
        <w:t xml:space="preserve">Qué tiene que pasar para que la tesis funcione</w:t>
      </w:r>
    </w:p>
    <w:p>
      <w:pPr>
        <w:spacing w:after="100"/>
      </w:pPr>
      <w:r>
        <w:t xml:space="preserve">La tesis del mercado depende de que los pedidos de centros de datos duren. La señal está en los pedidos orgánicos de Américas y la cartera: si en el 4T26 (27-oct) y el 1T27 los pedidos siguen creciendo por encima del 15 % y la guía de 2027 supera los 6,1 USD de BPA ajustado, el ciclo sigue; si los pedidos caen por debajo del +5 % o la relación pedidos/ventas baja de 1, el múltiplo de 25 veces no se sostiene.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(sistemas y servicios)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Adelantan las ventas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 los segmentos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prometido.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Reestructuración y transformación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M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2 % de las ventas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Distancia entre beneficio ajustado y contable.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42,9x / 24,9x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Johnson Controls nació en 1885 en Milwaukee con el termostato eléctrico de Warren Johnson y durante un siglo combinó control de edificios con baterías y asientos de coche [1]. En 2016 se fusionó con Tyco (incendios y seguridad) y trasladó la sede a Cork; desde entonces ha ido vendiendo lo que no era edificios: Power Solutions en 2019 (13.200 M) y el residencial a Bosch en 2025 [1, 6]. En 2021 compró Silent-Aire, base de su negocio de centros de datos. En marzo de 2025 llegó Joakim Weidemanis desde Danaher, que ha simplificado la estructura, implantado un sistema de gestión propio y orientado el grupo a los edificios críticos [3,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Warren Johnson funda Johnson Electric Service en Milwaukee tras patentar el termostato eléctrico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Tyco International (incendios y seguridad); la sede pasa a Cork (Irlanda)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Power Solutions (baterías) a Brookfield por 13.200 M USD y recompra acciones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Silent-Aire (unidades de aire a medida para centros de datos)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Joakim Weidemanis (ex-Danaher) es consejero delegado desde marzo; vende el negocio residencial a Bosch (julio) y lanza una recompra acelerada de 5.000 M USD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Alloy Enterprises (refrigeración líquida); cartera récord de 21.000 M USD y guía subida tres veces [3,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Johnson Controls diseña, fabrica, instala y mantiene sistemas para edificios comerciales e industriales: climatización aplicada (enfriadoras York, unidades de tratamiento de aire, bombas de calor, frío industrial), unidades de aire y de distribución de refrigerante para centros de datos (Silent-Aire, CDU, Alloy), controles y gestión de edificios (Metasys, OpenBlue), y sistemas de incendios y seguridad (Tyco, Simplex, Grinnell) [1]. Vende en tres segmentos geográficos: Américas (67 % de las ventas), EMEA (21 %) y Asia-Pacífico (12 %) [3].</w:t>
      </w:r>
    </w:p>
    <w:p>
      <w:pPr>
        <w:pStyle w:val="Heading2"/>
      </w:pPr>
      <w:r>
        <w:t xml:space="preserve">Cómo gana dinero</w:t>
      </w:r>
    </w:p>
    <w:p>
      <w:pPr>
        <w:spacing w:after="100"/>
      </w:pPr>
      <w:r>
        <w:t xml:space="preserve">Dos fuentes: «productos y sistemas» (68 % de las ventas en 2025, equipos e instalación por proyecto, con margen bruto del 35 %) y «servicios» (32 %, mantenimiento, reparaciones y contratos sobre la base instalada, con margen bruto del 40 %) [6]. El servicio es recurrente y defensivo; los sistemas siguen la inversión en edificios y ahora la ola de centros de datos. El margen EBITA ajustado de los segmentos fue del 19,8 % en el 3T26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6"/>
        <w:gridCol w:w="1320"/>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del segmento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del segmento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 del segmento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LTM jun-26</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segmento (LTM jun-26)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Promotores, contratistas, propietarios de edificios, hospitales, universidades, administraciones, fábricas y, cada vez más, hiperescaladores y operadores de centros de datos [1]. Ningún cliente supera el 10 % de las ventas. La cartera de sistemas y servicios suma 21.000 M (jun-26), de la que Américas 15.900 M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(sistemas y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Américas +37 %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y otros edificios críticos; desde el 1T26 los pedidos incluyen equipos sueltos de proyectos largos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 M USD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orgánico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Américas 15.900 M (+40 %)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 los segmentos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21,1 % (+260 pb) por apalancamiento operativo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un 10-12 % (2025, prensa)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«high teens»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un tercio en 3-5 años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Dicho por la dirección en la conferencia del 3T26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libre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≈100 % para 2026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climatización (equipos y servicio) para edificios, más el control de edificios y los sistemas de incendios y seguridad. Medimos el de climatización con MarketsandMarkets (≈299.000 M USD en 2025, +6,4 % anual hasta 2030) [9] y lo contrastamos con Grand View (≈259.000 M) [10]. JCI vende ≈25.000 M, pero repartidos entre tres mercados distintos, así que no damos una cuota única. La parte que más crece es la refrigeración de centros de datos (aire y líquida)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≈299.000 M USD en 2025 (climatización, equipos y servicio, mundial) [9]; Grand View Research da ≈259.000 M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arketsandMarkets; 2026-2030 previsió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Américas +37 % en el 3T26; los centros de datos pasan de ≈10 % a «high teens» de las ventas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y descarbonización de edificios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de calor y renovación de enfriadoras; enfriadoras de absorción que reducen un 40 % el consumo de frío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 de los chips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dijo en enero que Vera Rubin se refrigerará con agua templada sin enfriadoras: −6,2 % en un día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nueva no residencial y tipos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del 5,2 %; el mercado vende el sector cuando suben los tipos (18-ago)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Conflictos en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EMEA crece solo un 1 % orgánico en el 3T26; Oriente Medio es ≈10 % de EMEA [3,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Trane, Carrier, Daikin, Vertiv en frío; Siemens, Honeywell y Schneider en controles y seguridad; en aplicados se compite por especificación y plazo [1,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Hiperescaladores con pedidos enormes y diseños propios; promotores que licitan por precio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Compresores, acero, cobre y electrónica; la empresa integra cinco subsistemas de las enfriadoras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fabricación de enfriadoras grandes y red de servicio difíciles de replicar; en refrigeración líquida entran especialistas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Refrigeración líquida directa al chip y agua templada sin enfriadora [12].</w:t>
            </w:r>
          </w:p>
        </w:tc>
      </w:tr>
    </w:tbl>
    <w:p>
      <w:pPr>
        <w:spacing w:after="160" w:before="0"/>
      </w:pPr>
    </w:p>
    <w:p>
      <w:pPr>
        <w:pStyle w:val="Heading2"/>
      </w:pPr>
      <w:r>
        <w:t xml:space="preserve">Ciclo</w:t>
      </w:r>
    </w:p>
    <w:p>
      <w:pPr>
        <w:spacing w:after="100"/>
      </w:pPr>
      <w:r>
        <w:t xml:space="preserve">La parte de centros de datos está en pleno auge (pedidos +27 %, cartera +32 %), mientras el resto del negocio está a mitad de ciclo: incendios y seguridad planos y EMEA casi sin crecer [3]. La obra no residencial es cíclica (caídas del 10-20 % en 2009) y el servicio, defensivo.</w:t>
      </w:r>
    </w:p>
    <w:p>
      <w:pPr>
        <w:pStyle w:val="Heading2"/>
      </w:pPr>
      <w:r>
        <w:t xml:space="preserve">Regulación</w:t>
      </w:r>
    </w:p>
    <w:p>
      <w:pPr>
        <w:spacing w:after="100"/>
      </w:pPr>
      <w:r>
        <w:t xml:space="preserve">Normas de refrigerantes (AIM Act en EE. UU., gases fluorados en la UE), eficiencia energética de edificios (directiva europea refundida en 2024) y aranceles de EE. UU., repercutidos en precio [1, 11]. En incendios, normas de seguridad y el litigio por las espumas AFFF de su filial Tyco Fire Products [1].</w:t>
      </w:r>
    </w:p>
    <w:p>
      <w:pPr>
        <w:pStyle w:val="Heading2"/>
      </w:pPr>
      <w:r>
        <w:t xml:space="preserve">Tendencias y disrupción</w:t>
      </w:r>
    </w:p>
    <w:p>
      <w:pPr>
        <w:spacing w:after="100"/>
      </w:pPr>
      <w:r>
        <w:t xml:space="preserve">La tendencia que manda es la IA, por el lado de la demanda: más centros de datos necesitan más frío, y JCI ha pasado de vender unidades de aire a ofrecer el sistema térmico completo (enfriadoras, aire, CDU, refrigeración líquida) [8]. La segunda es el cambio de tecnología: chips más densos que se refrigeran con líquido y, quizá, sin enfriadoras. La tercera, la descarbonización y la electrificación del calor (bombas de calor), que favorecen la renovación de equipos.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cinco grandes de la climatización aplicada mundial y líder en control de edificios e incendios con Siemens y Honeywell; en centros de datos compite con Trane y Vertiv por el sistema térmico completo [1,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enfriadoras comerciales de Norteamérica; compró Stellar Energy y LiquidStack para centros de datos; margen EBITDA 19,5 %, ROIC 24 %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residencial y Europa (Viessmann); margen EBITDA 13,9 %, ROIC 6 %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6367</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mundial de climatización; fuerte en residencial y aplicada (McQuay); margen EBITDA 14,3 %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potencia y frío de centros de datos; rival directo en unidades de distribución de refrigerante (CDU)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(Smart Infrastructure)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control de edificios, incendios y seguridad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Honeywell (Building Automation)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control de edificios y seguridad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servicio que se refuerza con la base instalada; no es un efecto de red en sentido estricto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y sistemas de incendios instalados durante décadas; servicio del 32 % de las ventas [A6].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York, Tyco, Metasys, Simplex; certificación de Nvidia para sus CDU [B1,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14-15 % contable frente al 19,5 % de Trane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fabricantes con enfriadoras grandes y servicio mundial [B1].</w:t>
            </w:r>
          </w:p>
        </w:tc>
      </w:tr>
    </w:tbl>
    <w:p>
      <w:pPr>
        <w:spacing w:after="160" w:before="0"/>
      </w:pPr>
    </w:p>
    <w:p>
      <w:pPr>
        <w:pStyle w:val="Heading2"/>
      </w:pPr>
      <w:r>
        <w:t xml:space="preserve">Amenazas</w:t>
      </w:r>
    </w:p>
    <w:p>
      <w:pPr>
        <w:spacing w:after="100"/>
      </w:pPr>
      <w:r>
        <w:t xml:space="preserve">De mayor a menor probabilidad: (1) que el ciclo de centros de datos se frene o cambie de tecnología (chips sin enfriadoras, refrigeración líquida en manos de Vertiv o Schneider); (2) la competencia de Trane, que es más rentable y gana cuota en enfriadoras; (3) la entrada de fabricantes asiáticos en equipos de menor gama [11,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spacing w:after="100"/>
      </w:pPr>
      <w:r>
        <w:t xml:space="preserve">Crecimiento anual compuesto 2022-2025: ingresos </w:t>
      </w:r>
      <w:r>
        <w:rPr>
          <w:b/>
          <w:bCs/>
        </w:rPr>
        <w:t xml:space="preserve">4,6 %</w:t>
      </w:r>
      <w:r>
        <w:t xml:space="preserve">, EBITDA </w:t>
      </w:r>
      <w:r>
        <w:rPr>
          <w:b/>
          <w:bCs/>
        </w:rPr>
        <w:t xml:space="preserve">15,4 %</w:t>
      </w:r>
      <w:r>
        <w:t xml:space="preserve">, BPA </w:t>
      </w:r>
      <w:r>
        <w:rPr>
          <w:b/>
          <w:bCs/>
        </w:rPr>
        <w:t xml:space="preserve">12,8 %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Con el perímetro actual, las ventas crecieron un 4,6 % anual en 2022-2025 y se aceleran en 2026 (+8 % en nueve meses, +10 % orgánico en el 3T) [2, 3]. El margen EBITDA contable subió del 10,0 % de 2022 al 13,4 % de 2025 y al 15,1 % en los últimos doce meses, por precios, apalancamiento operativo y menos cargos extraordinarios. El beneficio contable de operaciones continuadas fue de 1.721 M en 2025 (BPA 2,63) frente a un ajustado de 2.462 M (BPA 3,76) [6].</w:t>
      </w:r>
    </w:p>
    <w:p>
      <w:pPr>
        <w:pStyle w:val="Heading2"/>
      </w:pPr>
      <w:r>
        <w:t xml:space="preserve">Ajustes y partidas no recurrentes</w:t>
      </w:r>
    </w:p>
    <w:p>
      <w:pPr>
        <w:spacing w:after="100"/>
      </w:pPr>
      <w:r>
        <w:t xml:space="preserve">Usamos dos bases. En el DCF, el EBITDA resta una reestructuración normalizada (2,4 % de las ventas en 2026 bajando al 0,8 %), porque JCI reestructura todos los años (701, 1.049, 510 y 546 M en 2022-2025) [2]. En la regla a 12 meses, el BPA ajustado de la empresa (excluye reestructuración, transformación, AFFF, ajustes a mercado y extraordinarios fiscales) porque es la base del consenso y de la historia de PER; el ajustado incluye la amortización de intangibles comprados [3]. En 2024 dejamos 383 M de AFFF neto como no recurrente (acuerdo de 750 M menos 367 M de seguros) y en los últimos doce meses −244 M (recuperaciones de seguros y plusvalía de ventas) [3,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3T26 (29-jul) la dirección presentó a JCI como «el sistema térmico de los centros de datos»: climatización aplicada creciendo a ritmo de «high teens», cartera de unidades de distribución de refrigerante (CDU) de ≈1.000 M con certificación de Nvidia, enfriadoras de absorción York que reducen un 40 % el consumo de frío, y el objetivo de que los centros de datos pasen a un tercio de las ventas en 3-5 años [8]. Riesgos citados por los analistas: cuellos de botella de suministro, mezcla de sistemas que presiona el margen, durabilidad de la inversión de los hiperescaladores y caída de la cartera de servicio en seguridad. La guía de 2027 llegará con el 4T26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Deuda neta de 8.834 M a 30-jun-2026 (deuda bruta de 9.475 M, caja de 641 M), 1,9 veces el EBITDA ajustado según la empresa, por debajo de su objetivo [3, 8]. La venta del residencial (≈8.100 M) se destinó a la recompra acelerada de 5.000 M y a reducir deuda [6]. El patrimonio bajó de 16.098 a 12.927 M en 2025 por la recompra. El fondo de comercio (16.612 M) supera al patrimonio: es la herencia de Tyco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2022-2025: FCF </w:t>
      </w:r>
      <w:r>
        <w:rPr>
          <w:b/>
          <w:bCs/>
        </w:rPr>
        <w:t xml:space="preserve">5.354</w:t>
      </w:r>
      <w:r>
        <w:t xml:space="preserve">, conversión </w:t>
      </w:r>
      <w:r>
        <w:rPr>
          <w:b/>
          <w:bCs/>
        </w:rPr>
        <w:t xml:space="preserve">90 %</w:t>
      </w:r>
      <w:r>
        <w:t xml:space="preserve"> del beneficio neto; adquisiciones 1.008, dividendos 3.872, recompras 9.303.</w:t>
      </w:r>
    </w:p>
    <w:p>
      <w:pPr>
        <w:spacing w:after="100"/>
      </w:pPr>
      <w:r>
        <w:t xml:space="preserve">La caja libre de operaciones continuadas fue de 2.120 M en 2025 (123 % del beneficio contable) y de 2.329 M en nueve meses de 2026, con una conversión ajustada del 98 % [3, 6]. En 2022-2024 fue menor (750-1.410 M) por el pago del acuerdo AFFF, el fin del programa de factoring y las reestructuraciones [6]. El capex es bajo (1,8 % de las ventas en 2025). En 2025 devolvió 6.967 M a los accionistas (976 M de dividendos y 5.991 M de recompras), financiados con la venta del residencial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30-sep-2025)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auditadas por PwC con opinión favorable sobre las cuentas y el control interno de 2025 [1]. El riesgo contable es la distancia entre beneficio ajustado y contable: reestructuraciones de 500-1.000 M todos los años, costes de «transformación» excluidos desde 2025 y cargos por litigios (AFFF, amianto) [2, 6]. Altman Z de 3,01, Piotroski de 7 y Beneish de −2,62: sin señales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 excluida del beneficio ajustado (546 M en 2025, 701-1.049 M en 2022-2023)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tratamos como coste en el DCF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transformación excluidos desde 2025 (180 M en 2025, 197 M en 9M26)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categoría de ajuste con el nuevo consejero delegado [3,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AFFF y amianto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750 M ya pagado; recuperaciones de seguros que suman al beneficio contable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16.633 M en 2025 (el 68 % del capital invertido medio); ha subido más de un 5 % en 0 de 3 años: sin compras. ROIC publicado 8,2 %; sin fondo de comercio, 26,1 %.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10,8 %.</w:t>
      </w:r>
    </w:p>
    <w:p>
      <w:pPr>
        <w:spacing w:after="100"/>
      </w:pPr>
      <w:r>
        <w:t xml:space="preserve">El ROIC es del 8,2 % en 2025 (8,1 % en 2024), por debajo del WACC (10,85 %): la creación de valor es negativa. La causa es el fondo de comercio de la fusión con Tyco (16.633 M, el 68 % del capital invertido): sin él, el ROIC sería del 26,1 %, el de un buen negocio industrial. Con el beneficio ajustado de 2026 (EBIT de ≈3.950 M) el ROIC subiría a ≈13 %, todavía 2 puntos sobre el WACC, lejos de los 5 que pide el método para comprar [2, 3]. ROE del 11,9 %.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641 M USD a 30-jun-2026; deuda bruta de 9.475 M (865 M de papel comercial y deuda a corto, 311 M de vencimientos corrientes y 8.299 M a largo, con bonos en USD y EUR hasta 2064); deuda neta de 1,9 veces el EBITDA ajustado según la empresa, por debajo de su objetivo [3, 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operativos de ≈1.300 M, dentro del EBITDA en US GAAP y fuera del puente [2]. Pensiones netas de 177 M (142 M después de impuestos en el puente) [3]. Pasivos por amianto y por las espumas AFFF de Tyco Fire Products, en parte cubiertos por seguros: el acuerdo de 750 M con los sistemas públicos de agua ya se pagó en 2024-2025 y quedan las demandas de lesiones personales, sin provisión cuantificada en los documentos leídos [1]. Ingresos diferidos de 2.943 M, que restamos del circulante [3].</w:t>
      </w:r>
    </w:p>
    <w:p>
      <w:pPr>
        <w:pStyle w:val="Heading1"/>
      </w:pPr>
      <w:r>
        <w:t xml:space="preserve">12. Asignación de capital</w:t>
      </w:r>
    </w:p>
    <w:p>
      <w:pPr>
        <w:pStyle w:val="Confianza"/>
        <w:spacing w:after="100"/>
      </w:pPr>
      <w:r>
        <w:t xml:space="preserve">Confianza: Media</w:t>
      </w:r>
    </w:p>
    <w:p>
      <w:pPr>
        <w:spacing w:after="100"/>
      </w:pPr>
      <w:r>
        <w:t xml:space="preserve">Dividendo trimestral de 0,40 USD (1,60 anual, ≈1 % de rentabilidad) y recompras: la recompra acelerada de 5.000 M de 2025 terminó en el 2T26 y en el 3T26 recompró otros 635 M [3, 6]. La dirección dice que tiene margen para invertir en el negocio manteniendo la flexibilidad del balance (deuda neta de 1,9 veces el EBITDA ajustado)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Alloy Enterprises (refrigeración líquida directa al chip)</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pilotos y pedidos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Silent-Aire (unidades de aire para centros de datos)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centros de datos, que hoy es ≈18 % de las ventas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con Tyco International</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Deja 16.600 M de fondo de comercio y un ROIC que no cubre el coste de capital [2].</w:t>
            </w:r>
          </w:p>
        </w:tc>
      </w:tr>
    </w:tbl>
    <w:p>
      <w:pPr>
        <w:spacing w:after="160" w:before="0"/>
      </w:pPr>
    </w:p>
    <w:p>
      <w:pPr>
        <w:spacing w:after="100"/>
      </w:pPr>
      <w:r>
        <w:t xml:space="preserve">La asignación de capital de la última década ha destruido valor: la fusión con Tyco dejó un ROIC del 5-8 %, por debajo del coste de capital, y las ventas de negocios (Power Solutions, residencial) se usaron sobre todo en recompras a múltiplos altos [2]. Desde 2025 la dirección vende lo no estratégico y compra tecnología pequeña de centros de datos (Alloy), una disciplina mejor; el programa de opciones de 2026 premia crecer en ventas y capitalización, lo que puede empujar a compras caras [16].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Joakim Weidemanis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marzo de 2025; antes 25 años en Danaher (vicepresidente ejecutivo de diagnóstico, Leica). Implanta un «sistema de negocio» propio al estilo del Danaher Business System; con él la guía de 2026 ha subido de 4,55 a 5,05 USD de BPA ajustado [3,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Vandiepenbeeck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2001 (Tyco); director financiero desde 2025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Scalia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personas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Beneficiario del programa de opciones de 2026 (5,3 M USD de valor objetivo)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Todd Grabowski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el segmento que hace dos tercios de las ventas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2,58-2,64 USD (aprox., guía inicial)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2,65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≈3,22-3,28 (guía inicial, prensa)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3,00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3,60-3,75 (guía de enero)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3,71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operaciones continuadas 3,40-3,50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3,76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≈4,55 (nov-25), subida a ≈4,85 (may-26) y ≈5,05 (jul-26)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3,50 en 9 meses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nuevo: Weidemanis llegó en marzo de 2025 desde Danaher y ha subido la guía de 2026 tres veces; la directiva saliente de productos vendió 21,0 M USD en acciones y en 2026 se han ido dos presidentas de división por el cambio de modelo operativo [3, 15, 17]. El historial de guías es mixto: 2022 incumplió (3,00 frente a ≈3,25) y desde 2024 cumple o supera [7].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Vergnano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Joakim Weidemanis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M. Archer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 Blackwell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Cohade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 Roy Dunbar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Gretchen R. Haggerty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Ayesha Khanna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Seetarama (Swamy) Kotagiri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Jürgen Tinggren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D. Young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Irene Esteves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30-sep-2025)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1,01 / ventas 19,64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abril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Dodge &amp; Cox</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noviembre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noviembre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Lei Schlitz (presidenta de productos y soluciones, de salida)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Lei Schlitz</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87.909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Donofrio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Vergnano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Todd Grabowski (presidente de Américas)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Pierre Cohade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19,96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19,96 M USD en 2025 (16,60 M en acciones) [14]. En mayo de 2026 el consejo creó un programa de opciones para 2026-2030 que solo vale si las ventas y la capitalización suben mucho (10,5 M de valor objetivo para Weidemanis) [16]. Aprobación de la remuneración del 92 % en la junta de 2025 [14].</w:t>
      </w:r>
    </w:p>
    <w:p>
      <w:pPr>
        <w:pStyle w:val="Heading2"/>
      </w:pPr>
      <w:r>
        <w:t xml:space="preserve">Operaciones vinculadas, estructura de control y defensas</w:t>
      </w:r>
    </w:p>
    <w:p>
      <w:pPr>
        <w:spacing w:after="100"/>
      </w:pPr>
      <w:r>
        <w:t xml:space="preserve">Sin accionista de control: Vanguard (11,2 %), Dodge &amp; Cox (10,0 %) y BlackRock (7,1 %) son los mayores [14]. Una clase de acciones y un voto por acción; presidente independiente (Mark Vergnano) separado del consejero delegado; 11 de 12 consejeros independientes.</w:t>
      </w:r>
    </w:p>
    <w:p>
      <w:pPr>
        <w:pStyle w:val="Heading2"/>
      </w:pPr>
      <w:r>
        <w:t xml:space="preserve">Señales de alerta</w:t>
      </w:r>
    </w:p>
    <w:p>
      <w:pPr>
        <w:pStyle w:val="ListParagraph"/>
        <w:numPr>
          <w:ilvl w:val="0"/>
          <w:numId w:val="2"/>
        </w:numPr>
        <w:spacing w:after="60"/>
      </w:pPr>
      <w:r>
        <w:t xml:space="preserve">Cúpula renovada en 18 meses: nuevo consejero delegado (marzo de 2025), nuevo director financiero y salida de los presidentes de productos y soluciones (Lei Schlitz) y de operaciones comerciales y de campo (Julie Brandt) por el cambio de modelo operativo [17].</w:t>
      </w:r>
    </w:p>
    <w:p>
      <w:pPr>
        <w:pStyle w:val="ListParagraph"/>
        <w:numPr>
          <w:ilvl w:val="0"/>
          <w:numId w:val="2"/>
        </w:numPr>
        <w:spacing w:after="60"/>
      </w:pPr>
      <w:r>
        <w:t xml:space="preserve">Programa de opciones «Value Growth Incentive» (mayo de 2026): opciones que solo valen si las ventas y la capitalización suben mucho en 2026-2030; incentiva crecer y subir el precio, con riesgo de compras caras para llegar al objetivo de ventas [16].</w:t>
      </w:r>
    </w:p>
    <w:p>
      <w:pPr>
        <w:pStyle w:val="ListParagraph"/>
        <w:numPr>
          <w:ilvl w:val="0"/>
          <w:numId w:val="2"/>
        </w:numPr>
        <w:spacing w:after="60"/>
      </w:pPr>
      <w:r>
        <w:t xml:space="preserve">Ventas de directivos por 26,2 M USD en 12 meses, sin plan 10b5-1 declarado (21,0 M de la directiva que sale); una sola compra, del presidente del consejo (1,0 M en febrero) [15].</w:t>
      </w:r>
    </w:p>
    <w:p>
      <w:pPr>
        <w:pStyle w:val="ListParagraph"/>
        <w:numPr>
          <w:ilvl w:val="0"/>
          <w:numId w:val="2"/>
        </w:numPr>
        <w:spacing w:after="60"/>
      </w:pPr>
      <w:r>
        <w:t xml:space="preserve">Litigios de espumas contra incendios (AFFF, filial Tyco Fire Products): acuerdo de 750 M USD con los sistemas públicos de agua en 2024; quedan demandas de lesiones personales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ejercicio 2026 (29-jul-2026, tercera subida): crecimiento orgánico ≈8 %, apalancamiento operativo del 45-50 %, BPA ajustado ≈5,05 USD y conversión de caja libre ajustada ≈100 %; para el 4T26, crecimiento orgánico del 9-10 % y BPA ajustado ≈1,55 [3]. Marco a medio plazo (Gemba Day, 1-jun-2026): crecimiento de un dígito alto, apalancamiento operativo de más del 30 % y BPA ajustado creciendo a dos dígitos. La guía de 2027 llegará con los resultados del 27-oct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22 analistas (BPA ajustado)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22 analistas (BPA ajustado) [20]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8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129,00 – 193,00</w:t>
            </w:r>
          </w:p>
        </w:tc>
      </w:tr>
    </w:tbl>
    <w:p>
      <w:pPr>
        <w:spacing w:after="160" w:before="0"/>
      </w:pPr>
    </w:p>
    <w:p>
      <w:pPr>
        <w:pStyle w:val="Heading2"/>
      </w:pPr>
      <w:r>
        <w:t xml:space="preserve">Revisiones de estimaciones</w:t>
      </w:r>
    </w:p>
    <w:p>
      <w:pPr>
        <w:spacing w:after="100"/>
      </w:pPr>
      <w:r>
        <w:t xml:space="preserve">En 90 días el BPA de consenso de 2026 sube de 4,90 a 5,07 USD (+3,6 %) y el de 2027 de 5,76 a 6,11 (+6,0 %), detrás de las subidas de guía [20]. Los objetivos suben en octubre: Mizuho de 150 a 165 (Neutral, 15-oct), Citi de 157 a 170 (Neutral, 12-oct), Bank of America de 152 a 175 (Comprar, 8-oct), Wells Fargo inicia en Sobreponderar con 186 (25-sep); Goldman la añade a su lista de convicción (1-oct) [20, 30].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bl>
    <w:p>
      <w:pPr>
        <w:spacing w:after="160" w:before="0"/>
      </w:pPr>
    </w:p>
    <w:p>
      <w:pPr>
        <w:spacing w:after="100"/>
      </w:pPr>
      <w:r>
        <w:t xml:space="preserve">La acción ha triplicado su precio desde el mínimo de 2023 (de 53 a 152 USD) y en tres años rinde un 43,5 % anual frente al 21,3 % del S&amp;P 500 [19]. Lo explican tres cosas: la venta del residencial a Bosch y la recompra de 5.000 M (≈7 % menos de acciones), la llegada de Weidemanis con su sistema de gestión y la demanda de enfriadoras y unidades de aire para centros de datos, que ha llevado la cartera a 21.000 M [3]. En 2026 sube un 27 % con tres subidas de guía, con caídas de un día del 5-6 % cada vez que el mercado duda del frío de los centros de datos [12, 19].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 +2,6 % / +4,8 % / +33,7 %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 +32,8 %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dijo en el CES que sus chips Vera Rubin se refrigerarían con agua templada sin enfriadoras; JCI, con los centros de datos en torno a un 10-12 % de las ventas, fue la más castigada del sector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sin noticia de la empresa encontrada, en una semana de rotación fuera de los valores de infraestructura de IA [19,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valores de infraestructura de IA por la subida del bono a 10 años; Trane cayó el mismo día; sin noticia propia. Es la mayor caída de un mes de los últimos seis (−10,0 % hasta el 15-sep) [19,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 un mes hasta el 13-oct con subidas de objetivo de los analistas (Wells Fargo, Bank of America, Citi) y la entrada en la lista de convicción de Goldman [20,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15-oct-2026 (intradía)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los valores de frío para centros de datos (Trane −4,9 %, Vertiv también a la baja) con el S&amp;P 500 casi plano: movimiento del sector, sin noticia propia encontrada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Mizuho sube el objetivo de 150 a 165 USD (Neutral); Bernstein mantiene Comprar con 190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añade JCI a su lista de convicción de EE. UU.; Wells Fargo inicia en Sobreponderar con 186 USD (25-sep) [20,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Julie Brandt, presidenta de operaciones comerciales y de campo (8-K); en mayo salió Lei Schlitz, presidenta de productos, que vendió 21,0 M USD de acciones en 12 meses. Cambio de modelo operativo, no salida del consejero delegado ni del director financiero (Form 4 y 8-K de la SEC).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ventas +9 % (+10 % orgánico), BPA ajustado 1,42 USD, pedidos +27 %, cartera 21.000 M (+32 %), guía de 2026 subida a ≈5,05 USD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estratégica en curso de negocios del grupo (venta de los negocios residenciales de seguridad) sin fecha; la dirección no da plazo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guía de 2027 el 27-oct-2026 (consenso del trimestre: BPA ajustado 1,56 USD, ventas 7.000 M) [20,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sigue en tendencia alcista (3,6 % sobre la media de 200 sesiones con el precio de hoy) y un 9 % por debajo del máximo de 52 semanas. Sus caídas fuertes de 2026 vienen del sector (Nvidia y el frío de los centros de datos, tipos a largo, rotación fuera de la IA) y no de la empresa, que sube guía y bate pedidos. No hay colocaciones, ampliaciones, ofertas ni decisiones con fecha pendientes; las ventas de directivos son de una directiva que se marcha. Los resultados del 27-oct no retrasan la decisión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beneficio contable, JCI cotiza a 42,9 veces el BPA de los últimos 12 meses frente a 32,1 de media (2022-2025) y a 28,8 veces el EBITDA frente a 20,9: en el máximo de la serie. En la base adelantada y ajustada que usa la regla, 25,4 veces frente a una mediana de cinco años de 20,6 y un mínimo de 14,1 (2022-2023). El múltiplo ha subido por un cambio real (más centros de datos, más margen, menos residencial) pero también por el entusiasmo por la IA.</w:t>
      </w:r>
    </w:p>
    <w:p>
      <w:pPr>
        <w:pStyle w:val="Heading1"/>
      </w:pPr>
      <w:r>
        <w:t xml:space="preserve">18. Comparables cotizados</w:t>
      </w:r>
    </w:p>
    <w:p>
      <w:pPr>
        <w:pStyle w:val="Confianza"/>
        <w:spacing w:after="100"/>
      </w:pPr>
      <w:r>
        <w:t xml:space="preserve">Confianza: Media</w:t>
      </w:r>
    </w:p>
    <w:p>
      <w:pPr>
        <w:spacing w:after="100"/>
      </w:pPr>
      <w:r>
        <w:t xml:space="preserve">Fabricantes de climatización (Trane, Carrier, Daikin, Lennox), el especialista en frío y potencia de centros de datos (Vertiv) y dos grupos de control de edificios y electrificación (Schneider, Siemens), que compiten en controles, incendios y centros de datos. Cifras de Yahoo Finance del 14-oct-2026, mismo día que nuestro precio, pasadas a USD [24]. PER adelantado de consenso (ajustado), en la misma base que nuestro BPA. Fuera Honeywell (en plena escisión) y Belimo (componentes).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234.571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17,7x / 21,4x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 / 21,3x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24.995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3,1x / 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r>
    </w:tbl>
    <w:p>
      <w:pPr>
        <w:spacing w:after="160" w:before="0"/>
      </w:pPr>
    </w:p>
    <w:p>
      <w:pPr>
        <w:spacing w:after="100"/>
      </w:pPr>
      <w:r>
        <w:t xml:space="preserve">JCI cotiza con prima sobre los fabricantes de climatización (PER adelantado de 24,9x frente a 13-16x de Carrier y Lennox) y casi al nivel de Trane (26,5x) y Vertiv (24,0x), los otros expuestos a centros de datos [24]. La prima frente a Trane no se justifica por calidad: JCI tiene un margen EBITDA del 14,1 % y un ROIC del 8,2 % frente al 19,5 % y al 24,2 % de Trane. La mediana de PER del grupo (21,3x) da un valor de 106,62-142,67 USD por acción, por debajo del precio.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sobre EBITDA ajustado 2026e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14.200 M del 10-K de Carrier sobre un EBITDA 2023 de ≈770 M (prensa); estimación propia [26,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Residencial y comercial ligero de Johnson Controls (con la sociedad conjunta con Hitachi)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la propia empresa; múltiplo no publicado en los documentos leídos.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compras de refrigeración para centros de datos se pagan muy caras (Boyd Thermal a 22,5 veces el EBITDA) y las de climatización tradicional, a 15-18 veces (Viessmann) [25, 26, 27]. JCI cotiza a 28,8 veces su EBITDA contable de los últimos doce meses, por encima de ese rango: no hay prima de control que ganar. Con 92.000 M de capitalización, no es un objetivo realista.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 2026 (≈8 % orgánico; ventas de ≈25.580 M, +8,4 % con las divisas y las ventas de negocios, consenso 25.572 M) [3, 20]. Después, 7,5 % en 2027 (consenso +8,2 %) y 7 % en 2028, apoyados en la cartera récord de 21.000 M (+32 %), y bajada hasta el 3,5 % en 2033 [3]. Es más que el 4,6 % anual de 2022-2025, pero menos que los pedidos (+27 % en el 3T26): suponemos que el ciclo de centros de datos se normaliza a partir de 2029. El mercado de climatización crece un 6,4 % anual [9].</w:t>
      </w:r>
    </w:p>
    <w:p>
      <w:pPr>
        <w:keepNext/>
        <w:spacing w:after="100"/>
      </w:pPr>
      <w:r>
        <w:rPr>
          <w:b/>
          <w:bCs/>
        </w:rPr>
        <w:t xml:space="preserve">Márgenes.</w:t>
      </w:r>
    </w:p>
    <w:p>
      <w:pPr>
        <w:spacing w:after="100"/>
      </w:pPr>
      <w:r>
        <w:t xml:space="preserve">Margen EBITDA del DCF del 15,7 % en 2026 (EBITDA ajustado de ≈18 % menos ≈2,4 puntos de reestructuración y transformación), subiendo al 18,0 % en 2027 y al 19,6 % en 2031-2033 por el apalancamiento operativo (más del 30 % según el marco de la empresa) y por bajar la reestructuración al 0,8 % de las ventas [3, 6]. JCI reestructura todos los años (701, 1.049, 510 y 546 M en 2022-2025) y no la tratamos como extraordinaria [2]. El 19,6 % final queda por debajo del 19,5-22 % de Trane y Lennox, con una mezcla con más incendios y seguridad [11].</w:t>
      </w:r>
    </w:p>
    <w:p>
      <w:pPr>
        <w:keepNext/>
        <w:spacing w:after="100"/>
      </w:pPr>
      <w:r>
        <w:rPr>
          <w:b/>
          <w:bCs/>
        </w:rPr>
        <w:t xml:space="preserve">Inversión y circulante.</w:t>
      </w:r>
    </w:p>
    <w:p>
      <w:pPr>
        <w:spacing w:after="100"/>
      </w:pPr>
      <w:r>
        <w:t xml:space="preserve">Capex del 1,5 % de las ventas en 2026 (≈350 M; 1,8 % en 2025) subiendo al 2,0 % para igualar la amortización al final; la amortización baja del 2,6 % al 2,0 % porque la de intangibles comprados (≈1 % de las ventas) se va agotando [3, 6]. Circulante del 8 % de las ventas (8,3 % a junio de 2026, con los ingresos diferidos restados) [3]. Impuesto del 17 %, el ajustado de un grupo con sede en Irlanda; los tipos contables de 2023-2024 tienen extraordinarios.</w:t>
      </w:r>
    </w:p>
    <w:p>
      <w:pPr>
        <w:keepNext/>
        <w:spacing w:after="100"/>
      </w:pPr>
      <w:r>
        <w:rPr>
          <w:b/>
          <w:bCs/>
        </w:rPr>
        <w:t xml:space="preserve">Coste del capital.</w:t>
      </w:r>
    </w:p>
    <w:p>
      <w:pPr>
        <w:spacing w:after="100"/>
      </w:pPr>
      <w:r>
        <w:t xml:space="preserve">Tasa libre del 5,21 % (bono de EE. UU. a 10 años del 13-oct-2026) [23], prima de mercado del 5,5 % y beta de 1,15, entre la mensual de cinco años (1,28) y las semanales (0,99-1,01) [19]. Coste de la deuda del 5,0 % antes de impuestos y peso de la deuda del 9,3 % a valor de mercado (9.475 M frente a 92.339 M de capitalización): WACC del 10,85 %. Con la prima implícita del mercado (4,20 %) el WACC baja al 9,49 % [22]. Cada décima de beta mueve el valor ≈8 %.</w:t>
      </w:r>
    </w:p>
    <w:p>
      <w:pPr>
        <w:keepNext/>
        <w:spacing w:after="100"/>
      </w:pPr>
      <w:r>
        <w:rPr>
          <w:b/>
          <w:bCs/>
        </w:rPr>
        <w:t xml:space="preserve">Valor terminal.</w:t>
      </w:r>
    </w:p>
    <w:p>
      <w:pPr>
        <w:spacing w:after="100"/>
      </w:pPr>
      <w:r>
        <w:t xml:space="preserve">Gordon con un 3,0 % de crecimiento a perpetuidad (inflación del 2-2,5 % más algo de volumen), por debajo de la tasa libre menos medio punto. El valor terminal es el 60 % del total. El múltiplo de salida de referencia (16 veces el EBITDA, entre Carrier y Trane) daría más valor, pero suponerlo sería pagar hoy el múltiplo de un ciclo alto.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frente al 5,7 %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-81 M, con un capex bruto medio del 1,8 % de las ventas). En un negocio de activos ligeros, el crecimiento medio del 5,7 %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≈8 % orgánico; el volumen sale de la climatización aplicada (crece a ritmo de «high teens») y el precio del 2-3 % que repercute aranceles e inflación; las divisas suman y las ventas de negocios restan [3,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cartera de 21.000 M (+32 %) y CDU con certificación de Nvidia; precio en línea con la inflación [3,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(centros de datos aún creciendo a dos dígitos, resto del negocio al 3-4 %) y precio del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ciclo de centros de datos; el volumen baja al ritmo del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mercado (+5 %): mitad volumen, mitad precio.</w:t>
            </w:r>
          </w:p>
        </w:tc>
      </w:tr>
    </w:tbl>
    <w:p>
      <w:pPr>
        <w:spacing w:after="160" w:before="0"/>
      </w:pPr>
    </w:p>
    <w:p>
      <w:pPr>
        <w:spacing w:after="100"/>
      </w:pPr>
      <w:r>
        <w:t xml:space="preserve">Sí: el crecimiento proyectado (5,7 % de media en 2026-2033) es algo mayor que el histórico (4,6 % en 2022-2025) pero menor que el del mercado de climatización más la ola de centros de datos (6,4 % anual del mercado, pedidos +27 %) y está respaldado por una cartera de 21.000 M que cubre casi diez meses de ventas [3, 9]. El negocio apenas necesita capital (capex del 1,5-2 % de las ventas y circulante del 8 %), así que la prueba es el poder de precios: la empresa sube precios por encima de los costes (margen EBITA de los segmentos del 17,6 % al 19,8 % en un año) [3]. El motor llega al mismo veredicto. La calidad que falla no es la del crecimiento sino la del capital: el ROIC del 8,2 % no cubre el WACC por el fondo de comercio de Tyco.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33,4 % (base: 19,6 %)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10,8 %)</w:t>
            </w:r>
          </w:p>
        </w:tc>
      </w:tr>
    </w:tbl>
    <w:p>
      <w:pPr>
        <w:spacing w:after="160" w:before="0"/>
      </w:pPr>
    </w:p>
    <w:p>
      <w:pPr>
        <w:spacing w:after="100"/>
      </w:pPr>
      <w:r>
        <w:t xml:space="preserve">El DCF da 77,65 USD por acción, un 49,1 % por debajo del precio, con un 60 % del valor en el terminal. El DCF inverso es la clave: para justificar 152,44 USD, JCI tendría que crecer un 17,6 % anual en 2027-2033 con nuestros márgenes (frente al 5,4 % de nuestro base y al 4,6 % de su historia reciente), o llegar a un margen EBITDA del 33,4 % con nuestro crecimiento, más que ninguna empresa del sector; la rentabilidad implícita en el precio es del 7,3 % anual, por debajo del WACC (10,85 %) y del 9,49 % que pide el mercado. Es muy exigente: el precio supone que el ciclo de centros de datos dura toda la década con márgenes de especialista. Con la prima del mercado el valor sube a 102,45 USD, todavía un 32,8 % por debajo. Aquí falla el filtro de valor real.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frenan su gasto en 2027 o los chips nuevos (como dijo Nvidia en enero) reducen la necesidad de enfriadoras; los pedidos caen y la cartera se convierte más despacio, como le pasó al sector en 2009 y a la propia JCI en 2020. El margen se estanca.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récord se convierte en ventas en 2027-2028, el sistema de gestión de Weidemanis sigue subiendo márgenes y el crecimiento vuelve al ritmo del mercado a partir de 2029.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llegan a un tercio de las ventas antes de cinco años (CDU, Alloy, enfriadoras de absorción York) y la mejora de márgenes acerca a JCI a Trane.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52,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75,00 USD (-50,8 %).</w:t>
      </w:r>
    </w:p>
    <w:p>
      <w:pPr>
        <w:spacing w:after="100"/>
      </w:pPr>
      <w:r>
        <w:t xml:space="preserve">La asimetría a largo plazo es muy desfavorable: ni el escenario alcista (93,24 USD) se acerca al precio, y el bajista (51,44) pierde un 66,3 %. A 12 meses la cuenta es otra (alcista +11,5 %, bajista −47,1 % sobre el precio, con el objetivo ponderado en 139,82) porque la regla toma el múltiplo de hoy acercándolo a su historia y no el que justifica el DCF: la rentabilidad a un año depende de que el mercado siga pagando 23 veces, no de lo que vale el negocio a su coste de capital.</w:t>
      </w:r>
    </w:p>
    <w:p>
      <w:pPr>
        <w:pStyle w:val="Heading1"/>
      </w:pPr>
      <w:r>
        <w:t xml:space="preserve">22. Suma de partes</w:t>
      </w:r>
    </w:p>
    <w:p>
      <w:pPr>
        <w:pStyle w:val="Confianza"/>
        <w:spacing w:after="100"/>
      </w:pPr>
      <w:r>
        <w:t xml:space="preserve">Confianza: Media</w:t>
      </w:r>
    </w:p>
    <w:p>
      <w:pPr>
        <w:spacing w:after="100"/>
      </w:pPr>
      <w:r>
        <w:t xml:space="preserve">No aplica: la empresa publica segmentos geográficos (Américas, EMEA, Asia-Pacífico) y no da el resultado por línea de negocio (climatización, controles, incendios y seguridad), que comparten clientes, canales y servicio; sin esas cifras una suma de partes sería inventada.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52,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87,35 USD (-42,7 % sobre 152,44).</w:t>
      </w:r>
    </w:p>
    <w:p>
      <w:pPr>
        <w:spacing w:after="100"/>
      </w:pPr>
      <w:r>
        <w:t xml:space="preserve">El valor intrínseco (87,35 USD) sale del DCF (50 %), de los escenarios (30 %) y de los comparables (20 %, por PER adelantado en la misma base ajustada que nuestro BPA; mediana de 21,3x, con Daikin sin dato). Las transacciones no pesan: solo dos tienen múltiplo publicado y no suponemos una operación. La dispersión es grande: el DCF da 77,65; con la prima del mercado, 102,45; los comparables por PER, 106,62-142,67. El método más fiable aquí es el DCF con la prima del mercado como contraste: lo que dice el conjunto es que el precio de hoy solo se sostiene con un múltiplo de ciclo alto.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(25.4x) ÷ 1.1 (tope: la mediana de 5 años, 20.6x,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spacing w:after="100"/>
      </w:pPr>
      <w:r>
        <w:rPr>
          <w:b/>
          <w:bCs/>
        </w:rPr>
        <w:t xml:space="preserve">Objetivo a 12 meses (ponderado):</w:t>
      </w:r>
      <w:r>
        <w:t xml:space="preserve"> 139,82 USD · rentabilidad -7,2 % (base +2,3 %) · señal Mantener.</w:t>
      </w:r>
    </w:p>
    <w:p>
      <w:pPr>
        <w:spacing w:after="100"/>
      </w:pPr>
      <w:r>
        <w:t xml:space="preserve">Para comparar, con la regla v2 (historia al cierre, mismo precio): 15,2x / 20,9x / 21,3x, -13,2 % Vender; con el tope anterior del base (×1,3, 14-oct mediodía): -7,9 %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(5,05, la guía) coincide con el consenso (5,07) y el de 2027e (6,00) queda un 1,8 % por debajo (6,11) [20]: no contamos recompras no anunciadas y el consenso sí. La diferencia de precio es de múltiplo: nuestro precio base (154,31 USD) queda un 8,0 % por debajo del objetivo medio de 20 analistas (167,75), porque la regla baja el PER de 25,4x hacia la mediana de cinco años (20,6x) con el tope ×1,1 (23,1x), mientras los analistas mantienen el múltiplo actual sobre un BPA que crece al 20 %.</w:t>
      </w:r>
    </w:p>
    <w:p>
      <w:pPr>
        <w:keepNext/>
        <w:spacing w:after="100"/>
      </w:pPr>
      <w:r>
        <w:rPr>
          <w:b/>
          <w:bCs/>
        </w:rPr>
        <w:t xml:space="preserve">Del valor intrínseco al objetivo a 12 meses.</w:t>
      </w:r>
    </w:p>
    <w:p>
      <w:pPr>
        <w:spacing w:after="100"/>
      </w:pPr>
      <w:r>
        <w:t xml:space="preserve">El valor intrínseco (87,35 USD) queda un 37,5 % por debajo del objetivo a 12 meses (139,82): el mercado paga 25,4 veces el BPA ajustado del año que viene, un múltiplo que el DCF solo justifica con un crecimiento del 17,6 % anual en 2027-2033 (proyectamos un 5,4 %) o con un margen EBITDA del 33,4 % (proyectamos un 19,6 %). Para cerrar la distancia haría falta que los centros de datos llegaran a un tercio de las ventas sin bajar márgenes y que el ciclo durara toda la década, o que la acción corrigiera. La tesis de valor es a más de un año y hoy no se cumple. El BPA base de 2028e (6,68) crece un 21 % anual desde el ajustado de 2025 (3,76), no desde el contable (2,63): la mitad es el salto de 2026, ya casi cerrado con nueve meses publicados.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BPA ajustado de 2027 (consenso 6,11) y los pedidos deciden si el mercado mantiene 25 veces el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(primera semana)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cartera y margen con más sistemas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envíos grandes de CDU y pedidos de Alloy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JCI gana en refrigeración líquida, no solo en enfriadoras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hiperescaladores (gasto en centros de datos)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señal de freno ha bajado la acción un 5-6 % en un día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estratégica y ventas de negocios (residencial de seguridad)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Simplificación; caja para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o pausa del ciclo de inversión en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(escenario bajista: 51,44 USD frente a 77,65)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21.000 M; servicio recurrente del 32 %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orgánicos de Américas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tecnología: chips que se refrigeran sin enfriadoras (agua templada, líquido directo)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CDU, Alloy y enfriadoras de absorción; la dirección ve el riesgo «nominal»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Diseños de referencia de Nvidia sin enfriadora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Expectativas: el precio descuenta un 17,6 % de crecimiento anual en 2027-2033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−47 % (bajista a 12 meses: 80,65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subida tres veces y consenso al alza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ajustado de 2027 por debajo de 6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beneficio: reestructuraciones y transformación excluidas cada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(cada punto de ventas en cargos ≈ 6 % del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tratamos como coste en el DCF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por encima del 2 % de las ventas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cambio de modelo operativo y salida de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 historial en Danaher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servicio a la baja (ya cae en seguridad)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AFFF (lesiones personales) y amianto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y acuerdo de 750 M ya pagado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en el 10-K</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EMEA y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EMEA es el 21 %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EMEA con crecimiento orgánico negativo</w:t>
            </w:r>
          </w:p>
        </w:tc>
      </w:tr>
    </w:tbl>
    <w:p>
      <w:pPr>
        <w:spacing w:after="160" w:before="0"/>
      </w:pPr>
    </w:p>
    <w:p>
      <w:pPr>
        <w:pStyle w:val="Heading2"/>
      </w:pPr>
      <w:r>
        <w:t xml:space="preserve">Pre-mortem</w:t>
      </w:r>
    </w:p>
    <w:p>
      <w:pPr>
        <w:spacing w:after="100"/>
      </w:pPr>
      <w:r>
        <w:t xml:space="preserve">Octubre de 2029: la acción vale 91 USD, un 40 % menos. Lo que pasó: en 2027 dos hiperescaladores recortaron su inversión tras unos años sin rentabilizar la IA, y los diseños de Nvidia para la generación siguiente se refrigeraron con agua templada sin enfriadoras. Los pedidos de Américas pasaron del +37 % al −10 % en tres trimestres; la cartera se convirtió, pero sin pedidos nuevos las ventas de 2028 se estancaron. El margen, que había subido por el volumen, retrocedió dos puntos, y la empresa volvió a anunciar una reestructuración «extraordinaria». El mercado dejó de pagar 25 veces un beneficio ajustado que no se convertía en ROIC y la acción volvió a su mediana de 20 veces sobre un BPA un 15 % menor. Lo habría anticipado la relación pedidos/ventas de Américas por debajo de 1 y la caída del crecimiento de la cartera.</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+15 % a 3-5 años (bajista: −34 % sobre el DCF base si el ciclo se corta; alcista: +20 %)</w:t>
      </w:r>
    </w:p>
    <w:p>
      <w:pPr>
        <w:spacing w:after="100"/>
      </w:pPr>
      <w:r>
        <w:t xml:space="preserve">La IA toca a JCI sobre todo por la demanda: los centros de datos son ya el 17-19 % de las ventas y el motor de la cartera récord, y la empresa quiere llevarlos a un tercio en 3-5 años [8]. La amenaza no es que la IA sustituya su producto (las máquinas que enfrían y protegen edificios no se automatizan), sino dos riesgos de demanda: que el ciclo de inversión de los hiperescaladores se frene y que la tecnología de los chips reduzca la necesidad de enfriadoras (Nvidia, enero: −6,2 % en un día) [12]. En el software de edificios (OpenBlue) la IA es una oportunidad y una amenaza moderada: nuevos entrantes pueden quitar margen a los controles propietarios. Señal: pedidos de Américas y diseños de referencia de Nvidia.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JCI es la eficiencia energética de sus equipos (sus enfriadoras y bombas de calor son una palanca de descarbonización), los refrigerantes de bajo potencial de calentamiento que exige la regulación y la responsabilidad por productos peligrosos del pasado: espumas AFFF con PFAS de Tyco Fire Products y amianto [1]. Tiene un bono vinculado a la sostenibilidad con vencimiento en 2031 [17].</w:t>
      </w:r>
    </w:p>
    <w:p>
      <w:pPr>
        <w:pStyle w:val="Heading2"/>
      </w:pPr>
      <w:r>
        <w:t xml:space="preserve">Controversias</w:t>
      </w:r>
    </w:p>
    <w:p>
      <w:pPr>
        <w:spacing w:after="100"/>
      </w:pPr>
      <w:r>
        <w:t xml:space="preserve">Espumas AFFF: acuerdo de 750 M USD con los sistemas públicos de agua de EE. UU. en 2024, con demandas de lesiones personales pendientes [1, 6]. Ciberataque con robo de datos en 2023 (27 M de costes en 2024) [6]. Litigios por amianto heredados, cubiertos en parte por seguros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21.000 M es de centros de datos y con qué calendario de entrega?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cuánto dura el crecimiento de dos dígitos.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contenido por megavatio tiene JCI en un centro de datos con refrigeración líquida sin enfriadora frente a uno con enfriadora?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Vera Rubin.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ajustado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dejarán de existir los costes de transformación y la reestructuración por encima de 300 M al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Explican la distancia de un 25 % entre BPA ajustado y contable.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del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objetivo de ROIC tiene la dirección y cuándo cubrirá el coste de capital con el fondo de comercio de Tyco?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8,2 % está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¿Seguirán recomprando a 25 veces el beneficio o preferirán compras en refrigeración líquida?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de opciones premia crecer en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cae la cartera de servicio en seguridad y qué parte del negocio de seguridad está en revisión?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servicio es la parte defensiva.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«fuerte crecimiento por centros de datos, pero dudas técnicas» (rebaja de julio) y «la IA y la cartera sostienen un Mantener» (agosto) a «ser dueño de las partes difíciles del frío está dando fruto» (13-oct)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 caídas del sector por tipos y dudas sobre los centros de datos (29-jul, 18-ago) frente a las subidas de guía y de objetivos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Mensajes alcistas de impulso: máximos de 52 semanas, lista de convicción de Goldman, «sigo con JCI» tras el 3T; casi ningún bajista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JCI como ganador del frío de los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los pedidos (+27 %), pero el precio ya descuenta un ciclo de diez años [3,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Momento técnico y máximos de 52 semanas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contenido fundamental; refleja la entrada de inversores de impulso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y dudas técnicas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autores prudentes de Seeking Alpha coinciden con nuestro DCF: buena empresa a precio lleno [31].</w:t>
            </w:r>
          </w:p>
        </w:tc>
      </w:tr>
    </w:tbl>
    <w:p>
      <w:pPr>
        <w:spacing w:after="160" w:before="0"/>
      </w:pPr>
    </w:p>
    <w:p>
      <w:pPr>
        <w:spacing w:after="100"/>
      </w:pPr>
      <w:r>
        <w:t xml:space="preserve">El sentimiento es positivo y mejora: los foros celebran los máximos y la entrada en la lista de convicción de Goldman, y los autores de Seeking Alpha han pasado de «Mantener por las dudas técnicas» (julio) a «ser dueño de las partes difíciles del frío da fruto» (octubre) [30, 31]. Va por delante de las cifras de calidad: nadie habla del ROIC ni de la reestructuración recurrente. Señal de prudencia.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4 explicados. Fuentes: 32 (17 primarias); citas distintas en el texto: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-42,0 %: explica la causa (créditos fiscales, regularizaciones, mezcla de países) y no lo proyectes en el DCF. Explicación: Beneficio fiscal extraordinario en 2023 (ingreso por impuestos de 468 M por partidas fiscales discretas, que la empresa excluye de su beneficio ajustado) [7]. El DCF usa un 17 %, el tipo ajustado normal de un grupo con sede en Irlanda.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7,3 %: explica la causa (créditos fiscales, regularizaciones, mezcla de países) y no lo proyectes en el DCF. Explicación: Tipo bajo en 2024 por partidas fiscales discretas y el efecto fiscal del acuerdo AFFF [6]. El DCF usa un 17 %.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8,5 % real: genera una variación de circulante de 41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3.570 M de flujo libre medio en sus tres primeros años, frente a 1.535 M de media real en los tres últimos: justifica el salto (circulante, inversión, márgenes) o ajusta los supuestos. Explicación: La caja libre real de 2022-2024 está deprimida por el pago del acuerdo AFFF (750 M), el fin del programa de factoring y la reestructuración; en los últimos doce meses a junio de 2026 fue de 3.167 M con una conversión de ≈100 % que guía la empresa [3]. Los 3.570 M medios de 2026e-2028e están en línea con ese nivel más el crecimiento.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(6,68) supone un 36,4 % anual desde 2,63 (2025): explícalo en valoracion.objetivo_12m.comentario o la confianza es baja. Explicación: El último BPA real es el contable (2,63 USD), con 546 M de reestructuración y deterioros; el BPA de la regla es el ajustado, que fue de 3,76 USD en 2025 y la empresa guía ≈5,05 para 2026. Desde el ajustado de 2025, el base de 2028e (6,68) supone un 21 % anual, la mitad por el salto ya casi cerrado de 2026.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18,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ejercicios 2016-2021 en el perímetro actual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2016-2021 publicados con el residencial, Power Solutions y otras divisiones; 2) 10-K 2025 solo reexpresa 2023-2025; 3) notas de resultados de 2022-2024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2022-2025 (perímetro de operaciones continuadas); 2022 con gastos por intereses en lugar de cargos financieros netos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crecimiento de 1T25-3T25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(dan EBIT y EBITA, no amortización trimestral salvo en flujos); 2) 10-Q no descargados;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el 3T26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Johnson Controls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(no la publica); 2) MarketsandMarkets y Grand View (sin cuotas públicas); 3) ficha sectorial (solo Trane)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su perímetro (climatización + controles + incendios y seguridad) no casa con un solo mercado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(no las cita); 2) MSCI y Sustainalytics (de pago); 3) informe de sostenibilidad (no leído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remuneración con el empleado mediano y desglose fijo/variable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resumen (formato de imagen sin texto extraíble); 2) sección CEO Pay Ratio (texto sin la cifra en la extracción); 3) Pay versus Performance (solo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 el total y el variable a largo plazo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 y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solo 2026-2027; 2) Stock Analysis: 2028 de pago; 3) MarketScreener: no consultado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NTM y crecimiento esperado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LTM y PER adelantado); 2) ficha sectorial del 14-oct (igual); 3) informes del repositorio de Trane y Daikin (otra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sobre todo el PER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tercera transacción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Bosch-JCI residencial: múltiplo no publicado; 2) Trane-Stellar y Trane-LiquidStack: sin múltiplo; 3) Schneider-Motivair: sin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0</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(cerrado el 30-sep-2025): negocio, segmentos, deuda, litigios (AFFF, amianto)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Controls International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https://www.sec.gov/Archives/edgar/data/833444/000083344425000097/jci-20250930.htm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resultado de operaciones continuadas y reestructuración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https://data.sec.gov/api/xbrl/companyfacts/CIK0000833444.json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Reports Strong Q3 Results; Raises FY26 Guidance (8-K, anexo 99.1): cuenta, balance a 30-jun-2026, flujos de 9 meses, segmentos y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https://www.sec.gov/Archives/edgar/data/833444/000083344426000083/q3ex991xq3fy26earningsrele.htm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Reports Strong Q2 Results; Raises FY26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https://www.sec.gov/Archives/edgar/data/833444/000083344426000047/q2ex991xq2fy26earningsrele.htm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Reports Strong Q1 Results; Raises FY26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https://www.sec.gov/Archives/edgar/data/833444/000083344426000014/q1ex991xq1fy26earningsrele.htm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Reports Q4 and FY25 Results; Initiates FY26 Guidance (8-K, anexo 99.1): ejercicio 2025 y 2024 de operaciones continuadas, BPA ajustado, recompra acelerada de 5.000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https://www.sec.gov/Archives/edgar/data/833444/000083344425000084/q4exh991xq4fy25earningsrel.htm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2024 (8-K, anexo 99.1): ejercicio 2023 de operaciones continuadas (cargos financieros netos 258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https://www.sec.gov/Archives/edgar/data/833444/000083344424000060/q4exh991xq4fy24earningsrel.htm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(JCI) Q3 2026 Earnings Call Transcript (centros de datos ≈ «high teens» de las ventas de 2026, un tercio en 3-5 años; cartera de CDU de ≈1.000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https://www.webull.com/news/15364304602866688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HVAC System Market worth $407.77 billion by 2030 (≈299.000 M USD en 2025, +6,4 %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https://www.webull.com/news/13414319103181824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HVAC market to reach USD 382.66 billion by 2030 (Grand View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https://refindustry.com/news/market-research/hvac-market-to-reach-usd-382-66-billion-by-2030/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climatización y control de edificios y comparables de Yahoo Finance del 14-oct-2026 (sectores/climatizacion-hvac-2026-10-14)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https://finance.yahoo.com/quote/JCI/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Nvidia disrupting HVAC? Johnson Controls, Trane shares dip amid cooling shift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https://www.investing.com/news/stock-market-news/is-nvidia-disrupting-hvac-johnson-controls-trane--shares-dip-amid-cooling-shift-4432573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completes acquisition of Alloy Enterprises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https://www.johnsoncontrols.com/media-center/news/press-releases/2026/05/13/johnson-controls-completes-acquisition-of-alloy-enterprises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 2025, accionistas de más del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https://www.sec.gov/Archives/edgar/data/833444/000110465926004565/tm2524665-5_def14a.htm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https://www.sec.gov/cgi-bin/browse-edgar?action=getcompany&amp;CIK=0000833444&amp;type=4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del 13-may-2026: programa de opciones «Value Growth Incentive» 2026-2030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https://www.sec.gov/Archives/edgar/data/833444/000083344426000058/jci-20260511.htm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del 4-may-2026 (salida de Lei Schlitz) y del 30-sep-2026 (salida de Julie Brandt)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https://www.sec.gov/Archives/edgar/data/833444/000083344426000098/jci-20260925.htm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del 3-jun-2026: nombramiento de Irene Esteves como consejera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https://www.sec.gov/Archives/edgar/data/833444/000083344426000064/a8-k2026x06x03ex991.htm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JCI, ^GSPC y XLI (herramientas/bolsa.mjs y movimiento.mjs), hasta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https://finance.yahoo.com/quote/JCI/history/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BPA y ventas 2026-2027, recomendaciones, precio objetivo y cambios de recomendación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https://finance.yahoo.com/quote/JCI/analysis/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JCI stock forecast y estadísticas (acciones 605,74 M, posición corta 1,5 %, objetivo medio 168,5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https://stockanalysis.com/stocks/jci/forecast/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DGS10: bono del Tesoro de EE. UU. a 10 años, 13-oct-2026 (5,21 %)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climatización y control de edificios (capitalización, EV/EBITDA, PER adelantado, márgenes, ROIC)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(sectores/climatizacion-hvac-2026-10-14-comparables.json)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 (9.500 M USD, 22,5 veces el EBITDA ajustado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https://www.businesswire.com/news/home/20251103856036/en/Eaton-Signs-Agreement-to-Acquire-Boyd-Thermal-Expanding-Solutions-for-Data-Center-Customers-to-Include-Critical-Liquid-Cooling-Technology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Form 10-K 2024 (contraprestación de Viessmann Climate Solutions: 14.200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https://www.sec.gov/Archives/edgar/data/1783180/000178318025000008/Financial_Report.xlsx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Carrier Corporation Making a Huge Mistake? (EBITDA 2023 de Viessmann ≈770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https://www.fool.com/investing/2023/05/01/is-carrier-corporation-making-a-huge-mistake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Announces Fourth Quarter 2026 Earnings Conference Call Webcast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https://www.johnsoncontrols.com/media-center/news/press-releases/2026/10/01/johnson-controls-announces-fourth-quarter-2026-earnings-conference-call-webcast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HVAC stocks slide as rising Treasury yields hit AI infrastructure trade; Trane upgraded, Lennox and Carrier downgraded at Goldman Sachs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https://seekingalpha.com/symbol/JCI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$JCI: Goldman añade JCI a su lista de convicción de EE. UU.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https://api.stocktwits.com/api/2/streams/symbol/JCI.json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titulares y artículos de autores (RSS, mayo-octubre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https://seekingalpha.com/api/sa/combined/JCI.xml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86,6 %</w:t>
      </w:r>
      <w:r>
        <w:t xml:space="preserve"> · Secciones con menos del 60 % de campos cubiertos: </w:t>
      </w:r>
      <w:r>
        <w:rPr>
          <w:b/>
          <w:bCs/>
        </w:rPr>
        <w:t xml:space="preserve">balance</w:t>
      </w:r>
      <w:r>
        <w:t xml:space="preserve"> · Generado el 15 oct 2026.</w:t>
      </w:r>
    </w:p>
    <w:p>
      <w:pPr>
        <w:pStyle w:val="Nota"/>
        <w:spacing w:after="100"/>
      </w:pPr>
      <w:r>
        <w:t xml:space="preserve">Línea cotizada: acciones ordinarias en la Bolsa de Nueva York (JCI), en USD, la misma divisa de las cuentas. Precio: cierre del 14-oct-2026 (152,44 USD); la sesión del 15-oct no había cerrado al hacer el informe (a media sesión, 144,16 USD, −5,4 %, con la caída de los valores de frío para centros de datos) [11, 19]. Ejercicio a 30 de septiembre («2025» = octubre de 2024 a septiembre de 2025). Cuentas 2022-2025 de operaciones continuadas del XBRL de la SEC, sin el negocio residencial vendido a Bosch en julio de 2025 [2, 6]; los años anteriores tienen otro perímetro y no se usan. US GAAP: los arrendamientos operativos quedan dentro del EBITDA y fuera de la deuda. El BPA de la regla a 12 meses es el ajustado de la empresa (excluye reestructuraciones, costes de transformación, AFFF y ajustes a mercado de pensiones), el mismo del consenso y de la historia de PER; el DCF, en cambio, resta una reestructuración normalizada.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Johnson Controls International plc (JCI)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152,44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(107,77 – 160,41)</c:v>
                </c:pt>
                <c:pt idx="1">
                  <c:v>Precio objetivo de los analistas (129,00 – 193,00)</c:v>
                </c:pt>
                <c:pt idx="2">
                  <c:v>Comparables: PER NTM (106,62 – 142,67)</c:v>
                </c:pt>
                <c:pt idx="3">
                  <c:v>DCF (WACC y g ± 0,5) (69,03 – 88,73)</c:v>
                </c:pt>
                <c:pt idx="4">
                  <c:v>Escenarios (bajista – alcista) (51,44 – 93,24)</c:v>
                </c:pt>
                <c:pt idx="5">
                  <c:v>DCF con la prima implícita del mercado (4,2 %)</c:v>
                </c:pt>
                <c:pt idx="6">
                  <c:v>Precio actual (152,44)</c:v>
                </c:pt>
              </c:strCache>
            </c:strRef>
          </c:cat>
          <c:val>
            <c:numRef>
              <c:f>Hoja1!$B$2:$B$8</c:f>
              <c:numCache>
                <c:formatCode>#,##0</c:formatCode>
                <c:ptCount val="7"/>
                <c:pt idx="0">
                  <c:v>107.77</c:v>
                </c:pt>
                <c:pt idx="1">
                  <c:v>129</c:v>
                </c:pt>
                <c:pt idx="2">
                  <c:v>106.62</c:v>
                </c:pt>
                <c:pt idx="3">
                  <c:v>69.03</c:v>
                </c:pt>
                <c:pt idx="4">
                  <c:v>51.44</c:v>
                </c:pt>
                <c:pt idx="5">
                  <c:v>88.92</c:v>
                </c:pt>
                <c:pt idx="6">
                  <c:v>151.68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(107,77 – 160,41)</c:v>
                </c:pt>
                <c:pt idx="1">
                  <c:v>Precio objetivo de los analistas (129,00 – 193,00)</c:v>
                </c:pt>
                <c:pt idx="2">
                  <c:v>Comparables: PER NTM (106,62 – 142,67)</c:v>
                </c:pt>
                <c:pt idx="3">
                  <c:v>DCF (WACC y g ± 0,5) (69,03 – 88,73)</c:v>
                </c:pt>
                <c:pt idx="4">
                  <c:v>Escenarios (bajista – alcista) (51,44 – 93,24)</c:v>
                </c:pt>
                <c:pt idx="5">
                  <c:v>DCF con la prima implícita del mercado (4,2 %)</c:v>
                </c:pt>
                <c:pt idx="6">
                  <c:v>Precio actual (152,44)</c:v>
                </c:pt>
              </c:strCache>
            </c:strRef>
          </c:cat>
          <c:val>
            <c:numRef>
              <c:f>Hoja1!$C$2:$C$8</c:f>
              <c:numCache>
                <c:formatCode>#,##0</c:formatCode>
                <c:ptCount val="7"/>
                <c:pt idx="0">
                  <c:v>52.64</c:v>
                </c:pt>
                <c:pt idx="1">
                  <c:v>64</c:v>
                </c:pt>
                <c:pt idx="2">
                  <c:v>36.04999999999998</c:v>
                </c:pt>
                <c:pt idx="3">
                  <c:v>19.700000000000003</c:v>
                </c:pt>
                <c:pt idx="4">
                  <c:v>41.8</c:v>
                </c:pt>
                <c:pt idx="5">
                  <c:v>17.289999999999992</c:v>
                </c:pt>
                <c:pt idx="6">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Hoja1!$A$2:$A$4</c:f>
              <c:strCache>
                <c:ptCount val="3"/>
                <c:pt idx="0">
                  <c:v>LTM jun-26</c:v>
                </c:pt>
                <c:pt idx="1">
                  <c:v>2024</c:v>
                </c:pt>
                <c:pt idx="2">
                  <c:v>2025</c:v>
                </c:pt>
              </c:strCache>
            </c:strRef>
          </c:cat>
          <c:val>
            <c:numRef>
              <c:f>Hoja1!$B$2:$B$4</c:f>
              <c:numCache>
                <c:formatCode>#,##0</c:formatCode>
                <c:ptCount val="3"/>
                <c:pt idx="0">
                  <c:v>16793</c:v>
                </c:pt>
                <c:pt idx="1">
                  <c:v>15606</c:v>
                </c:pt>
                <c:pt idx="2">
                  <c:v>15831</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Hoja1!$A$2:$A$4</c:f>
              <c:strCache>
                <c:ptCount val="3"/>
                <c:pt idx="0">
                  <c:v>LTM jun-26</c:v>
                </c:pt>
                <c:pt idx="1">
                  <c:v>2024</c:v>
                </c:pt>
                <c:pt idx="2">
                  <c:v>2025</c:v>
                </c:pt>
              </c:strCache>
            </c:strRef>
          </c:cat>
          <c:val>
            <c:numRef>
              <c:f>Hoja1!$C$2:$C$4</c:f>
              <c:numCache>
                <c:formatCode>#,##0</c:formatCode>
                <c:ptCount val="3"/>
                <c:pt idx="0">
                  <c:v>5144</c:v>
                </c:pt>
                <c:pt idx="1">
                  <c:v>4620</c:v>
                </c:pt>
                <c:pt idx="2">
                  <c:v>4968</c:v>
                </c:pt>
              </c:numCache>
            </c:numRef>
          </c:val>
        </c:ser>
        <c:ser>
          <c:idx val="2"/>
          <c:order val="2"/>
          <c:tx>
            <c:strRef>
              <c:f>Hoja1!$D$1</c:f>
              <c:strCache>
                <c:ptCount val="1"/>
                <c:pt idx="0">
                  <c:v>Asia-Pacífico</c:v>
                </c:pt>
              </c:strCache>
            </c:strRef>
          </c:tx>
          <c:spPr>
            <a:solidFill>
              <a:srgbClr val="1BAF7A"/>
            </a:solidFill>
            <a:ln w="12700">
              <a:solidFill>
                <a:srgbClr val="FFFFFF"/>
              </a:solidFill>
            </a:ln>
          </c:spPr>
          <c:invertIfNegative val="0"/>
          <c:cat>
            <c:strRef>
              <c:f>Hoja1!$A$2:$A$4</c:f>
              <c:strCache>
                <c:ptCount val="3"/>
                <c:pt idx="0">
                  <c:v>LTM jun-26</c:v>
                </c:pt>
                <c:pt idx="1">
                  <c:v>2024</c:v>
                </c:pt>
                <c:pt idx="2">
                  <c:v>2025</c:v>
                </c:pt>
              </c:strCache>
            </c:strRef>
          </c:cat>
          <c:val>
            <c:numRef>
              <c:f>Hoja1!$D$2:$D$4</c:f>
              <c:numCache>
                <c:formatCode>#,##0</c:formatCode>
                <c:ptCount val="3"/>
                <c:pt idx="0">
                  <c:v>3058</c:v>
                </c:pt>
                <c:pt idx="1">
                  <c:v>2726</c:v>
                </c:pt>
                <c:pt idx="2">
                  <c:v>2797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Américas</c:v>
                </c:pt>
                <c:pt idx="1">
                  <c:v>EMEA</c:v>
                </c:pt>
                <c:pt idx="2">
                  <c:v>Asia-Pacífico</c:v>
                </c:pt>
              </c:strCache>
            </c:strRef>
          </c:cat>
          <c:val>
            <c:numRef>
              <c:f>Hoja1!$B$2:$B$4</c:f>
              <c:numCache>
                <c:formatCode>General</c:formatCode>
                <c:ptCount val="3"/>
                <c:pt idx="0">
                  <c:v>67.1</c:v>
                </c:pt>
                <c:pt idx="1">
                  <c:v>21.1</c:v>
                </c:pt>
                <c:pt idx="2">
                  <c:v>11.9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segmento (LTM jun-26)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Américas</c:v>
                </c:pt>
                <c:pt idx="1">
                  <c:v>EMEA</c:v>
                </c:pt>
                <c:pt idx="2">
                  <c:v>Asia-Pacífico</c:v>
                </c:pt>
              </c:strCache>
            </c:strRef>
          </c:cat>
          <c:val>
            <c:numRef>
              <c:f>Hoja1!$B$2:$B$4</c:f>
              <c:numCache>
                <c:formatCode>0"%"</c:formatCode>
                <c:ptCount val="3"/>
                <c:pt idx="0">
                  <c:v>67.2</c:v>
                </c:pt>
                <c:pt idx="1">
                  <c:v>20.6</c:v>
                </c:pt>
                <c:pt idx="2">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(MarketsandMarkets; 2026-2030 previsión))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299</c:v>
                </c:pt>
                <c:pt idx="1">
                  <c:v>318</c:v>
                </c:pt>
                <c:pt idx="2">
                  <c:v>338</c:v>
                </c:pt>
                <c:pt idx="3">
                  <c:v>360</c:v>
                </c:pt>
                <c:pt idx="4">
                  <c:v>383</c:v>
                </c:pt>
                <c:pt idx="5">
                  <c:v>408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Johnson Controls</c:v>
                </c:pt>
                <c:pt idx="1">
                  <c:v>Trane Technologies</c:v>
                </c:pt>
                <c:pt idx="2">
                  <c:v>Carrier Global</c:v>
                </c:pt>
                <c:pt idx="3">
                  <c:v>Daikin Industries</c:v>
                </c:pt>
                <c:pt idx="4">
                  <c:v>Vertiv</c:v>
                </c:pt>
                <c:pt idx="5">
                  <c:v>Siemens (Smart Infrastructure)</c:v>
                </c:pt>
                <c:pt idx="6">
                  <c:v>Honeywell (Building Automation)</c:v>
                </c:pt>
              </c:strCache>
            </c:strRef>
          </c:cat>
          <c:val>
            <c:numRef>
              <c:f>Hoja1!$B$2:$B$8</c:f>
              <c:numCache>
                <c:formatCode>0.0"%"</c:formatCode>
                <c:ptCount val="7"/>
                <c:pt idx="0">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2022</c:v>
                </c:pt>
                <c:pt idx="1">
                  <c:v>2023</c:v>
                </c:pt>
                <c:pt idx="2">
                  <c:v>2024</c:v>
                </c:pt>
                <c:pt idx="3">
                  <c:v>2025</c:v>
                </c:pt>
                <c:pt idx="4">
                  <c:v>2026e</c:v>
                </c:pt>
                <c:pt idx="5">
                  <c:v>2027e</c:v>
                </c:pt>
                <c:pt idx="6">
                  <c:v>2028e</c:v>
                </c:pt>
                <c:pt idx="7">
                  <c:v>2029e</c:v>
                </c:pt>
                <c:pt idx="8">
                  <c:v>2030e</c:v>
                </c:pt>
                <c:pt idx="9">
                  <c:v>2031e</c:v>
                </c:pt>
                <c:pt idx="10">
                  <c:v>2032e</c:v>
                </c:pt>
                <c:pt idx="11">
                  <c:v>2033e</c:v>
                </c:pt>
              </c:strCache>
            </c:strRef>
          </c:cat>
          <c:val>
            <c:numRef>
              <c:f>Hoja1!$B$2:$B$13</c:f>
              <c:numCache>
                <c:formatCode>#,##0</c:formatCode>
                <c:ptCount val="12"/>
                <c:pt idx="0">
                  <c:v>20637</c:v>
                </c:pt>
                <c:pt idx="1">
                  <c:v>22331</c:v>
                </c:pt>
                <c:pt idx="2">
                  <c:v>22952</c:v>
                </c:pt>
                <c:pt idx="3">
                  <c:v>23596</c:v>
                </c:pt>
                <c:pt idx="4">
                  <c:v>25578</c:v>
                </c:pt>
                <c:pt idx="5">
                  <c:v>27496</c:v>
                </c:pt>
                <c:pt idx="6">
                  <c:v>29421</c:v>
                </c:pt>
                <c:pt idx="7">
                  <c:v>31186</c:v>
                </c:pt>
                <c:pt idx="8">
                  <c:v>32746</c:v>
                </c:pt>
                <c:pt idx="9">
                  <c:v>34219</c:v>
                </c:pt>
                <c:pt idx="10">
                  <c:v>35588</c:v>
                </c:pt>
                <c:pt idx="11">
                  <c:v>36834</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2022</c:v>
                </c:pt>
                <c:pt idx="1">
                  <c:v>2023</c:v>
                </c:pt>
                <c:pt idx="2">
                  <c:v>2024</c:v>
                </c:pt>
                <c:pt idx="3">
                  <c:v>2025</c:v>
                </c:pt>
                <c:pt idx="4">
                  <c:v>2026e</c:v>
                </c:pt>
                <c:pt idx="5">
                  <c:v>2027e</c:v>
                </c:pt>
                <c:pt idx="6">
                  <c:v>2028e</c:v>
                </c:pt>
                <c:pt idx="7">
                  <c:v>2029e</c:v>
                </c:pt>
                <c:pt idx="8">
                  <c:v>2030e</c:v>
                </c:pt>
                <c:pt idx="9">
                  <c:v>2031e</c:v>
                </c:pt>
                <c:pt idx="10">
                  <c:v>2032e</c:v>
                </c:pt>
                <c:pt idx="11">
                  <c:v>2033e</c:v>
                </c:pt>
              </c:strCache>
            </c:strRef>
          </c:cat>
          <c:val>
            <c:numRef>
              <c:f>Hoja1!$C$2:$C$13</c:f>
              <c:numCache>
                <c:formatCode>#,##0</c:formatCode>
                <c:ptCount val="12"/>
                <c:pt idx="0">
                  <c:v>2054</c:v>
                </c:pt>
                <c:pt idx="1">
                  <c:v>2116</c:v>
                </c:pt>
                <c:pt idx="2">
                  <c:v>3063</c:v>
                </c:pt>
                <c:pt idx="3">
                  <c:v>3153</c:v>
                </c:pt>
                <c:pt idx="4">
                  <c:v>4016</c:v>
                </c:pt>
                <c:pt idx="5">
                  <c:v>4949</c:v>
                </c:pt>
                <c:pt idx="6">
                  <c:v>5531</c:v>
                </c:pt>
                <c:pt idx="7">
                  <c:v>6019</c:v>
                </c:pt>
                <c:pt idx="8">
                  <c:v>6385</c:v>
                </c:pt>
                <c:pt idx="9">
                  <c:v>6707</c:v>
                </c:pt>
                <c:pt idx="10">
                  <c:v>6975</c:v>
                </c:pt>
                <c:pt idx="11">
                  <c:v>7219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34.4</c:v>
                </c:pt>
                <c:pt idx="1">
                  <c:v>34.9</c:v>
                </c:pt>
                <c:pt idx="2">
                  <c:v>35.2</c:v>
                </c:pt>
                <c:pt idx="3">
                  <c:v>36.4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10</c:v>
                </c:pt>
                <c:pt idx="1">
                  <c:v>9.5</c:v>
                </c:pt>
                <c:pt idx="2">
                  <c:v>13.3</c:v>
                </c:pt>
                <c:pt idx="3">
                  <c:v>13.4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6.5</c:v>
                </c:pt>
                <c:pt idx="1">
                  <c:v>6.1</c:v>
                </c:pt>
                <c:pt idx="2">
                  <c:v>9.8</c:v>
                </c:pt>
                <c:pt idx="3">
                  <c:v>9.7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Hoja1!$A$2:$A$5</c:f>
              <c:strCache>
                <c:ptCount val="4"/>
                <c:pt idx="0">
                  <c:v>2022</c:v>
                </c:pt>
                <c:pt idx="1">
                  <c:v>2023</c:v>
                </c:pt>
                <c:pt idx="2">
                  <c:v>2024</c:v>
                </c:pt>
                <c:pt idx="3">
                  <c:v>2025</c:v>
                </c:pt>
              </c:strCache>
            </c:strRef>
          </c:cat>
          <c:val>
            <c:numRef>
              <c:f>Hoja1!$E$2:$E$5</c:f>
              <c:numCache>
                <c:formatCode>0"%"</c:formatCode>
                <c:ptCount val="4"/>
                <c:pt idx="0">
                  <c:v>6.2</c:v>
                </c:pt>
                <c:pt idx="1">
                  <c:v>7</c:v>
                </c:pt>
                <c:pt idx="2">
                  <c:v>6.1</c:v>
                </c:pt>
                <c:pt idx="3">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6.7</c:v>
                </c:pt>
                <c:pt idx="4">
                  <c:v>3.1</c:v>
                </c:pt>
                <c:pt idx="5">
                  <c:v>6.8</c:v>
                </c:pt>
                <c:pt idx="6">
                  <c:v>8.2</c:v>
                </c:pt>
                <c:pt idx="7">
                  <c:v>9.3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5">
                  <c:v>6</c:v>
                </c:pt>
                <c:pt idx="6">
                  <c:v>6</c:v>
                </c:pt>
                <c:pt idx="7">
                  <c:v>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101</c:v>
                </c:pt>
                <c:pt idx="1">
                  <c:v>90</c:v>
                </c:pt>
                <c:pt idx="2">
                  <c:v>96</c:v>
                </c:pt>
                <c:pt idx="3">
                  <c:v>97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72</c:v>
                </c:pt>
                <c:pt idx="1">
                  <c:v>47</c:v>
                </c:pt>
                <c:pt idx="2">
                  <c:v>44</c:v>
                </c:pt>
                <c:pt idx="3">
                  <c:v>44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118</c:v>
                </c:pt>
                <c:pt idx="1">
                  <c:v>88</c:v>
                </c:pt>
                <c:pt idx="2">
                  <c:v>83</c:v>
                </c:pt>
                <c:pt idx="3">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750</c:v>
                </c:pt>
                <c:pt idx="1">
                  <c:v>1410</c:v>
                </c:pt>
                <c:pt idx="2">
                  <c:v>1074</c:v>
                </c:pt>
                <c:pt idx="3">
                  <c:v>2120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1279</c:v>
                </c:pt>
                <c:pt idx="1">
                  <c:v>1562</c:v>
                </c:pt>
                <c:pt idx="2">
                  <c:v>1407</c:v>
                </c:pt>
                <c:pt idx="3">
                  <c:v>1721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5.7</c:v>
                </c:pt>
                <c:pt idx="1">
                  <c:v>5.7</c:v>
                </c:pt>
                <c:pt idx="2">
                  <c:v>8.1</c:v>
                </c:pt>
                <c:pt idx="3">
                  <c:v>8.2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10.8</c:v>
                </c:pt>
                <c:pt idx="1">
                  <c:v>10.8</c:v>
                </c:pt>
                <c:pt idx="2">
                  <c:v>10.8</c:v>
                </c:pt>
                <c:pt idx="3">
                  <c:v>10.8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7.9</c:v>
                </c:pt>
                <c:pt idx="1">
                  <c:v>9.5</c:v>
                </c:pt>
                <c:pt idx="2">
                  <c:v>8.6</c:v>
                </c:pt>
                <c:pt idx="3">
                  <c:v>11.9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0.0"x"</c:formatCode>
                <c:ptCount val="4"/>
                <c:pt idx="0">
                  <c:v>2.95</c:v>
                </c:pt>
                <c:pt idx="1">
                  <c:v>3.47</c:v>
                </c:pt>
                <c:pt idx="2">
                  <c:v>2.9</c:v>
                </c:pt>
                <c:pt idx="3">
                  <c:v>3.01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269</c:v>
                </c:pt>
                <c:pt idx="1">
                  <c:v>726</c:v>
                </c:pt>
                <c:pt idx="2">
                  <c:v>3</c:v>
                </c:pt>
                <c:pt idx="3">
                  <c:v>10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916</c:v>
                </c:pt>
                <c:pt idx="1">
                  <c:v>980</c:v>
                </c:pt>
                <c:pt idx="2">
                  <c:v>1000</c:v>
                </c:pt>
                <c:pt idx="3">
                  <c:v>976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1441</c:v>
                </c:pt>
                <c:pt idx="1">
                  <c:v>625</c:v>
                </c:pt>
                <c:pt idx="2">
                  <c:v>1246</c:v>
                </c:pt>
                <c:pt idx="3">
                  <c:v>5991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Dodge &amp; Cox</c:v>
                </c:pt>
                <c:pt idx="2">
                  <c:v>BlackRock, Inc.</c:v>
                </c:pt>
              </c:strCache>
            </c:strRef>
          </c:cat>
          <c:val>
            <c:numRef>
              <c:f>Hoja1!$B$2:$B$4</c:f>
              <c:numCache>
                <c:formatCode>0.0"%"</c:formatCode>
                <c:ptCount val="3"/>
                <c:pt idx="0">
                  <c:v>11.2</c:v>
                </c:pt>
                <c:pt idx="1">
                  <c:v>10</c:v>
                </c:pt>
                <c:pt idx="2">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23.4</c:v>
                </c:pt>
                <c:pt idx="1">
                  <c:v>-7.5</c:v>
                </c:pt>
                <c:pt idx="2">
                  <c:v>-22.2</c:v>
                </c:pt>
                <c:pt idx="3">
                  <c:v>37.3</c:v>
                </c:pt>
                <c:pt idx="4">
                  <c:v>14.4</c:v>
                </c:pt>
                <c:pt idx="5">
                  <c:v>74.5</c:v>
                </c:pt>
                <c:pt idx="6">
                  <c:v>-21.3</c:v>
                </c:pt>
                <c:pt idx="7">
                  <c:v>-9.9</c:v>
                </c:pt>
                <c:pt idx="8">
                  <c:v>36.9</c:v>
                </c:pt>
                <c:pt idx="9">
                  <c:v>51.7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20.3</c:v>
                </c:pt>
                <c:pt idx="1">
                  <c:v>21.3</c:v>
                </c:pt>
                <c:pt idx="2">
                  <c:v>20.4</c:v>
                </c:pt>
                <c:pt idx="3">
                  <c:v>25.8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20.9</c:v>
                </c:pt>
                <c:pt idx="1">
                  <c:v>20.9</c:v>
                </c:pt>
                <c:pt idx="2">
                  <c:v>20.9</c:v>
                </c:pt>
                <c:pt idx="3">
                  <c:v>20.9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Boyd Thermal (refrigeración líquida)</c:v>
                </c:pt>
                <c:pt idx="1">
                  <c:v>Viessmann Climate Solutions</c:v>
                </c:pt>
                <c:pt idx="2">
                  <c:v>Residencial y comercial ligero de Johnson Controls (con la sociedad conjunta con Hitachi)</c:v>
                </c:pt>
              </c:strCache>
            </c:strRef>
          </c:cat>
          <c:val>
            <c:numRef>
              <c:f>Hoja1!$B$2:$B$4</c:f>
              <c:numCache>
                <c:formatCode>0.0"x"</c:formatCode>
                <c:ptCount val="3"/>
                <c:pt idx="0">
                  <c:v>22.5</c:v>
                </c:pt>
                <c:pt idx="1">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3021</c:v>
                </c:pt>
                <c:pt idx="1">
                  <c:v>3631</c:v>
                </c:pt>
                <c:pt idx="2">
                  <c:v>4057</c:v>
                </c:pt>
                <c:pt idx="3">
                  <c:v>4415</c:v>
                </c:pt>
                <c:pt idx="4">
                  <c:v>4675</c:v>
                </c:pt>
                <c:pt idx="5">
                  <c:v>4887</c:v>
                </c:pt>
                <c:pt idx="6">
                  <c:v>5089</c:v>
                </c:pt>
                <c:pt idx="7">
                  <c:v>5281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22198</c:v>
                </c:pt>
                <c:pt idx="1">
                  <c:v>33845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152,44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51.44</c:v>
                </c:pt>
                <c:pt idx="1">
                  <c:v>77.65</c:v>
                </c:pt>
                <c:pt idx="2">
                  <c:v>93.24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152,44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(107,77 – 160,41)</c:v>
                </c:pt>
                <c:pt idx="1">
                  <c:v>Precio objetivo de los analistas (129,00 – 193,00)</c:v>
                </c:pt>
                <c:pt idx="2">
                  <c:v>Comparables: PER NTM (106,62 – 142,67)</c:v>
                </c:pt>
                <c:pt idx="3">
                  <c:v>DCF (WACC y g ± 0,5) (69,03 – 88,73)</c:v>
                </c:pt>
                <c:pt idx="4">
                  <c:v>Escenarios (bajista – alcista) (51,44 – 93,24)</c:v>
                </c:pt>
                <c:pt idx="5">
                  <c:v>DCF con la prima implícita del mercado (4,2 %)</c:v>
                </c:pt>
                <c:pt idx="6">
                  <c:v>Precio actual (152,44)</c:v>
                </c:pt>
              </c:strCache>
            </c:strRef>
          </c:cat>
          <c:val>
            <c:numRef>
              <c:f>Hoja1!$B$2:$B$8</c:f>
              <c:numCache>
                <c:formatCode>#,##0</c:formatCode>
                <c:ptCount val="7"/>
                <c:pt idx="0">
                  <c:v>107.77</c:v>
                </c:pt>
                <c:pt idx="1">
                  <c:v>129</c:v>
                </c:pt>
                <c:pt idx="2">
                  <c:v>106.62</c:v>
                </c:pt>
                <c:pt idx="3">
                  <c:v>69.03</c:v>
                </c:pt>
                <c:pt idx="4">
                  <c:v>51.44</c:v>
                </c:pt>
                <c:pt idx="5">
                  <c:v>88.92</c:v>
                </c:pt>
                <c:pt idx="6">
                  <c:v>151.68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(107,77 – 160,41)</c:v>
                </c:pt>
                <c:pt idx="1">
                  <c:v>Precio objetivo de los analistas (129,00 – 193,00)</c:v>
                </c:pt>
                <c:pt idx="2">
                  <c:v>Comparables: PER NTM (106,62 – 142,67)</c:v>
                </c:pt>
                <c:pt idx="3">
                  <c:v>DCF (WACC y g ± 0,5) (69,03 – 88,73)</c:v>
                </c:pt>
                <c:pt idx="4">
                  <c:v>Escenarios (bajista – alcista) (51,44 – 93,24)</c:v>
                </c:pt>
                <c:pt idx="5">
                  <c:v>DCF con la prima implícita del mercado (4,2 %)</c:v>
                </c:pt>
                <c:pt idx="6">
                  <c:v>Precio actual (152,44)</c:v>
                </c:pt>
              </c:strCache>
            </c:strRef>
          </c:cat>
          <c:val>
            <c:numRef>
              <c:f>Hoja1!$C$2:$C$8</c:f>
              <c:numCache>
                <c:formatCode>#,##0</c:formatCode>
                <c:ptCount val="7"/>
                <c:pt idx="0">
                  <c:v>52.64</c:v>
                </c:pt>
                <c:pt idx="1">
                  <c:v>64</c:v>
                </c:pt>
                <c:pt idx="2">
                  <c:v>36.04999999999998</c:v>
                </c:pt>
                <c:pt idx="3">
                  <c:v>19.700000000000003</c:v>
                </c:pt>
                <c:pt idx="4">
                  <c:v>41.8</c:v>
                </c:pt>
                <c:pt idx="5">
                  <c:v>17.289999999999992</c:v>
                </c:pt>
                <c:pt idx="6">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