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Legrand SA</w:t>
      </w:r>
    </w:p>
    <w:p>
      <w:pPr>
        <w:spacing w:after="60"/>
        <w:rPr>
          <w:color w:val="52514E"/>
          <w:sz w:val="22"/>
          <w:szCs w:val="22"/>
        </w:rPr>
      </w:pPr>
      <w:r>
        <w:rPr>
          <w:color w:val="52514E"/>
          <w:sz w:val="22"/>
          <w:szCs w:val="22"/>
        </w:rPr>
        <w:t xml:space="preserve">LR · Euronext Paris · ISIN FR0010307819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133,70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145,72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+10,8 % (base +8,6 %)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125,30 EUR · mercado 150,92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35.217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Legrand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LR / FR0010307819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Paris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Componentes y equipos eléctricos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Limoges (Francia) · 1904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https://www.legrand.com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133,70 (15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121,95 – 166,95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35.217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41.106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76,9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145,72 EUR</w:t>
      </w:r>
      <w:r>
        <w:t xml:space="preserve"> frente a 133,70 · Rentabilidad a 12 meses </w:t>
      </w:r>
      <w:r>
        <w:rPr>
          <w:b/>
          <w:bCs/>
        </w:rPr>
        <w:t xml:space="preserve">+10,8 % (base +8,6 %)</w:t>
      </w:r>
      <w:r>
        <w:t xml:space="preserve"> · Valor intrínseco 125,30 EUR · con la prima implícita del mercado: 150,92 (+12,9 %) · Alcista / bajista +4,2 % / -51,2 %</w:t>
      </w:r>
    </w:p>
    <w:p>
      <w:pPr>
        <w:spacing w:after="100"/>
      </w:pPr>
      <w:r>
        <w:rPr>
          <w:b/>
        </w:rPr>
        <w:t xml:space="preserve">La recomendación y por qué.</w:t>
      </w:r>
      <w:r>
        <w:t xml:space="preserve"> Mantener, con convicción baja. El objetivo a 12 meses es 145,72 EUR (21,6 veces nuestro BPA de 2028e en el base), con una rentabilidad ponderada del 10,8 % y del 8,6 % en el base, por debajo del 15 % y el 12 % que pide una compra; el valor intrínseco (125,30 EUR) queda un 6,3 % por debajo del precio y el objetivo medio de los analistas (169,22 EUR) un 18 % por encima de nuestro base (142,78). A 12 meses la asimetría es favorable (+51 % frente a −29 %), pero con nuestro WACC el bajista del DCF pierde la mitad. La convicción es baja porque las reglas discrepan: con nuestro WACC sale Vender y con la prima del mercado, Mantener; subiría si el precio bajase de 125 EUR con el crecimiento de centros de datos intacto.</w:t>
      </w:r>
    </w:p>
    <w:p>
      <w:pPr>
        <w:spacing w:after="100"/>
      </w:pPr>
      <w:r>
        <w:rPr>
          <w:b/>
        </w:rPr>
        <w:t xml:space="preserve">El negocio.</w:t>
      </w:r>
      <w:r>
        <w:t xml:space="preserve"> Legrand vende material eléctrico de baja tensión (enchufes, cuadros, cableado, control) y, cada vez más, la infraestructura de los centros de datos: el 32 % de las ventas del 1S26 [3]. Es un buen negocio: margen EBITDA del 23 % durante seis años, un ROIC del 35 % sin el fondo de comercio y del 16,4 % sobre el capital nuevo. Pero el ROIC con fondo de comercio es del 12,1 % frente a un WACC del 8,48 %: 3,6 puntos, por debajo de los 5 que exige comprar y de los 4,5 que pide mantener, porque el 64 % del capital es fondo de comercio de 30 años de compras. La sostenibilidad del crecimiento es «Sí»: proyectamos un 5,8 % anual, menos que la historia con compras (9,2 %) y dentro del plan orgánico de 2030 (6-8 %) [12].</w:t>
      </w:r>
    </w:p>
    <w:p>
      <w:pPr>
        <w:spacing w:after="100"/>
      </w:pPr>
      <w:r>
        <w:rPr>
          <w:b/>
        </w:rPr>
        <w:t xml:space="preserve">Sector y ciclo.</w:t>
      </w:r>
      <w:r>
        <w:t xml:space="preserve"> El mercado de infraestructura física de centros de datos crece al 22 % anual hasta 2030 según Dell’Oro [13], y Legrand ha subido la guía de 2026 al +16-19 % [3]. Ese ciclo es el que paga el múltiplo y el que más puede quitar: el 14-sep-2026 el sector cayó un 7 % por temores sobre la IA sin noticias de la empresa [36].</w:t>
      </w:r>
    </w:p>
    <w:p>
      <w:pPr>
        <w:spacing w:after="100"/>
      </w:pPr>
      <w:r>
        <w:rPr>
          <w:b/>
        </w:rPr>
        <w:t xml:space="preserve">Valoración.</w:t>
      </w:r>
      <w:r>
        <w:t xml:space="preserve"> El DCF (50 %) da 108,41 EUR, los comparables (25 %) 179,04 y los escenarios (25 %) 105,35. El DCF inverso dice que el precio pide un crecimiento del 8,8 % anual en 2027-2035, tres puntos más que nuestro base: es el tramo alto del plan con compras incluidas. Nuestro BPA de 2028e (6,61 EUR) está un 8 % por debajo del consenso (7,20) porque no incluimos compras nuevas [29]. Con la prima de riesgo que hoy pide el mercado, el valor sube a 150,92 EUR (+12,9 %): Legrand rinde lo que pide el mercado, no lo que pide su coste de capital histórico.</w:t>
      </w:r>
    </w:p>
    <w:p>
      <w:pPr>
        <w:spacing w:after="100"/>
      </w:pPr>
      <w:r>
        <w:rPr>
          <w:b/>
        </w:rPr>
        <w:t xml:space="preserve">Riesgos y catalizadores.</w:t>
      </w:r>
      <w:r>
        <w:t xml:space="preserve"> El riesgo mayor es una pausa de la inversión de los hiperescaladores (−30 % en el valor) y el segundo, que el sector pierda su múltiplo y vuelva a 17 veces el beneficio, como en 2022 (−29 % a 12 meses). Los centros de datos crecieron más de un 30 % orgánico en el 1S26 [3]: la caída a la mitad ya sería una mala noticia. Los catalizadores con fecha son los resultados de nueve meses del 5-nov-2026 [3] y los anuales de febrero de 2027.</w:t>
      </w:r>
    </w:p>
    <w:p>
      <w:pPr>
        <w:spacing w:after="100"/>
      </w:pPr>
      <w:r>
        <w:rPr>
          <w:b/>
        </w:rPr>
        <w:t xml:space="preserve">Qué cambiaría la decisión.</w:t>
      </w:r>
      <w:r>
        <w:t xml:space="preserve"> Compraríamos por debajo de 125,30 EUR solo si la calidad pasara el filtro (ROIC − WACC ≥ 5); con el BPA un 10 % más bajo, el límite robusto es 116,18 EUR. Venderíamos por encima de 164,56 EUR, o si el crecimiento orgánico de centros de datos baja del 10 % en un trimestre.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145,72 EUR</w:t>
      </w:r>
      <w:r>
        <w:t xml:space="preserve"> (rentabilidad +10,8 % (base +8,6 %)) · Valor intrínseco: 125,30 EUR (-6,3 % sobre 133,70) · con la prima implícita del mercado: 150,92 (+12,9 %)</w:t>
      </w:r>
    </w:p>
    <w:p>
      <w:pPr>
        <w:spacing w:after="100"/>
      </w:pPr>
      <w:r>
        <w:t xml:space="preserve">Legrand es el especialista mundial en material eléctrico de baja tensión para edificios, con marcas líderes por país y precios que sube por encima de la inflación: margen EBITDA del 23 % desde 2020 y caja libre de 1.318 M en los últimos doce meses [1, 3]. En cinco años ha convertido los centros de datos en su primer mercado (32 % de las ventas en el 1S26) con compras y producto propio [12].</w:t>
      </w:r>
    </w:p>
    <w:p>
      <w:pPr>
        <w:spacing w:after="100"/>
      </w:pPr>
      <w:r>
        <w:t xml:space="preserve">El precio (133,70 EUR, 22 veces el beneficio de 2027e) descuenta un crecimiento del 8,8 % anual durante nueve años, frente al 5,8 % orgánico de nuestro base, y una rentabilidad anual del 7,5 %, por debajo del WACC del 8,48 % y casi igual a lo que pide hoy el mercado. Los comparables cotizan más caros (Schneider 24 veces el PER NTM, Vertiv mucho más) [18].</w:t>
      </w:r>
    </w:p>
    <w:p>
      <w:pPr>
        <w:spacing w:after="100"/>
      </w:pPr>
      <w:r>
        <w:t xml:space="preserve">El mercado acierta en la calidad y en el crecimiento a corto plazo, pero paga ya las compras futuras y un ciclo de centros de datos sin pausa. Para invertir hay que creer que la inversión en IA sigue creciendo a doble dígito hasta 2028 y que Legrand puede seguir comprando empresas a precios que rindan más que su coste de capital. Nosotros no lo descartamos, pero no lo pagaríamos: el margen de seguridad empieza por debajo de 125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 × 5,52 = 95,50 · 21,6x × 6,61 = 142,78 · 27,8x × 7,26 = 201,83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 /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169,22 (nuestro base -15,6 %)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125,30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 / -51,2 %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frente a 8,5 % y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150,92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 frente a 22,0 %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125,30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125,30 y 164,56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164,56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125,30 EUR con la guía de 2026 confirmada el 5-nov, la rentabilidad a 12 meses pasaría del 15 %; aun así, sin ROIC − WACC ≥ 5 no compraríamos.</w:t>
      </w:r>
    </w:p>
    <w:p>
      <w:pPr>
        <w:pStyle w:val="ListParagraph"/>
        <w:numPr>
          <w:ilvl w:val="0"/>
          <w:numId w:val="2"/>
        </w:numPr>
        <w:spacing w:after="60"/>
      </w:pPr>
      <w:r>
        <w:t xml:space="preserve">Si el precio supera 164,56 EUR sin mejora del BPA, pasaríamos a Vender.</w:t>
      </w:r>
    </w:p>
    <w:p>
      <w:pPr>
        <w:pStyle w:val="ListParagraph"/>
        <w:numPr>
          <w:ilvl w:val="0"/>
          <w:numId w:val="2"/>
        </w:numPr>
        <w:spacing w:after="60"/>
      </w:pPr>
      <w:r>
        <w:t xml:space="preserve">Si el orgánico de centros de datos baja del 10 % en un trimestre, rebajaríamos el base y probablemente pasaríamos a Vender.</w:t>
      </w:r>
    </w:p>
    <w:p>
      <w:pPr>
        <w:pStyle w:val="ListParagraph"/>
        <w:numPr>
          <w:ilvl w:val="0"/>
          <w:numId w:val="2"/>
        </w:numPr>
        <w:spacing w:after="60"/>
      </w:pPr>
      <w:r>
        <w:t xml:space="preserve">Si el margen ajustado de 2027 llega al 22 % sin compras nuevas, subiríamos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Crecimiento del 8,8 % anual hasta 2035 con compras, margen estable y un múltiplo de 22 veces el beneficio, en línea con el consenso de 18 analistas (BPA de 7,20 EUR en 2028e y objetivo de 169,22) [29, 30].</w:t>
      </w:r>
    </w:p>
    <w:p>
      <w:pPr>
        <w:keepNext/>
        <w:spacing w:after="100"/>
      </w:pPr>
      <w:r>
        <w:rPr>
          <w:b/>
          <w:bCs/>
        </w:rPr>
        <w:t xml:space="preserve">Lo que creemos nosotros.</w:t>
      </w:r>
    </w:p>
    <w:p>
      <w:pPr>
        <w:spacing w:after="100"/>
      </w:pPr>
      <w:r>
        <w:t xml:space="preserve">Coincidimos en el negocio y en la guía de 2026, pero no damos valor a compras que no se han hecho y vemos el ciclo de centros de datos con más riesgo: nuestro BPA de 2028e es 6,61 EUR y el valor intrínseco 125,30.</w:t>
      </w:r>
    </w:p>
    <w:p>
      <w:pPr>
        <w:keepNext/>
        <w:spacing w:after="100"/>
      </w:pPr>
      <w:r>
        <w:rPr>
          <w:b/>
          <w:bCs/>
        </w:rPr>
        <w:t xml:space="preserve">Por qué podemos tener razón.</w:t>
      </w:r>
    </w:p>
    <w:p>
      <w:pPr>
        <w:spacing w:after="100"/>
      </w:pPr>
      <w:r>
        <w:t xml:space="preserve">La historia de 2001 (telecos) y de 2022 (múltiplo de 17 veces) muestra que la inversión en infraestructura tiene pausas; el 32 % de las ventas depende de pocos clientes y el fondo de comercio ya deja el ROIC en el 12 %.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33,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Centros de datos</w:t>
      </w:r>
      <w:r>
        <w:t xml:space="preserve">: 32 % de las ventas y más de 3.000 M previstos en 2026, en un mercado que crece al 22 % anual [3, 13].</w:t>
      </w:r>
    </w:p>
    <w:p>
      <w:pPr>
        <w:pStyle w:val="ListParagraph"/>
        <w:numPr>
          <w:ilvl w:val="0"/>
          <w:numId w:val="2"/>
        </w:numPr>
        <w:spacing w:after="60"/>
      </w:pPr>
      <w:r>
        <w:rPr>
          <w:b/>
        </w:rPr>
        <w:t xml:space="preserve">Poder de precios</w:t>
      </w:r>
      <w:r>
        <w:t xml:space="preserve">: margen EBITDA del 23,0-23,4 % desde 2020, también con la inflación de 2022 [1, 8].</w:t>
      </w:r>
    </w:p>
    <w:p>
      <w:pPr>
        <w:pStyle w:val="ListParagraph"/>
        <w:numPr>
          <w:ilvl w:val="0"/>
          <w:numId w:val="2"/>
        </w:numPr>
        <w:spacing w:after="60"/>
      </w:pPr>
      <w:r>
        <w:rPr>
          <w:b/>
        </w:rPr>
        <w:t xml:space="preserve">Caja</w:t>
      </w:r>
      <w:r>
        <w:t xml:space="preserve">: flujo libre de 1.318 M en los últimos doce meses (13 % de las ventas) [3].</w:t>
      </w:r>
    </w:p>
    <w:p>
      <w:pPr>
        <w:pStyle w:val="ListParagraph"/>
        <w:numPr>
          <w:ilvl w:val="0"/>
          <w:numId w:val="2"/>
        </w:numPr>
        <w:spacing w:after="60"/>
      </w:pPr>
      <w:r>
        <w:rPr>
          <w:b/>
        </w:rPr>
        <w:t xml:space="preserve">Guía al alza</w:t>
      </w:r>
      <w:r>
        <w:t xml:space="preserve">: crecimiento de 2026 subido al 16-19 % y plan 2030 de 16.000-18.000 M de ventas [3, 12].</w:t>
      </w:r>
    </w:p>
    <w:p>
      <w:pPr>
        <w:pStyle w:val="ListParagraph"/>
        <w:numPr>
          <w:ilvl w:val="0"/>
          <w:numId w:val="2"/>
        </w:numPr>
        <w:spacing w:after="60"/>
      </w:pPr>
      <w:r>
        <w:rPr>
          <w:b/>
        </w:rPr>
        <w:t xml:space="preserve">Rentabilidad sin fondo de comercio</w:t>
      </w:r>
      <w:r>
        <w:t xml:space="preserve">: ROIC del 35 % y del 16,4 % sobre el capital nuevo.</w:t>
      </w:r>
    </w:p>
    <w:p>
      <w:pPr>
        <w:pStyle w:val="Heading2"/>
      </w:pPr>
      <w:r>
        <w:t xml:space="preserve">En contra</w:t>
      </w:r>
    </w:p>
    <w:p>
      <w:pPr>
        <w:pStyle w:val="ListParagraph"/>
        <w:numPr>
          <w:ilvl w:val="0"/>
          <w:numId w:val="2"/>
        </w:numPr>
        <w:spacing w:after="60"/>
      </w:pPr>
      <w:r>
        <w:rPr>
          <w:b/>
        </w:rPr>
        <w:t xml:space="preserve">Calidad para comprar</w:t>
      </w:r>
      <w:r>
        <w:t xml:space="preserve">: ROIC − WACC de 3,6 puntos, por debajo de 5, por el fondo de comercio (64 % del capital).</w:t>
      </w:r>
    </w:p>
    <w:p>
      <w:pPr>
        <w:pStyle w:val="ListParagraph"/>
        <w:numPr>
          <w:ilvl w:val="0"/>
          <w:numId w:val="2"/>
        </w:numPr>
        <w:spacing w:after="60"/>
      </w:pPr>
      <w:r>
        <w:rPr>
          <w:b/>
        </w:rPr>
        <w:t xml:space="preserve">Valoración</w:t>
      </w:r>
      <w:r>
        <w:t xml:space="preserve">: el precio pide un 8,8 % de crecimiento anual, tres puntos más que nuestro base.</w:t>
      </w:r>
    </w:p>
    <w:p>
      <w:pPr>
        <w:pStyle w:val="ListParagraph"/>
        <w:numPr>
          <w:ilvl w:val="0"/>
          <w:numId w:val="2"/>
        </w:numPr>
        <w:spacing w:after="60"/>
      </w:pPr>
      <w:r>
        <w:rPr>
          <w:b/>
        </w:rPr>
        <w:t xml:space="preserve">Ciclo</w:t>
      </w:r>
      <w:r>
        <w:t xml:space="preserve">: una pausa de los hiperescaladores llevaría el valor a ≈65 EUR (−51 %).</w:t>
      </w:r>
    </w:p>
    <w:p>
      <w:pPr>
        <w:pStyle w:val="ListParagraph"/>
        <w:numPr>
          <w:ilvl w:val="0"/>
          <w:numId w:val="2"/>
        </w:numPr>
        <w:spacing w:after="60"/>
      </w:pPr>
      <w:r>
        <w:rPr>
          <w:b/>
        </w:rPr>
        <w:t xml:space="preserve">Margen</w:t>
      </w:r>
      <w:r>
        <w:t xml:space="preserve">: el 1S26 bajó al 20,8 % (21,0 % un año antes) por las compras [3].</w:t>
      </w:r>
    </w:p>
    <w:p>
      <w:pPr>
        <w:pStyle w:val="ListParagraph"/>
        <w:numPr>
          <w:ilvl w:val="0"/>
          <w:numId w:val="2"/>
        </w:numPr>
        <w:spacing w:after="60"/>
      </w:pPr>
      <w:r>
        <w:rPr>
          <w:b/>
        </w:rPr>
        <w:t xml:space="preserve">Europa</w:t>
      </w:r>
      <w:r>
        <w:t xml:space="preserve">: −2,4 % orgánico en el 1S26 [3].</w:t>
      </w:r>
    </w:p>
    <w:p>
      <w:pPr>
        <w:pStyle w:val="Heading2"/>
      </w:pPr>
      <w:r>
        <w:t xml:space="preserve">Qué tiene que pasar para que la tesis funcione</w:t>
      </w:r>
    </w:p>
    <w:p>
      <w:pPr>
        <w:spacing w:after="100"/>
      </w:pPr>
      <w:r>
        <w:t xml:space="preserve">La tesis depende de que los centros de datos sigan creciendo por encima del 15 % orgánico en 2027 sin que Legrand pague demasiado por las compras. La señal de que no se cumple: un trimestre con el orgánico de centros de datos por debajo del 10 %, recortes de la inversión prevista por dos hiperescaladores en sus resultados de enero de 2027, o un margen ajustado de 2026 por debajo del 20,5 % de la guía.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centros de datos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y del múltiplo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20,5 %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las compras diluyen y si sigue el poder de precios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Europa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tercio largo de las ventas y el negocio más rentable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 (ajustada)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compras de 2026 la han subido; limita compras nuevas.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prevista de los hiperescaladores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 alza (oct-2026)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Recorte de dos de los cuatro grandes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Anticipa las ventas de 6-12 meses de centros de datos.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17,5x / 14,4x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27,0x / 21,5x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Legrand nace en Limoges en 1904 como fábrica de porcelana y desde los años cuarenta se especializa en material eléctrico de baja tensión: mecanismos, enchufes y cuadros. Su historia moderna la marcan dos cosas: la expansión por compras (más de 30 al año en algunos ejercicios, con Wiremold y Pass &amp; Seymour en EE. UU. en los años noventa) y su paso por el capital privado (KKR y Wendel la compraron a Schneider tras el veto de Bruselas de 2001 a la fusión y la sacaron a bolsa en 2006). Desde 2018, con Benoît Coquart, el grupo ha girado hacia los centros de datos: 700 M de ventas en 2020 y 2.400 M en 2025, el 26 % del grupo, con casi treinta compras en ese campo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Origen en Limoges como taller de porcelana; después, material eléctrico.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Bruselas veta la fusión con Schneider; KKR y Wendel compran Legrand en 2002.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París; hoy en el CAC 40.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Benoît Coquart sucede a Gilles Schnepp como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Angeles Garcia-Poveda, presidenta no ejecutiva; los centros de datos venden 700 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objetivo de ≈15.000 M de ventas en 2030; compras por 1.510 M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9.481 M, centros de datos el 26 %; OCEANE de 800 M; compras por 1.314 M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en Singapur: 16.000-18.000 M de ventas en 2030 y margen del 21-22 % [12].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Legrand fabrica y vende el material eléctrico y digital que va dentro de los edificios y de los centros de datos: mecanismos e interruptores, cuadros y aparamenta de baja tensión, canalizaciones y bandejas, iluminación y control, porteros y domótica (Netatmo, BTicino) y, cada vez más, la infraestructura de los centros de datos: distribución de energía crítica (barras, PDU, SAI, celdas y salas eléctricas modulares), racks y contención, monitorización y gestión (Raritan, ZPE), refrigeración avanzada y servicios de pruebas. En 2025 el 53 % de las ventas eran de la «transición energética y digital» y el 26 % de centros de datos; en el 1S26 los centros de datos ya pesan el 32 % [1, 3, 12]. Vende sobre todo a través de distribuidores de material eléctrico a instaladores, y directamente a constructores de centros de datos (hiperescaladores, colocation, neoclouds). Tiene presencia industrial y comercial en casi 90 países y 39.611 empleados de media en 2025 [2].</w:t>
      </w:r>
    </w:p>
    <w:p>
      <w:pPr>
        <w:pStyle w:val="Heading2"/>
      </w:pPr>
      <w:r>
        <w:t xml:space="preserve">Cómo gana dinero</w:t>
      </w:r>
    </w:p>
    <w:p>
      <w:pPr>
        <w:spacing w:after="100"/>
      </w:pPr>
      <w:r>
        <w:t xml:space="preserve">Es un negocio de catálogo con más de 140.000 referencias, marcas fuertes y precios que sube cada año por encima de la inflación de costes: el margen operativo ajustado lleva diez años entre el 19 % y el 21 % (20,7 % en 2025) y el EBITDA en el 23 % [1]. El 47 % de las ventas («infraestructuras esenciales») depende de la construcción y la reforma de viviendas y oficinas, que va con el ciclo; los centros de datos dependen de la inversión de los grandes operadores de nube e IA y crecen a más del 30 % orgánico. Apenas necesita capital: el capex es el 2,6 % de las ventas y convierte en caja libre el 100 % del beneficio [1]. La palanca de crecimiento es comprar empresas pequeñas y medianas (≈60 % de la caja libre se dedica a compras [12]) y subirles el margen. El arancel estadounidense de 2025 le costó ≈100 M USD, que compensó con precios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 y Centroamérica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 y Centroamérica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relevante en la parte de edificios: vende a miles de distribuidores e instaladores en casi 90 países, y el programa de satisfacción de clientes cubre más de 576.000 clientes, con una satisfacción del 80 % y un NPS de 54 en 2025 (51 en 2024) [1]. En centros de datos la concentración es mayor (hiperescaladores y grandes operadores de colocation), pero la empresa no publica el peso del primer cliente. El poder de precios está demostrado: en 2022-2023, con la inflación de materias primas, mantuvo o subió el margen ajustado (20,4 % y 21,0 %) [8], y en 2025 absorbió el arancel de EE. UU. sin bajar el margen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 de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(2024, proforma)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(2025); 32 %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pp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2.400 M en 2025 frente a 700 M en 2020; crecimiento orgánico &gt; 30 % en el 1S26 [1,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energética y digital (% de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datos, transición energética y vida digital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(2025); +9,8 %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+17 % en 2025 y +26,7 % en el 1S26 [1,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 (2025); 20,8 %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2026: 20,5-21,0 %; 2027-2030: 21-22 % de media [1, 3,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del 107 % del beneficio neto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anuales de las compras anunciadas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M (7 compras en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M (7 compras en 2026 hasta julio)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Legrand no tiene un único mercado medible. El que más mueve su crecimiento es la infraestructura física de los centros de datos tal como la mide Dell'Oro (SAI, distribución de energía, gestión térmica, racks y servicios), a escala mundial [13, 14]: es donde Legrand vende el 32 % de sus ventas y gana cuota con compras. La parte de edificios (material eléctrico de baja tensión para viviendas y terciario, el 47 % de las ventas) no tiene una fuente gratuita de tamaño homogénea; Europa cayó un 2,4 % orgánico en el 1S26 [3]. Contrastamos el centro de datos con la AIE, que mide el consumo eléctrico de los centros de datos: 415 TWh en 2024 y ≈945 TWh en 2030 [15]. La serie intermedia es interpolación propia a la TCAC de Dell'Oro, convertida a euros.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39.600 M EUR (44.400 M USD) en 2025 de infraestructura física de centros de datos, estimación implícita en la previsión de Dell'Oro de 120.000 M USD en 2030 con TCAC del 22 % [13,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USD a 1,1208))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centros de datos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Dell'Oro prevé 120.000 M USD en 2030 (TCAC del 22 %); el 4T25 creció un 20 % [13, 14]. Las ventas de Legrand en centros de datos crecieron más de un 30 % orgánico en el 1S26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Electrificación y transición energética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Bombas de calor, carga de vehículos, autoconsumo y gestión de energía: el 22 % de las ventas de Legrand en el 1S26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residencial y terciaria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−2,4 % orgánico en el 1S26 y caídas en Francia, España y Reino Unido; China débil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y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arancel de EE. UU. añadió ≈100 M USD de costes en 2025, compensados con subidas de precio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Arquitecturas de corriente continua (LVDC) en centros de datos de gigavatios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presentó su hoja de ruta LVDC en el día del inversor de 2026; un cambio de arquitectura redistribuye cuota entre proveedores [12].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ABB, Eaton, Siemens y Hubbell compiten en casi todo, pero con márgenes EBIT del 18-21 % [16, 17, 18, 19]: la rivalidad no destruye márgenes.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Distribuidores e instaladores fragmentados en edificios; en centros de datos los hiperescaladores compran grandes volúmenes y negocian.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Cobre, plásticos y componentes electrónicos con varias fuentes; la inflación de 2022 se trasladó a precios (margen ajustado 20,4 %)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Normas eléctricas por país, homologaciones y presencia en el catálogo del distribuidor; en centros de datos entran especialistas pequeños, que Legrand compra.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material eléctrico no tiene sustituto; el riesgo es tecnológico dentro del sector (corriente continua, refrigeración líquida) más que de sustitución.</w:t>
            </w:r>
          </w:p>
        </w:tc>
      </w:tr>
    </w:tbl>
    <w:p>
      <w:pPr>
        <w:spacing w:after="160" w:before="0"/>
      </w:pPr>
    </w:p>
    <w:p>
      <w:pPr>
        <w:pStyle w:val="Heading2"/>
      </w:pPr>
      <w:r>
        <w:t xml:space="preserve">Ciclo</w:t>
      </w:r>
    </w:p>
    <w:p>
      <w:pPr>
        <w:spacing w:after="100"/>
      </w:pPr>
      <w:r>
        <w:t xml:space="preserve">Los centros de datos están en plena expansión (Dell'Oro: +20 % en el 4T25) y los edificios en Europa siguen flojos. Legrand ha pasado por tres ciclos: en 2009 sus ventas cayeron con la construcción; en 2020 bajaron un 7,9 % y el margen ajustado aguantó en el 19,0 % [10]; en 2022 subió precios con la inflación y creció a doble dígito. Hoy el riesgo cíclico está en la inversión de los hiperescaladores, no en la vivienda.</w:t>
      </w:r>
    </w:p>
    <w:p>
      <w:pPr>
        <w:pStyle w:val="Heading2"/>
      </w:pPr>
      <w:r>
        <w:t xml:space="preserve">Regulación</w:t>
      </w:r>
    </w:p>
    <w:p>
      <w:pPr>
        <w:spacing w:after="100"/>
      </w:pPr>
      <w:r>
        <w:t xml:space="preserve">Las normas de eficiencia energética de edificios (directiva europea EPBD revisada en 2024), las de seguridad eléctrica nacionales y los programas de subvención a la rehabilitación sostienen la demanda en Europa. En EE. UU., los aranceles de 2025 encarecieron componentes importados (≈100 M USD de costes para Legrand) [1]. La normativa europea de sostenibilidad (CSRD, taxonomía) pide información de producto: Legrand cubre el 74 % de sus ventas con perfiles ambientales de producto [1].</w:t>
      </w:r>
    </w:p>
    <w:p>
      <w:pPr>
        <w:pStyle w:val="Heading2"/>
      </w:pPr>
      <w:r>
        <w:t xml:space="preserve">Tendencias y disrupción</w:t>
      </w:r>
    </w:p>
    <w:p>
      <w:pPr>
        <w:spacing w:after="100"/>
      </w:pPr>
      <w:r>
        <w:t xml:space="preserve">Tres cambios favorecen a Legrand: los centros de datos de IA con racks de muy alta densidad (más potencia y barras por rack), la electrificación de edificios y la gestión digital de la energía. Dos le pueden quitar cuota: el paso a corriente continua de baja tensión en los centros de datos de gigavatios (presentó su hoja de ruta en septiembre de 2026 [12]) y la refrigeración líquida, donde llega tarde (solo el 5 % de sus ventas de centros de datos es refrigeración avanzada [12]; tiene una participación en Accelsius [1]) frente a Vertiv, Schneider (Motivair) y Eaton (Boyd)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Número uno o dos mundial en mecanismos, canalizaciones y racks y PDU para centros de datos; en la infraestructura física de centros de datos de Dell'Oro su cuota estimada es de ≈6 % (2.400 M EUR de ventas en 2025 sobre ≈39.600 M EUR), por detrás de Schneider, Vertiv y Eaton [1, 13,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uno mundial en distribución eléctrica de baja tensión y gestión de energía; el rival más directo en Europa y en centros de datos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 (Electrification)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Cuadros, interruptores y celdas de media tensión; ventas del grupo convertidas de 33.220 M USD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eléctrica y SAI en EE. UU.; compró Boyd Thermal (refrigeración líquida); grupo convertido de 27.448 M USD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SAI, distribución de energía y refrigeración para centros de datos; convertido de 10.230 M USD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Hubbell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Material eléctrico y de red en EE. UU.; competidor de Legrand en mecanismos y canalizaciones; convertido de 5.845 M USD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instaladores aprenden un sistema (BTicino, Arteor) y lo repiten, pero no hay red propiamente dicha.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Normas por país, catálogos del distribuidor y formación del instalador; en centros de datos, diseños de referencia con el cliente.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líderes por país (Legrand, BTicino, Pass &amp; Seymour, Wiremold) y margen ajustado del 19-21 % durante diez años [A1, A10].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compras y fabricación local; EBIT del 19,1 % frente al 18,2-18,8 % de ABB, Eaton y Schneider [B6-B8].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muchos nichos nacionales hay dos o tres proveedores; Legrand compra a los especialistas pequeños (7 compras en 2025 y 7 en 2026 hasta julio) [A1, A3].</w:t>
            </w:r>
          </w:p>
        </w:tc>
      </w:tr>
    </w:tbl>
    <w:p>
      <w:pPr>
        <w:spacing w:after="160" w:before="0"/>
      </w:pPr>
    </w:p>
    <w:p>
      <w:pPr>
        <w:pStyle w:val="Heading2"/>
      </w:pPr>
      <w:r>
        <w:t xml:space="preserve">Amenazas</w:t>
      </w:r>
    </w:p>
    <w:p>
      <w:pPr>
        <w:spacing w:after="100"/>
      </w:pPr>
      <w:r>
        <w:t xml:space="preserve">Lo que más puede erosionar el foso es tecnológico y está en centros de datos: si el estándar pasa a corriente continua de 800 V y refrigeración líquida, los proveedores con la arquitectura completa (Schneider, Vertiv, Eaton con Boyd) ganan peso frente a quien vende piezas; Legrand responde con compras y con su hoja de ruta LVDC [12, 18]. En edificios, la amenaza es lenta: marcas blancas de los grandes distribuidores y fabricantes asiáticos en gamas básicas. Probabilidad media en centros de datos, baja en edificios.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2020-2025: ingresos </w:t>
      </w:r>
      <w:r>
        <w:rPr>
          <w:b/>
          <w:bCs/>
        </w:rPr>
        <w:t xml:space="preserve">9,2 %</w:t>
      </w:r>
      <w:r>
        <w:t xml:space="preserve">, EBITDA </w:t>
      </w:r>
      <w:r>
        <w:rPr>
          <w:b/>
          <w:bCs/>
        </w:rPr>
        <w:t xml:space="preserve">9,6 %</w:t>
      </w:r>
      <w:r>
        <w:t xml:space="preserve">, BPA </w:t>
      </w:r>
      <w:r>
        <w:rPr>
          <w:b/>
          <w:bCs/>
        </w:rPr>
        <w:t xml:space="preserve">13,2 %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6.100 M en 2020 a 9.481 M en 2025 (TCAC del 9,2 %), con compras y un orgánico irregular: −8,9 % en 2020, +13,6 % en 2021, +1,0 % en 2024 y +7,7 % en 2025 [1, 7, 9, 10]. El margen EBITDA ha estado entre el 23,0 % y el 23,4 % desde 2020 (23,4 % en 2025) y el operativo ajustado entre el 19,0 % y el 21,0 % (20,7 % en 2025) [1]. En 2025 el beneficio neto creció un 6,7 %, menos que el resultado operativo (+10,1 %), por un resultado financiero peor (−117 M frente a −66 M) tras la OCEANE de 800 M y los bonos de 2024-2025. El 1S26 sumó un 13,1 % de ventas (orgánico +9,8 %, compras +6,9 %, divisa −3,7 %) y un 11,2 % de beneficio neto [3]. El grupo pagó 3.449 M en compras en 2020-2025, que explican la mitad del crecimiento.</w:t>
      </w:r>
    </w:p>
    <w:p>
      <w:pPr>
        <w:pStyle w:val="Heading2"/>
      </w:pPr>
      <w:r>
        <w:t xml:space="preserve">Ajustes y partidas no recurrentes</w:t>
      </w:r>
    </w:p>
    <w:p>
      <w:pPr>
        <w:spacing w:after="100"/>
      </w:pPr>
      <w:r>
        <w:t xml:space="preserve">Legrand publica un resultado operativo «ajustado» que suma la amortización de los activos revalorizados en las compras (154 M en 2025, 133 M en 2024) [1]. Usamos las cifras publicadas (BPA NIIF diluido: 4,705 EUR en 2025), igual que el consenso de MarketScreener. 2022 lleva un deterioro de fondo de comercio de 28 M por la salida de Rusia, dentro de las amortizaciones del EBITDA publicado [8]. Los costes de reestructuración (65 M en 2025, 75 M en 2024) son recurrentes y se quedan en el EBITDA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1S26 (29-jul) la dirección subió la guía de crecimiento sin divisa al 16-19 % (orgánico 8-10 %) y mantuvo el margen en el 20,5-21,0 %, lo que los analistas leyeron como apalancamiento operativo escaso: el margen ajustado bajó al 20,8 % (21,0 % un año antes) por inflación de costes y compras de menor margen [3]. El discurso cambió entre el 1T y el 1S: de «confirmamos objetivos» a «subimos objetivos», empujado por EE. UU. (+26,7 %) y centros de datos (&gt;30 % orgánico) [3, 4]. En el día del inversor (29-sep) amplió las ambiciones 2030: 16.000-18.000 M de ventas, orgánico del 6-8 % anual en 2027-2030, compras del ≈5 % anual y ventas de negocios por 500-1.000 M, margen del 21-22 % y flujo libre del 13-15 % [12]. Lo que más se repitió fue la sostenibilidad del ciclo de centros de datos y por qué el margen no sube con el volumen; la dirección no dio una cifra de cartera de pedidos ni el peso del primer cliente.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Compras por 1.510 M (MSS, ZPE Systems, Enovation, Netrack, Davenham, Vass, UPSistemas; APP y Power Bus Way solo en balance al cierre) [1, 7]; 2025: Compras por 1.314 M (APP, Power Bus Way, Performation, CRS, Linkk, Amperio, Quitérios, Cogelec y Avtron, esta con 2 meses en la cuenta y entera en el balance)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subió de 2.006 M (2023) a 4.223 M (2025) y 5.755 M a 30-jun-2026 por las compras (1.510 M en 2024, 1.314 M en 2025 y siete más en 2026) y el dividendo de junio [1, 3]. Con el EBITDA de los últimos doce meses (2.351 M), la deuda neta es 2,4 veces, dentro del rango de 1,5-2,5 veces que la dirección se fija [12]. El circulante comercial pasó del 16,3 % al 17,2 % de las ventas en 2025, y el circulante total de 1.105 M a 1.414 M en un año a junio de 2026 [3]: crecer en centros de datos exige más existencias. Los vencimientos están escalonados hasta 2035 con cupones del 0,4-3,6 %.</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6.711</w:t>
      </w:r>
      <w:r>
        <w:t xml:space="preserve">, conversión </w:t>
      </w:r>
      <w:r>
        <w:rPr>
          <w:b/>
          <w:bCs/>
        </w:rPr>
        <w:t xml:space="preserve">109 %</w:t>
      </w:r>
      <w:r>
        <w:t xml:space="preserve"> del beneficio neto; adquisiciones 3.449, dividendos 2.801, recompras 766.</w:t>
      </w:r>
    </w:p>
    <w:p>
      <w:pPr>
        <w:spacing w:after="100"/>
      </w:pPr>
      <w:r>
        <w:t xml:space="preserve">Legrand convierte en caja libre todo su beneficio: 1.331 M en 2025 (14,0 % de las ventas, 107 % del beneficio neto) y 6.711 M acumulados en 2020-2025 [1]. El capex es pequeño (2,6 % de las ventas en 2025, 0,6 veces la amortización) porque buena parte de la amortización es de intangibles comprados; de los 249 M, 221 M son inmovilizado material y 28 M desarrollo activado [2]. No separa mantenimiento de crecimiento; estimamos que el capex de mantenimiento ronda el 2 % de las ventas (la amortización material sin derechos de uso fue de 146 M, el 1,5 %). 2023 fue un año anómalo al alza (1.585 M) por la reducción de existencias tras la crisis de suministros [8]. En el 1S26 el flujo libre bajó un 2,7 % por el aumento del circulante [3].</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están auditadas sin salvedades conocidas y las cifras del XBRL cuadran con los comunicados. Tres puntos de criterio: (1) el «resultado operativo ajustado» que destaca la empresa excluye 154 M de amortización de activos comprados (1,6 % de las ventas); el informe usa el publicado. (2) El fondo de comercio (7.630 M) es el 66 % del capital invertido; sin él el ROIC sería del 35 %, con él del 12 %: la diferencia es el precio pagado por las compras. (3) Los costes de reestructuración (65 M) aparecen todos los años y no los tratamos como no recurrentes. Los indicadores del motor no muestran alarma: Altman Z de 3,12 (zona segura), Piotroski F de 6 sobre 9 y Beneish M de −2,45 (por debajo de −1,78, sin señal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fondo de comercio y compras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7.630 M de fondo de comercio (2,0 veces el de 2020 en euros: 4.804 M) y 3.449 M en compras en seis años; un deterioro en una caída de centros de datos restaría beneficio contable, no caja.</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sube con el crecimiento en centros de datos (1.414 M a junio, +28 % interanual) y ya resta flujo libre en el 1S26 (−2,7 %).</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Resultado ajustado frente al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diferencia (154 M) es amortización de compras, bien explicada en la conciliación; no hay ajustes discrecionales.</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7.630 M en 2025 (el 66 % del capital invertido medio); ha subido más de un 5 % en 4 de 5 años: comprador en serie. ROIC publicado 12,1 %; sin fondo de comercio, 35,3 %.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16,4 % · </w:t>
      </w:r>
      <w:r>
        <w:rPr>
          <w:b/>
          <w:bCs/>
        </w:rPr>
        <w:t xml:space="preserve">WACC</w:t>
      </w:r>
      <w:r>
        <w:t xml:space="preserve">: 8,5 %.</w:t>
      </w:r>
    </w:p>
    <w:p>
      <w:pPr>
        <w:spacing w:after="100"/>
      </w:pPr>
      <w:r>
        <w:t xml:space="preserve">Legrand crea valor, pero menos de lo que dice su margen. El ROIC del motor (NOPAT entre capital invertido con fondo de comercio) es del 12,1 % en 2025, frente a un WACC del 8,48 %: 3,6 puntos de diferencia, por debajo de los 5 que pide nuestra regla de compra. Sin fondo de comercio el ROIC sería del 35 %, lo que dice que el negocio orgánico es excelente y que las compras se pagan caras: el fondo de comercio es el 66 % del capital. El ROIC incremental histórico es del 16,4 %, mejor que el medio, porque las compras de centros de datos crecen deprisa. El ROE es del 16,8 % con un apalancamiento contable de 2,3 veces. Frente a los competidores, el ROIC de Legrand es parecido al de Schneider (14 %) y Eaton (16 %) y muy inferior al de ABB (25 %) y Vertiv (29 %) [18].</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5.849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1.969 M a 30-jun-2026 [3]; programas de pagarés NEU CP y NEU MTN de 1.200 M cada uno [2]; deuda bruta 7.724 M (con 432 M de arrendamientos a 31-mar) [3, 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y prestaciones a empleados: 125 M de provisión a cierre de 2025 (94 M netos de impuestos en el puente) [2]. Provisiones a largo plazo de 178 M y a corto de 162 M (litigios, garantías, reestructuración) [1, 2]. La OCEANE de 800 M (cupón 1,5 %, conversión a 159,03 EUR, vencimiento en 2033) va como deuda: con la acción a 133,70 está fuera de dinero; si se convirtiera, emitiría ≈5 M de acciones (1,9 %) [2]. No hay factoring declarado ni pagos aplazados de compras significativos en el extracto leído; los bonos ligados a sostenibilidad pueden subir el cupón 0,125-0,5 puntos si no se cumplen objetivos de carbono [2].</w:t>
      </w:r>
    </w:p>
    <w:p>
      <w:pPr>
        <w:pStyle w:val="Heading1"/>
      </w:pPr>
      <w:r>
        <w:t xml:space="preserve">12. Asignación de capital</w:t>
      </w:r>
    </w:p>
    <w:p>
      <w:pPr>
        <w:pStyle w:val="Confianza"/>
        <w:spacing w:after="100"/>
      </w:pPr>
      <w:r>
        <w:t xml:space="preserve">Confianza: Media</w:t>
      </w:r>
    </w:p>
    <w:p>
      <w:pPr>
        <w:spacing w:after="100"/>
      </w:pPr>
      <w:r>
        <w:t xml:space="preserve">Prioridades declaradas en el día del inversor de 2026: ≈60 % de la caja libre a compras de media, dividendo del ≈50 % del beneficio neto y recompras selectivas, con la deuda neta entre 1,5 y 2,5 veces el EBITDA [12]. El dividendo de 2025 fue de 2,38 EUR (+8,2 %, pay-out del 50 %) [1]. Las recompras se usan sobre todo para cubrir planes de acciones de empleados (975.000 acciones en 2025 y 250.000 en el 1T26) [2,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compras (MSS, ZPE Systems, Enovation, Netrack, Davenham, Vass, UPSistemas) y APP y Power Bus Way al cierre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datos al 26 % de las ventas en 2025; sin deterioros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Siete compras con ≈500 M de ventas anuales (Avtron, Linkk, Amperio, CRS, Cogelec, Performation, Quitérios)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bonos y OCEANE de 800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tras compras del 20,7 %, igual que antes de compras (20,6 %)</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Siete compras con ≈450 M de ventas anuales (Green4T, Kratos, Keydak, TES, SRS, Girtz, Axel Health)</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(deuda neta 5.755 M a junio)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integración; margen del 1S26 del 20,8 % tras compras y 20,9 % antes [3]</w:t>
            </w:r>
          </w:p>
        </w:tc>
      </w:tr>
    </w:tbl>
    <w:p>
      <w:pPr>
        <w:spacing w:after="160" w:before="0"/>
      </w:pPr>
    </w:p>
    <w:p>
      <w:pPr>
        <w:spacing w:after="100"/>
      </w:pPr>
      <w:r>
        <w:t xml:space="preserve">La dirección es una buena asignadora de capital en el sentido de que no destruye: en 2020-2025 generó 6.711 M de caja libre y la repartió en compras (3.449 M), dividendos (2.801 M) y recompras (766 M) sin diluir al accionista ni deteriorar el fondo de comercio salvo Rusia (28 M en 2022) [2, 8]. El precio pagado es alto (múltiplos no publicados; el sector paga 12-22 veces el EBITDA [18]) y por eso el ROIC con fondo de comercio se queda en el 12 %. El ROIC incremental (16,4 %) indica que las compras recientes de centros de datos rinden más que las antiguas. El riesgo es seguir comprando caro en la parte alta del ciclo de centros de datos.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Benoît Coquart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(Directeur Général)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Legrand desde 1997; dirigió Francia y la estrategia antes de suceder a Gilles Schnepp en febrero de 2018. Con él las ventas pasaron de 5.997 M (2018) a 9.481 M (2025) y los centros de datos de 700 M (2020) a 2.400 M (2025), con el margen ajustado en el 20-21 %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Franck Lemery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 las ambiciones 2030 del día del inversor de 2026 (margen 21-22 %, flujo libre 13-15 % de las ventas)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Angeles Garcia-Poveda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2012 y presidenta desde el 1-jul-2020; compró acciones en enero y agosto de 2026 [22,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Brian DiBella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consejero delegado de Norte y Centroamérica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la región que más crece (47 % de las ventas del 1S26, +24 % orgánico) y de la estrategia de centros de datos presentada en Singapur [3].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 tipo de cambio constante +5 % a +11 %; margen ajustado ≈20 %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dos dígitos y margen ajustado del 20,4 % (1.701,5 M sobre 8.339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ventas de un dígito bajo; margen antes de compras 20,0-20,8 %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 sin divisa; margen ajustado 20,5 %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sin divisa +6 % a +10 % (elevada en julio a +10 % a +12 %); margen 20,5-21,0 %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+12,8 % sin divisa (orgánico +7,7 %, compras +5,1 %); margen 20,7 %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sin divisa +10 % a +15 % (julio: +16 % a +19 %, orgánico +8 % a +10 %); margen 20,5-21,0 %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+17 % sin divisa, orgánico +9,8 %, margen 20,8 %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creíble: Coquart lleva ocho años al frente y ha cumplido o superado los objetivos anuales de 2022 a 2025, incluido el de 2025 subido a mitad de año; en 2026 ya subió la guía en julio [1, 3, 7, 8, 9]. La presidencia está separada y es no ejecutiva. No hay plan de sucesión público, pero sí un banquillo de directivos con responsabilidades visibles (DiBella en Norteamérica, Lemery en finanzas). Las ventas de acciones del consejero delegado (8.395 a 149,49 EUR en febrero de 2026) y del director financiero (6.266 en febrero y agosto) son pequeñas frente a su remuneración y coinciden con la entrega de planes de acciones; la presidenta y dos consejeras compraron [24].</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Angeles Garcia-Poveda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 y 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Benoît Coquart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Isabelle Boccon-Gibod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Compromisos y RSC;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Jean-Marc Chéry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 y RSC (presidente); Nombramientos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Valérie Chort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Compromisos y RSC;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Koller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Rekha Mehrotra Menon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Florent Menegaux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Stéphane Pallez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Compromisos y 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Clare Scherrer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Sophie Bourdais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Licia Nicodemi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Angeles Garcia-Poveda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0,24 / ventas 2,14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 (MFS)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(cuenta de clientes)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el 13-jul-2026 vendiendo en mercado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FIL Limited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al 5,17 % en jun-2025 y volvió al 4,99 % el 25-jul-2025 [26]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612.319 acciones a 22-may-2026 (881.204 a 31-mar) para planes de acciones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Angeles Garcia-Poveda (presidenta)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Franck Lemery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Valérie Chort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Benoît Coquart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Franck Lemery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Isabelle Boccon-Gibod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Angeles Garcia-Poveda (presidenta)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27-may-2026 aprobó la remuneración de 2025 del consejero delegado con un 96,99 % a favor y un 3,01 % en contra, y la política de 2026 con un 97,74 % [23]. El importe de 2025 no se ha leído (URD no localizado); la cifra de 2023 rondaba los 3,7 M EUR según la prensa. La estructura habitual de Legrand combina fijo, variable anual ligado a crecimiento, margen y RSC, y acciones de rendimiento a tres años; no hemos comprobado si el largo plazo incluye ROIC o TSR, así que el campo queda sin dato.</w:t>
      </w:r>
    </w:p>
    <w:p>
      <w:pPr>
        <w:pStyle w:val="Heading2"/>
      </w:pPr>
      <w:r>
        <w:t xml:space="preserve">Operaciones vinculadas, estructura de control y defensas</w:t>
      </w:r>
    </w:p>
    <w:p>
      <w:pPr>
        <w:spacing w:after="100"/>
      </w:pPr>
      <w:r>
        <w:t xml:space="preserve">No hay accionista de control: el mayor declarado (MFS) bajó del 5 % en julio de 2026 y Fidelity está en el 4,99 % [25, 26]. Una acción, un voto (sin derechos de voto doble declarados en el capital: 262.245.733 acciones y otros tantos votos teóricos) [27]. Consejo de 12 con 8 independientes (80 % sin contar a los de los empleados), consejera independiente coordinadora y comisiones de auditoría y remuneraciones presididas por independientes [4, 22]. No hay operaciones vinculadas relevantes conocidas.</w:t>
      </w:r>
    </w:p>
    <w:p>
      <w:pPr>
        <w:pStyle w:val="Heading2"/>
      </w:pPr>
      <w:r>
        <w:t xml:space="preserve">Señales de alerta</w:t>
      </w:r>
    </w:p>
    <w:p>
      <w:pPr>
        <w:pStyle w:val="ListParagraph"/>
        <w:numPr>
          <w:ilvl w:val="0"/>
          <w:numId w:val="2"/>
        </w:numPr>
        <w:spacing w:after="60"/>
      </w:pPr>
      <w:r>
        <w:t xml:space="preserve">Ninguna relevante detectada tras revisar la composición del consejo, el resultado de la junta de 2026, las declaraciones de directivos de la AMF y los comunicados de 12 meses.</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(29-jul-2026): crecimiento de ventas sin divisa del 16-19 % (orgánico 8-10 %, compras ≈8 %) y margen operativo ajustado tras compras del 20,5-21,0 %; la divisa restaría ≈1,5 % [3]. Ambiciones 2030 (28-sep-2026): orgánico del 6-8 % anual en 2027-2030 más ≈5 % anual de compras, ventas de 16.000-18.000 M en 2030, margen ajustado medio del 21-22 % y flujo libre del 13-15 % de las ventas [12, 21]. Próxima confirmación: resultados de nueve meses, 5-nov-2026.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(EBIT = resultado operativo ajustado)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13.463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120,00 – 200,00</w:t>
            </w:r>
          </w:p>
        </w:tc>
      </w:tr>
    </w:tbl>
    <w:p>
      <w:pPr>
        <w:spacing w:after="160" w:before="0"/>
      </w:pPr>
    </w:p>
    <w:p>
      <w:pPr>
        <w:pStyle w:val="Heading2"/>
      </w:pPr>
      <w:r>
        <w:t xml:space="preserve">Revisiones de estimaciones</w:t>
      </w:r>
    </w:p>
    <w:p>
      <w:pPr>
        <w:spacing w:after="100"/>
      </w:pPr>
      <w:r>
        <w:t xml:space="preserve">Las estimaciones han subido en 2026: la guía se elevó en julio (de +10-15 % a +16-19 %) y en septiembre las ambiciones 2030 (de ≈15.000 M a 16.000-18.000 M). RBC (3-ago) y Deutsche Bank (3-sep) subieron a comprar con objetivo de 160 EUR, BofA subió objetivo y estimaciones el 9-sep y AlphaValue a «Añadir» el 6-oct [21, 35]. Solo una fuente gratuita (MarketScreener) da estimaciones completas; el objetivo y la recomendación se contrastan con las noticias de cambios de los bancos.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sube un 5,1 % en el año y cae un 7,5 % en doce meses, frente al −1,8 % del CAC 40 y el +7,4 % del índice europeo de bienes industriales [28]. En tres años ha ganado un 16 % anual, por el reconocimiento de su exposición a centros de datos. Los dos tropiezos de los últimos doce meses tienen la misma raíz: dudas sobre el ciclo de inversión en IA (junio y septiembre de 2026) y resultados que no superan las expectativas de margen (6-nov-2025, −12,2 %) [34, 36, 37]. Volatilidad del 32,6 % a un año, alta para una industrial, y beta mensual de 1,23 frente al CAC (semanal 0,96-1,03).</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 -1,0 % / -9,5 % / -8,5 %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 / +8,2 %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en un día (6-nov) con los resultados de nueve meses: orgánico del 3T del 6,7 % frente al 8,7 % esperado y margen del 20 % frente al 20,8 %; Deutsche Bank bajó a mantener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en un día (3-mar) con el mercado, en plena tensión geopolítica en Oriente Medio (causa probable; la empresa dijo en mayo que no le afectó de forma significativa)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un mes hasta el máximo de 166,95 del 7-may: rebote del sector tras marzo y resultados del 1T con orgánico del 9,3 % y EE. UU. +29 %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mes hasta el 12-jun por las dudas sobre la duración del auge de la IA, que arrastraron a los valores de centros de datos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en un día (14-sep) con todo el sector: «AI slowdown fears hammer data-center power and construction stocks» [36].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nueve meses por debajo de lo esperado en orgánico y margen; caída del 12,2 %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MFS baja del 5 % (4,99 %) vendiendo en mercado; es una gestora y no hay venta de bloque anunciada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y guía 2026 elevada al 16-19 % sin divisa; margen sin cambios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RBC (3-ago) y Deutsche Bank (3-sep) a comprar con objetivo de 160 EUR; BofA sube objetivo el 9-sep; AlphaValue a «Añadir» el 6-oct [21,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ambiciones 2030 elevadas a 16.000-18.000 M de ventas y margen del 21-22 %; la acción sube un 6,1 % en el día [12,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consejero delegado (8.395 acciones, 1,25 M) y del director financiero (febrero y agosto, 0,9 M en total), tras la entrega de planes de acciones; compras de la presidenta y de dos consejeras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del 5 y 7-oct con Schneider y la deuda francesa, tras las subidas de objetivo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nueve meses de 2026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un 16,5 % bajo su máximo de mayo y por debajo de la media de 200 sesiones (−5,1 %), con tendencia bajista. Lo que explica el movimiento es el sector: las dudas sobre la inversión en IA mueven a todos los proveedores de centros de datos (junio y 14-sep), mientras que los hechos propios han sido positivos (guía elevada en julio, ambiciones 2030 en septiembre, subidas de recomendación). No hay colocaciones, ampliaciones, litigios ni ofertas pendientes; la OCEANE (conversión a 159 EUR) no presiona. Los resultados del 5-nov no aplazan nada (regla 11).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cierre de cada año, la acción cotiza hoy a 17,5 veces el EBITDA de los últimos doce meses, por encima de su media de seis años (14,9 veces, percentil 83) y a 27 veces el beneficio, frente a 24,5 de media. En PER adelantado (precio ÷ BPA del año siguiente), la historia es más estable: 21,7x (2020), 27,6x (2021), 17,4x (2022), 21,3x (2023), 20,0x (2024) y 23,7x (2025), frente a 22,0x hoy. La prima sobre la historia se explica por el cambio de mezcla hacia centros de datos (32 % de las ventas), que crecen más; lo que no ha cambiado es el ROIC con fondo de comercio (12 %), que limita cuánto más puede pagar el mercado.</w:t>
      </w:r>
    </w:p>
    <w:p>
      <w:pPr>
        <w:pStyle w:val="Heading1"/>
      </w:pPr>
      <w:r>
        <w:t xml:space="preserve">18. Comparables cotizados</w:t>
      </w:r>
    </w:p>
    <w:p>
      <w:pPr>
        <w:pStyle w:val="Confianza"/>
        <w:spacing w:after="100"/>
      </w:pPr>
      <w:r>
        <w:t xml:space="preserve">Confianza: Media</w:t>
      </w:r>
    </w:p>
    <w:p>
      <w:pPr>
        <w:spacing w:after="100"/>
      </w:pPr>
      <w:r>
        <w:t xml:space="preserve">Ocho fabricantes de equipos eléctricos y de centros de datos con las mismas cifras del mismo día (14-oct-2026), tomadas del análisis de Eaton del repositorio y convertidas a euros: Schneider, ABB, Eaton, nVent y Hubbell en distribución eléctrica, Vertiv en energía y refrigeración de centros de datos, y Trane y Johnson Controls en climatización [18]. Fuera Siemens (conglomerado con salud y trenes) y Rexel (distribuidor, otro modelo). Casi todos con BPA ajustado (sin amortización de compras), mientras que el de Legrand es el publicado: sus PER salen ≈8 % más altos que en la base de Legrand.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Legrand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nVent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Hubbell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Johnson Controls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 / 19,2x / 19,9x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 / 23,5x / 26,3x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 / 27,8x / 28,5x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 / 4,8x / 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17,8 + 0,05 × crecimiento; R² = 0,03. El crecimiento explica poco los múltiplos de estos comparables (R² &lt; 0,3): la regresión no se usa en la valoración.</w:t>
      </w:r>
    </w:p>
    <w:p>
      <w:pPr>
        <w:spacing w:after="100"/>
      </w:pPr>
      <w:r>
        <w:t xml:space="preserve">Legrand cotiza a 21,5 veces el beneficio de los próximos doce meses y a 14,4 veces el EBITDA, frente a 27,8 y 19,2 veces de mediana del grupo: un descuento del 20-25 %. Una parte es de base (BPA publicado frente a ajustado, ≈8 %) y otra se justifica: crece menos en los próximos doce meses (≈13 % con compras frente al 16 % de mediana), tiene un ROIC con fondo de comercio más bajo (12 % frente al 15 %) y el 47 % de sus ventas va a edificios, con Europa en caída. Aun así, aplicar la mediana del grupo da 172,92 EUR por PER y 185,16 por EV/EBITDA: el método más generoso de todos, porque el sector entero cotiza con prima de centros de datos. Por eso le damos un peso del 25 % y no más.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 (refrigeración líquida,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informe de Eaton del repositorio, convertido a EUR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Fibrebond (salas eléctricas modulares,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informe de Eaton del repositorio, convertido a EUR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Electrical Products Group de Avail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informe de Eaton del repositorio, convertido a EUR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Trachte (salas de control,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informe de Eaton del repositorio, convertido a EUR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 (servicios de refrigeración líquida)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informe de Eaton del repositorio, convertido a EUR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UtilityInnovation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informe de Eaton del repositorio, convertido a EUR [18]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Rotork (actuadores,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en USD del informe de ABB, convertido [17]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12,7x (12,3x – 16,5x)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90,98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86,97 – 124,89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recientes del sector se han pagado entre 10 y 22,5 veces el EBITDA (mediana ≈13 veces), las más caras en refrigeración líquida (Boyd, 22,5 veces) y en industria de nicho (Rotork, 20 veces) [17, 18]. Aplicadas a Legrand dan 90,98 EUR por acción de mediana, porque son empresas pequeñas pagadas a múltiplos inferiores a los de cotización del sector. Legrand no es objeto probable de una operación (sin accionista de control, 35.000 M de capitalización y el veto de Bruselas a Schneider en 2001 como precedente), así que no ponderamos este método.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(+15,5 %, fijo) sale de la guía elevada en julio: orgánico del 8-10 %, compras de ≈8 % y divisa de −1,5 % [3]. El 2027e (+10 %) suma un orgánico del 7 % (mitad del rango 6-8 % del plan 2030) y ≈3 puntos de arrastre de las compras ya anunciadas en 2026 [12]. Desde 2028e proyectamos solo orgánico, del 7 % al 3,5 % en 2035e: no incluimos las compras futuras (≈5 % anual según la empresa) porque su valor depende del precio que se pague y el DCF no incluye la caja que costarían. Así, 2030e queda en 14.550 M frente a 16.000-18.000 M del plan, que sí incluye compras.</w:t>
      </w:r>
    </w:p>
    <w:p>
      <w:pPr>
        <w:keepNext/>
        <w:spacing w:after="100"/>
      </w:pPr>
      <w:r>
        <w:rPr>
          <w:b/>
          <w:bCs/>
        </w:rPr>
        <w:t xml:space="preserve">Márgenes.</w:t>
      </w:r>
    </w:p>
    <w:p>
      <w:pPr>
        <w:spacing w:after="100"/>
      </w:pPr>
      <w:r>
        <w:t xml:space="preserve">Margen EBITDA del 23,3 % en 2026e (23,4 % en el 1S26 [3]) que sube al 23,8 % en 2030e y se queda ahí. Es prudente frente al plan (margen ajustado medio del 21-22 % en 2027-2030, que equivale a un EBITDA del 24-25 % con la amortización material de ≈2,7 %) y coherente con la historia: el EBITDA lleva seis años entre el 23,0 % y el 23,4 % [1]. No suponemos apalancamiento operativo que la empresa no ha demostrado.</w:t>
      </w:r>
    </w:p>
    <w:p>
      <w:pPr>
        <w:keepNext/>
        <w:spacing w:after="100"/>
      </w:pPr>
      <w:r>
        <w:rPr>
          <w:b/>
          <w:bCs/>
        </w:rPr>
        <w:t xml:space="preserve">Inversión y circulante.</w:t>
      </w:r>
    </w:p>
    <w:p>
      <w:pPr>
        <w:spacing w:after="100"/>
      </w:pPr>
      <w:r>
        <w:t xml:space="preserve">Capex del 3,5 % de las ventas (2,6 % de inversión material y desarrollo, como en 2025, más 0,9 % de altas de derechos de uso, porque la deuda incluye los arrendamientos) hasta 2033e y del 3,6 % en los dos últimos años, igual a la amortización. La amortización baja del 4,4 % al 3,6 % de las ventas porque la de los activos comprados (1,6 % en 2025) no crece si no hay compras nuevas. Circulante comercial del 17,5 % de las ventas (17,2 % en 2025, 16,3 % en 2024).</w:t>
      </w:r>
    </w:p>
    <w:p>
      <w:pPr>
        <w:keepNext/>
        <w:spacing w:after="100"/>
      </w:pPr>
      <w:r>
        <w:rPr>
          <w:b/>
          <w:bCs/>
        </w:rPr>
        <w:t xml:space="preserve">Coste del capital.</w:t>
      </w:r>
    </w:p>
    <w:p>
      <w:pPr>
        <w:spacing w:after="100"/>
      </w:pPr>
      <w:r>
        <w:t xml:space="preserve">Tasa libre del 3,45 % (Bund a 10 años del 15-oct-2026) [31]; beta de 1,10, entre la mensual de cinco años frente al CAC (1,23; ajustada 1,15) y la semanal (0,96-1,03) [28]; prima de mercado del 5,5 % y sin prima adicional (vende en 90 países, el 39 % en EE. UU.). Coste de la deuda del 3,0 % antes de impuestos (gastos financieros de 168 M sobre una deuda bruta media de ≈5.850 M en 2025), tipo del 26 % y peso de la deuda del 14 % a valor de mercado (deuda neta de 5.755 M frente a 35.217 M de capitalización). WACC del 8,48 %. Con la prima implícita del mercado (4,20 %) sería del 7,25 % [33].</w:t>
      </w:r>
    </w:p>
    <w:p>
      <w:pPr>
        <w:keepNext/>
        <w:spacing w:after="100"/>
      </w:pPr>
      <w:r>
        <w:rPr>
          <w:b/>
          <w:bCs/>
        </w:rPr>
        <w:t xml:space="preserve">Valor terminal.</w:t>
      </w:r>
    </w:p>
    <w:p>
      <w:pPr>
        <w:spacing w:after="100"/>
      </w:pPr>
      <w:r>
        <w:t xml:space="preserve">Gordon con un crecimiento del 2,5 % en euros (inflación del 2 % más medio punto real), por debajo de la tasa libre menos medio punto (2,95 %). El múltiplo de salida implícito sale en ≈14 veces el EBITDA, por debajo de la mediana actual de los comparables (19,2 veces los próximos 12 meses) y en línea con la media histórica de Legrand (14,9 veces). El valor terminal pesa el 61 %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(reinvierte el 31 %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 (histórico: 16,4 %)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 frente al 6,8 %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959 M, el 4 % del NOPAT, con un capex bruto medio del 3,5 % de las ventas). En un negocio de activos ligeros, el crecimiento medio del 6,8 %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julio: orgánico 8-10 % (volumen ≈6 % y precio ≈3 %), compras ≈8 % y divisa −1,5 % (otros +6,5)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7 % (centros de datos al 15 % sobre un tercio de las ventas, edificios al 2-3 %) y ≈3 puntos de arrastre de las siete compras de 2026 [3,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orgánico: volumen 4,5 % y precio 2,5 %, en la mitad del rango del plan (6-8 %)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6,5 %: centros de datos frenando hacia el 12 % anual.</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6 %: el crecimiento del mercado de centros de datos se modera; edificios con Europa normalizada.</w:t>
            </w:r>
          </w:p>
        </w:tc>
      </w:tr>
    </w:tbl>
    <w:p>
      <w:pPr>
        <w:spacing w:after="160" w:before="0"/>
      </w:pPr>
    </w:p>
    <w:p>
      <w:pPr>
        <w:spacing w:after="100"/>
      </w:pPr>
      <w:r>
        <w:t xml:space="preserve">Sí. El crecimiento medio proyectado (6,8 %, solo orgánico desde 2028e) está por debajo de la TCAC histórica con compras (9,2 %) y dentro del rango que la empresa se fija para el orgánico de 2027-2030 (6-8 %) [12]. No necesita capital: el negocio rinde un 35 % sobre el capital sin fondo de comercio y el motor da un rendimiento implícito de la reinversión del 20,3 %, frente al 16,4 % de ROIC incremental histórico (por debajo del límite de 1,25 veces). La prueba que importa es el poder de precios y la cuota: Legrand ha subido precios por encima de la inflación en 2022-2025 sin perder margen [1, 8] y su cuota en la infraestructura de centros de datos (≈6 %) no necesita subir para crecer al 6-7 %, porque el mercado crece al 22 % anual [13]. La cuota final no se prueba con el motor (mercado_final en null: el mercado de Dell’Oro solo cubre un tercio de las ventas).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 (base: 5,8 %)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27,6 % (base: 23,8 %)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 (WACC: 8,5 %)</w:t>
            </w:r>
          </w:p>
        </w:tc>
      </w:tr>
    </w:tbl>
    <w:p>
      <w:pPr>
        <w:spacing w:after="160" w:before="0"/>
      </w:pPr>
    </w:p>
    <w:p>
      <w:pPr>
        <w:spacing w:after="100"/>
      </w:pPr>
      <w:r>
        <w:t xml:space="preserve">El DCF da 108,41 EUR por acción, un 18,9 % por debajo del precio, con un WACC del 8,48 % y un valor terminal que pesa el 61 % del valor de empresa: no es un DCF que dependa de la perpetuidad. El DCF inverso es lo importante: para justificar 133,70 EUR con nuestro WACC, Legrand tendría que crecer un 8,8 % anual en 2027-2035 (nuestro base: 5,8 %) o llevar el margen EBITDA al 27,6 % (nuestro base: 23,8 %; en 2020-2025 nunca pasó del 23,4 % [1]). Dicho de otra forma, el precio implica una rentabilidad anual del 7,5 %, un punto por debajo de nuestro WACC y casi igual a lo que hoy pide el mercado (7,3 % con la prima implícita de Damodaran). Un 8,8 % durante nueve años es exigente pero no absurdo: es el tramo alto del plan 2030 (6-8 % orgánico más compras) [12] y está por debajo de la TCAC histórica con compras (9,2 %). El precio paga, por tanto, que Legrand siga comprando empresas y que los centros de datos sigan creciendo a doble dígito. Con la prima del mercado, el DCF sube a 142,94 EUR, un 7 % por encima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hiperescaladores recortan la inversión en 2027-2028 tras años de exceso de capacidad, como pasó con las telecos en 2001: centros de datos, el 32 % de las ventas, caen y Europa no se recupera. El crecimiento baja 3 puntos al año y el margen 2 puntos (como en 2009, cuando el margen ajustado cayó ≈2 puntos), con un WACC medio punto más alto.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el orgánico del plan 2030 en su parte media (7 % en 2027-2028 y 5-6 % después), sin compras nuevas. Margen EBITDA del 23,5-23,8 %.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centros de datos de IA siguen creciendo al 20 % y Legrand gana cuota con la corriente continua y la refrigeración: 2 puntos más de crecimiento al año y 1 punto más de margen, que lleva el margen ajustado al 22 %, el alto del plan.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133,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105,35 EUR (-21,2 %).</w:t>
      </w:r>
    </w:p>
    <w:p>
      <w:pPr>
        <w:spacing w:after="100"/>
      </w:pPr>
      <w:r>
        <w:t xml:space="preserve">Los escenarios son asimétricos a la baja con nuestro WACC: el alcista (139,33 EUR) apenas supera el precio (+4,2 %) y el bajista (65,25 EUR) pierde la mitad (−51,2 %), con un valor ponderado de 105,35 EUR. La razón es que el precio ya está cerca del alcista del DCF: paga un crecimiento con compras que nuestro base no incluye. El bajista es duro a propósito: una pausa de la inversión de los hiperescaladores dos años seguidos, como la de las telecos en 2001, sobre un 32 % de las ventas [3]. A 12 meses, con múltiplos, la asimetría es la contraria (+51 % frente a −29 %), porque el mercado valora a estas empresas por PER y no por flujos descontados.</w:t>
      </w:r>
    </w:p>
    <w:p>
      <w:pPr>
        <w:pStyle w:val="Heading1"/>
      </w:pPr>
      <w:r>
        <w:t xml:space="preserve">22. Suma de partes</w:t>
      </w:r>
    </w:p>
    <w:p>
      <w:pPr>
        <w:pStyle w:val="Confianza"/>
        <w:spacing w:after="100"/>
      </w:pPr>
      <w:r>
        <w:t xml:space="preserve">Confianza: Alta</w:t>
      </w:r>
    </w:p>
    <w:p>
      <w:pPr>
        <w:spacing w:after="100"/>
      </w:pPr>
      <w:r>
        <w:t xml:space="preserve">No aplica: Legrand publica tres segmentos geográficos con el mismo negocio (material eléctrico y digital para edificios y centros de datos) y márgenes parecidos (21-23 %); no hay negocios con comparables distintos que valorar por separado.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133,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125,30 EUR (-6,3 % sobre 133,70).</w:t>
      </w:r>
    </w:p>
    <w:p>
      <w:pPr>
        <w:spacing w:after="100"/>
      </w:pPr>
      <w:r>
        <w:t xml:space="preserve">Pesos: DCF 50 %, comparables 25 % y escenarios 25 %, sin transacciones (los 90,98 EUR que darían son de compras de empresas pequeñas, sin prima de control comparable). El DCF es el método más fiable aquí porque Legrand tiene una historia larga de márgenes estables (EBITDA del 23,0-23,4 % desde 2020 y operativo ajustado del 19-21 %) [1, 10]. Los comparables (179,04 EUR) dan un 34 % más que el precio, pero miden el múltiplo de un sector que cotiza con la euforia de los centros de datos (Vertiv a 30 veces EBITDA, Schneider a 15 veces el NTM) y que en 2022 valía la mitad. La dispersión entre métodos es muy grande (de 105 a 179 EUR): es la pregunta de si el múltiplo actual del sector es el nuevo normal. El valor intrínseco ponderado (125,30 EUR) queda un 6,3 % por debajo del precio; con la prima del mercado, 150,92 EUR (+12,9 %).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(22x) a mitad de camino hacia abajo, hacia la mediana de 5 años (21.3x)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r>
    </w:tbl>
    <w:p>
      <w:pPr>
        <w:spacing w:after="160" w:before="0"/>
      </w:pPr>
    </w:p>
    <w:p>
      <w:pPr>
        <w:spacing w:after="100"/>
      </w:pPr>
      <w:r>
        <w:rPr>
          <w:b/>
          <w:bCs/>
        </w:rPr>
        <w:t xml:space="preserve">Objetivo a 12 meses (ponderado):</w:t>
      </w:r>
      <w:r>
        <w:t xml:space="preserve"> 145,72 EUR · rentabilidad +10,8 % (base +8,6 %) · señal Mantener.</w:t>
      </w:r>
    </w:p>
    <w:p>
      <w:pPr>
        <w:spacing w:after="100"/>
      </w:pPr>
      <w:r>
        <w:t xml:space="preserve">Para comparar, con la regla v2 (historia al cierre, mismo precio): 20,1x / 21,9x / 27,8x, 14,4 %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de 2028e (6,61 EUR) está un 8 % por debajo del consenso (7,20) y el de 2027e (6,07) un 5 % por debajo (6,41) [29]. La diferencia está en las ventas, no en el margen: el consenso de 2028e (13.463 M) incluye compras nuevas, que la empresa planea a ≈5 % anual, y nosotros no (12.888 M). A igualdad de perímetro las cifras casi coinciden. Nuestro objetivo base queda por debajo del objetivo medio de los analistas (169,22 EUR), que usan múltiplos de 25-28 veces, los de la mediana del sector.</w:t>
      </w:r>
    </w:p>
    <w:p>
      <w:pPr>
        <w:keepNext/>
        <w:spacing w:after="100"/>
      </w:pPr>
      <w:r>
        <w:rPr>
          <w:b/>
          <w:bCs/>
        </w:rPr>
        <w:t xml:space="preserve">Del valor intrínseco al objetivo a 12 meses.</w:t>
      </w:r>
    </w:p>
    <w:p>
      <w:pPr>
        <w:spacing w:after="100"/>
      </w:pPr>
      <w:r>
        <w:t xml:space="preserve">El objetivo a 12 meses (145,72 EUR) está un 16 % por encima del valor intrínseco (125,30 EUR): el mercado paga a Legrand 22 veces el beneficio de 2027e y nuestro objetivo supone que lo sigue pagando, mientras que el DCF con nuestro WACC no lo justifica. La distancia se cerraría si Legrand demuestra en los resultados de nueve meses (5-nov-2026) y anuales (feb-2027) que el crecimiento orgánico de los centros de datos se mantiene por encima del 15 % y que el margen ajustado llega al 21 % de la guía [3]: eso validaría el crecimiento implícito del 8,8 %. Sin eso, el objetivo a 12 meses depende de que el sector conserve su múltiplo. El objetivo medio de los analistas (169,22 EUR) está por encima de nuestro base (142,78) porque usan BPA con compras nuevas y múltiplos del sector.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nov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primeros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los centros de datos y de Europa; confirmación de la guía de +16-19 % y margen del 20,5-21 %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 2026 y de ene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Microsoft, Alphabet, Amazon y Meta con su inversión prevista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recorte de la inversión de 2027 tocaría el 32 % de las ventas; una subida, el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anuales de 2026 y objetivos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objetivo anual tras el día del inversor; dividendo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las siete compras de 2026 y nuevas 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puntos de crecimiento en 2026; el precio pagado decide el ROIC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Informes de mercado de Dell’Oro sobre la infraestructura física de centros de datos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del mercado (+20 % en el 4T25) frente al de Legrand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y autorización de recompra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Pausa de la inversión de los hiperescaladores en centros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 / cliente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(de 108 a ≈65 EUR en el bajista del DCF; −29 %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tercio de las ventas de centros de datos es de colocación y empresas, no de hiperescaladores; la oferta de gestión y servicios es recurrente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centros de datos por debajo del 10 % en un trimestre o recorte de la inversión de 2027 de dos hiperescaladores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múltiplo del sector (de 22 a 17 veces el beneficio)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−29 % a 12 meses (bajista: 17,3x × 5,52)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sano (2,4x deuda neta/EBITDA) y dividendo del 1,8 %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del sector como la del 14-sep-2026 (−6,7 %) sin noticias de la empresa [36]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al final del ciclo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integración sin deterioros relevantes (solo Rusia, 28 M en 2022)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por encima del 70 % del capital invertido o ROIC por debajo del 11 %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sigue débil (vivienda y edificios no residenciales)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pesa cada vez menos y ya está en el fondo del ciclo (−2,4 % orgánico en el 1S26)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Europa por debajo de −3 %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Tecnología: refrigeración líquida y corriente continua donde Legrand es pequeña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en refrigeración y lanzamientos de corriente continua; la refrigeración solo es el 5 % de las ventas de centros de datos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frente a Vertiv o Schneider en los datos de Dell’Oro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tensión comercial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absorbió el arancel de EE. UU. con subidas de precios sin perder margen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Norteamérica por debajo del 20 %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y ventas en la misma divisa en cada país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peor que −3 % en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Cobre y materias primas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Poder de precios demostrado en 2021-2023 sin perder margen [8,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por debajo del 50 %</w:t>
            </w:r>
          </w:p>
        </w:tc>
      </w:tr>
    </w:tbl>
    <w:p>
      <w:pPr>
        <w:spacing w:after="160" w:before="0"/>
      </w:pPr>
    </w:p>
    <w:p>
      <w:pPr>
        <w:pStyle w:val="Heading2"/>
      </w:pPr>
      <w:r>
        <w:t xml:space="preserve">Pre-mortem</w:t>
      </w:r>
    </w:p>
    <w:p>
      <w:pPr>
        <w:spacing w:after="100"/>
      </w:pPr>
      <w:r>
        <w:t xml:space="preserve">Es octubre de 2029 y la acción vale 80 EUR, un 40 % menos. La historia empezó a mediados de 2027: dos hiperescaladores anunciaron que recortaban la inversión del año siguiente porque los ingresos de la IA no cubrían el gasto, y los fabricantes de componentes ya acumulaban existencias. Las ventas de centros de datos de Legrand, que en 2026 pasaban de 3.000 M, crecieron un 5 % en 2028 en vez del 15 %, y Europa siguió sin recuperarse. El margen ajustado bajó del 21 % al 19 % por los costes fijos de las fábricas ampliadas y de las compras de 2026-2027, pagadas a 15-20 veces el EBITDA. El mercado dejó de pagar 22 veces el beneficio y pasó a 16, como en 2022, sobre un BPA que no crecía. Los indicadores que lo anunciaban: la inversión prevista de los hiperescaladores en sus resultados de enero, el crecimiento trimestral de Dell’Oro por debajo del 10 % y un orgánico de centros de datos de Legrand de un dígito en un trimestre.</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+5 % en el base; −30 % si se frena la inversión en centros de datos</w:t>
      </w:r>
    </w:p>
    <w:p>
      <w:pPr>
        <w:spacing w:after="100"/>
      </w:pPr>
      <w:r>
        <w:t xml:space="preserve">La IA no sustituye los productos de Legrand: un cuadro eléctrico, una regleta de distribución o una bandeja de cables no se diseñan ni se fabrican con software, así que el riesgo de sustitución del negocio es bajo. La exposición es por la demanda: los centros de datos son el 32 % de las ventas en el 1S26 y más de 3.000 M previstos en 2026 [3, 12], y el crecimiento de ese mercado (22 % anual hasta 2030 según Dell’Oro [13]) depende de la inversión en IA. Es una oportunidad mientras dure y un riesgo cíclico si se frena: el 14-sep-2026 el sector cayó por temores sobre la IA sin noticias de Legrand [36]. La señal: la inversión prevista por los hiperescaladores y el orgánico trimestral de centros de datos de Legrand.</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que más afecta a las cifras es la eficiencia energética de los edificios y de los centros de datos: buena parte de la oferta de Legrand (gestión de la energía, iluminación, cargadores, monitorización de consumos) se vende porque ayuda a cumplir la normativa de eficiencia europea, y la transición energética ya es el 22 % de las ventas del 1S26 [3]. Su propia huella es pequeña frente a la de sus clientes (fábricas de montaje, no fundiciones). La empresa cumplió su hoja de ruta de responsabilidad social de 2025 al 110 % [1] y liga parte del variable de la dirección a ella.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centros de datos va a hiperescaladores y con qué visibilidad de pedidos (meses de cartera)?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cuánto cae Legrand en una pausa de la inversión; es el riesgo principal [12].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múltiplo de EBITDA se han hecho las siete compras de 2026 y qué ROIC se les exige a tres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fondo de comercio ya es el 64 % del capital y deja el ROIC en el 12 % frente al 35 % sin él.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Refrigeración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tiene Legrand en refrigeración líquida y cuánto piensa invertir para ganar escala?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solo el 5 % de las ventas de centros de datos y el segmento que más crece [12].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margen cuesta la dilución de las compras de 2026 y cuándo vuelve el margen ajustado al 21 %?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(20,5-21 %) queda en el 20,7 % de 2025 o por debajo, y el 1S26 bajó al 20,8 % (21,0 % un año antes)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señales hay de recuperación en la renovación de edificios en Francia e Italia?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cayó un 2,4 % orgánico en el 1S26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 convertible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piensa recomprar acciones para neutralizar la dilución del bono convertible de 800 M (conversión a 159,03 EUR)?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≈5 M de acciones nuevas (1,9 %) si la acción pasa de 159 EUR.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Corriente continua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ventas prevé de las soluciones de corriente continua de baja tensión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tecnología que puede cambiar la distribución eléctrica de los centros de datos de IA.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Legrand)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Doce hilos en tres meses; el más largo (27 respuestas) no entiende que la acción baje tras unos resultados récord; otros compran en las caídas y alguno pide vender tras el verano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y transcripciones)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dos últimos artículos destacan la mejora de la guía y el apalancamiento operativo por los centros de datos; en abril otro la veía «justamente valorada»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de bolsa francesa (BFM Bourse)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la caída del 12 % de noviembre, unos la ven «víctima de su propio éxito» y otros un punto de entrada [34].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acción no sube con resultados récord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cierto: −8,5 % en 12 meses con el BPA subiendo; la causa es la bajada del múltiplo del sector, no la empresa [28, 36].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e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32 % de las ventas y guía al alza dos veces en 2026 [3]; el informe ve ahí también el riesgo principal.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DCF da menos que el precio y los comparables más: la misma duda que en los foros.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Europa y vivienda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Europa cae un 2,4 % orgánico [3]; pesa cada vez menos.</w:t>
            </w:r>
          </w:p>
        </w:tc>
      </w:tr>
    </w:tbl>
    <w:p>
      <w:pPr>
        <w:spacing w:after="160" w:before="0"/>
      </w:pPr>
    </w:p>
    <w:p>
      <w:pPr>
        <w:spacing w:after="100"/>
      </w:pPr>
      <w:r>
        <w:t xml:space="preserve">El sentimiento no es extremo: el inversor particular francés está desconcertado porque la acción baja con resultados récord, y los artículos en inglés destacan la mejora de la guía y los centros de datos [39, 40]. No hay euforia ni capitulación, y coincide con el consenso de analistas (Outperform). Lo único que aporta es que la duda del mercado es la misma que la del informe: si el múltiplo del sector aguanta.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40 (20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17,5 % frente a 17,2 % real: genera una variación de circulante de 287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0,03: el crecimiento no explica los múltiplos de estos comparables; no uses el valor de la regresión. Explicación: R² de 0,03: en este grupo el múltiplo lo explica la exposición a centros de datos y la calidad, no el crecimiento de 12 meses (Vertiv crece menos que nVent y cotiza más cara).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(34,2x → 19,7x): el salto implica un crecimiento del EBITDA que no cuadra con el de las ventas. ¿EBITDA de proveedores distintos, o un cambio de perímetro? Explicación: Vertiv pasa de 34,2x a 19,7x porque su EBITDA crece mucho más que las ventas por el apalancamiento operativo y la base de los últimos 12 meses; dato heredado del informe de Eaton. Su PER (28,3x) está en la mediana, así que no distorsiona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11,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capítulo 6 (no se localizó el PDF en la web de inversores); 2) resultado de la junta del 27-may-2026 (solo el voto, 96,99 % a favor); 3) búsqueda de prensa (solo la cifra de 2023, ≈3,7 M EUR, de Simply Wall St)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deuda de las cuentas 2025 (no lo citan); 2) búsqueda de S&amp;P y Moody’s (sin resultado fiable); 3) folletos de bonos (no leídos)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consolidadas 2025 (el informe de auditoría va en el 8.2 del URD, fuera del extracto); 2) comunicado anual (no lo nombra); 3) resultado de votos de la junta 2026 (sin renovación de auditores)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anual 2025 (solo la hoja de ruta RSC, 110 % de cumplimiento); 2) MarketScreener y webs de MSCI/Sustainalytics (sin acceso); 3) informe integrado 2025 (no leído)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Dell'Oro (no publica cuotas gratis); 2) día del inversor de Legrand (sin cuota); 3) informes de competidores del repositorio (sin cuota común)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posiciones cortas de la AMF (sin declaraciones ≥ 0,5 % localizadas); 2) Stock Analysis;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2025-2026 (sin litigios relevantes citados); 2) BDIF de la AMF (solo operaciones de directivos y umbrales); 3) prensa (sin resultados fiables; no se leyó el capítulo de riesgos del URD)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full-year results (comunicado con conciliaciones de EBITDA, resultado operativo ajustado, flujo de caja libre, circulante y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Legrand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https://echanges.dila.gouv.fr/OPENDATA/AMF/BWR/2026/02/FCBWR166517_20260212.pdf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2025 (Universal Registration Document 2025, cap. 8: cuentas auditadas y notas de segmentos, deuda, OCEANE, BPA,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Legrand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https://www.legrand.com/sites/default/files/Documents_PDF_Legrand/Finance/2025/1Y/Legrand_Consolidated_Financial_Statements_2025_1770814867.pdf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first-half results (comunicado: ventas, EBITDA, deuda neta, circulante y flujo de caja libre a 30-jun-2026; objetivos 2026 revisados)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https://echanges.dila.gouv.fr/OPENDATA/AMF/BWR/2026/07/FCBWR168887_20260729.pdf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first-quarter results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https://echanges.dila.gouv.fr/OPENDATA/AMF/BWR/2026/05/FCBWR167775_20260507.pdf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Unaudited consolidated financial information as of March 31, 2026 (cuenta, capital, autocartera y deuda por instrumentos)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https://echanges.dila.gouv.fr/OPENDATA/AMF/BWR/2026/05/FCBWR167781_20260507.pdf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the first nine months of 2025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https://echanges.dila.gouv.fr/OPENDATA/AMF/BWR/2025/11/FCBWR165369_20251106.pdf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full-year results (comunicado con conciliaciones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https://echanges.dila.gouv.fr/OPENDATA/AMF/BWR/2025/02/FCBWR161489_20250213.pdf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full-year results (comunicado con conciliaciones 2022-2023)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https://echanges.dila.gouv.fr/OPENDATA/AMF/BWR/2024/02/FCBWR155156_20240215.pdf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full-year results (comunicado con conciliaciones 2020-2021)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https://echanges.dila.gouv.fr/OPENDATA/AMF/BWR/2022/02/FCBWR139649_20220210.pdf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 full-year results (comunicado con conciliaciones 2019-2020)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https://echanges.dila.gouv.fr/OPENDATA/AMF/BWR/2021/02/FCBWR131713_20210211.pdf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financieros anuales ESEF de Legrand 2020-2025 (XBRL: cuenta, balance y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https://filings.xbrl.org/api/filings?filter[entity.identifier]=969500XXRPGD7HCAFA90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Capital Markets Day (comunicado: ambiciones 2030, reparto de ventas de centros de datos, asignación de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https://echanges.dila.gouv.fr/OPENDATA/AMF/BWR/2026/09/FCBWR169533_20260928.pdf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Market Forecast to Reach $120 Billion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https://www.delloro.com/news/data-center-physical-infrastructure-market-forecast-to-reach-120-billion-by-2030/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Market Reaches $10.9 Billion in 4Q 2025, Up 20 Percent Y/Y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https://www.delloro.com/news/data-center-physical-infrastructure-market-reaches-10-9-billion-in-4q-2025-up-20-percent-y-y/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and AI, resumen ejecutivo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Internacional de la Energía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https://www.iea.org/reports/energy-and-ai/executive-summary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de Schneider Electric del repositorio (cuentas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informes/schneider-electric-2026-10-14/datos-v2.json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de ABB del repositorio (cuentas 2025, Rotork)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informes/abb-2026-10-15/datos.json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de Eaton del repositorio (cuentas 2025, comparables y transacciones a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informes/eaton-2026-10-15/datos.json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del análisis de Hubbell del repositorio (cuentas 2025 del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informes/hubbell-2026-10-15/notas/A.json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value de Vertiv del repositorio (cuentas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informes/vertiv-2026-10-07/datos-v4.json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vise 18 milliards d’euros de revenus en 2030, le titre bondit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https://www.abcbourse.com/marches/legrand-vise-18-milliards-d-euros-de-revenus-en-2030-le-titre-bondit-de-plus-de_703319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Conseil d'administration (composición, cargos, comités y fechas de nombramiento)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https://www.legrand.com/fr/node/2693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Mixte du 27 mai 2026: résultat du vote des résolutions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https://www.legrand.com/sites/default/files/Documents_PDF_Legrand/Finance/2026/AG/Re%CC%81sultat%20Des%20Votes_1779896941.pdf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operaciones de directivos de Legrand (BDIF, tipo DD,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https://bdif.amf-france.org/back/api/v1/informations?RechercheTexte=LEGRAND&amp;TypesInformation=DD&amp;From=0&amp;Size=40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 franchissement de seuils: Massachusetts Financial Services baja del 5 % (13-jul-2026)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https://bdif.amf-france.org/back/api/v1/documents/2026/226C1077/E503A2E6718071633506D2603D2EFCC026639B7CD8CBBA82DA529C3B602D88CA.pdf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 de franchissement de seuils: FIL Limited baja del 5 % (25-jul-2025)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https://echanges.dila.gouv.fr/OPENDATA/AMF/307/8888/01/FC307592721_20250811.pdf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Description of the share buyback program (capital y autocartera a 22-may-2026)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https://echanges.dila.gouv.fr/OPENDATA/AMF/BWR/2026/05/FCBWR168035_20260527.pdf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LR.PA, ^FCHI y EXH4.DE (precio, rango, volumen, betas, volatilidad, cierres de ejercicio) hasta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https://finance.yahoo.com/quote/LR.PA/history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estimaciones 2026-2028 (ventas, EBITDA, EBIT ajustado, beneficio, BPA, dividendo, deuda neta, flujo libre)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https://www.marketscreener.com/quote/stock/LEGRAND-16719/finances/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consenso de analistas (18, «Outperform», objetivo medio 169,22 EUR, máximo 200, mínimo 120)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https://www.marketscreener.com/quote/stock/LEGRAND-16719/consensus/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(3,45 % el 15-oct-2026), serie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https://api.statistiken.bundesbank.de/rest/data/BBSIS/D.I.ZST.ZI.EUR.S1311.B.A604.R10XX.R.A.A._Z._Z.A?format=csv&amp;lastNObservations=5&amp;lang=en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(1,1208 USD por EUR,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après un gros accident de parcours, Legrand peut-il redevenir la valeur chérie des investisseurs? (caída del 12,2 % del 6-nov-2025)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https://www.tradingsat.com/legrand-FR0010307819/actualites/legrand-apres-un-gros-accident-de-parcours-legrand-peut-il-redevenir-la-valeur-cherie-des-investisseurs-a-la-bourse-de-paris-1150310.html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noticias (subidas de AlphaValue el 6-oct, BofA el 9-sep, Deutsche Bank el 3-sep, RBC el 3-ago; día del inversor 29-sep)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https://www.marketscreener.com/quote/stock/LEGRAND-16719/news/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ETN en Seeking Alpha (RSS): «AI slowdown fears hammer data-center power and construction stocks» (14-sep-2026)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https://seekingalpha.com/api/sa/combined/ETN.xml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reprend du terrain suite à un relèvement d’objectif chez RBC (pérdida del 4 % en un mes por dudas sobre el auge de la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https://www.optionfinance.fr/info-financiere-en-continu/d/2026-07-03-legrand-reprend-du-terrain-suite-a-un-relevement-dobjectif-chez-rbc.html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Action Legrand: l’une des plus fortes baisses du CAC 40 (5 y 7-oct-2026, con Schneider; tensión en la deuda francesa)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https://www.ideal-investisseur.fr/actions-b/action-legrand-lune-des-plus-fortes-baisses-du-cac-40-le-titre-lache-2/26757.html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Legrand (hilos de jul-oct 2026: «Évolution incompréhensible au regard du résultat», «Résultats excellents!», «Objectif croissance avec les datacenters», «Été des enfers»)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https://www.boursorama.com/bourse/forum/1rPLR/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SA: noticias y análisis (RSS): «Guidance Upgrade As Data Center Offering Gets Traction» (2-oct), «Datacenter Growth, Pricing Action, And Operating Leverage Into Q2» (20-jul), «An Impressive Share Price Performance, But Stock Appears Fairly Valued» (17-abr)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https://seekingalpha.com/api/sa/combined/LGRDY.xml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88,3 %</w:t>
      </w:r>
      <w:r>
        <w:t xml:space="preserve"> · Secciones con menos del 60 % de campos cubiertos: </w:t>
      </w:r>
      <w:r>
        <w:rPr>
          <w:b/>
          <w:bCs/>
        </w:rPr>
        <w:t xml:space="preserve">esg</w:t>
      </w:r>
      <w:r>
        <w:t xml:space="preserve"> · Generado el 15 oct 2026.</w:t>
      </w:r>
    </w:p>
    <w:p>
      <w:pPr>
        <w:pStyle w:val="Nota"/>
        <w:spacing w:after="100"/>
      </w:pPr>
      <w:r>
        <w:t xml:space="preserve">Cotización en Euronext París (LR), la única línea principal; los ADR (LGRDY) no se usan. Cuentas 2020-2025 del XBRL ESEF del regulador, cuadradas con los comunicados anuales depositados en la AMF (EBITDA, amortizaciones, capex y deuda neta de las conciliaciones de la empresa). La deuda financiera incluye los pasivos por arrendamiento (NIIF 16: 432 M a 31-mar-2026), igual que la deuda neta que publica Legrand; por eso «arrendamientos» va a 0 y el capex del DCF suma las altas de derechos de uso. Segmentos solo 2024-2025 (la nota de segmentos del URD 2025 da dos años). No se ha leído el URD 2025 completo: la remuneración del consejero delegado, el auditor, el rating y las calificaciones ESG quedan como huecos. Comparables y transacciones de los análisis de Eaton y ABB del repositorio (cifras de MarketScreener y Stock Analysis llevadas al 14-oct-2026), convertidos a EUR a 1,1208 USD (BCE, 15-oct). Precio: cierre del 15-oct-2026 (la sesión de París había cerrado al hacer el análisis).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Legrand SA (LR)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133,70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(121,95 – 166,95)</c:v>
                </c:pt>
                <c:pt idx="1">
                  <c:v>Precio objetivo de los analistas (120,00 – 200,00)</c:v>
                </c:pt>
                <c:pt idx="2">
                  <c:v>Comparables: EV/EBITDA NTM (171,38 – 192,19)</c:v>
                </c:pt>
                <c:pt idx="3">
                  <c:v>Comparables: PER NTM (158,46 – 177,43)</c:v>
                </c:pt>
                <c:pt idx="4">
                  <c:v>Transacciones precedentes (EV/EBITDA) (86,97 – 124,89)</c:v>
                </c:pt>
                <c:pt idx="5">
                  <c:v>DCF (WACC y g ± 0,5) (92,75 – 130,20)</c:v>
                </c:pt>
                <c:pt idx="6">
                  <c:v>Escenarios (bajista – alcista) (65,25 – 139,33)</c:v>
                </c:pt>
                <c:pt idx="7">
                  <c:v>DCF con la prima implícita del mercado (4,2 %)</c:v>
                </c:pt>
                <c:pt idx="8">
                  <c:v>Precio actual (133,70)</c:v>
                </c:pt>
              </c:strCache>
            </c:strRef>
          </c:cat>
          <c:val>
            <c:numRef>
              <c:f>Hoja1!$B$2:$B$10</c:f>
              <c:numCache>
                <c:formatCode>#,##0</c:formatCode>
                <c:ptCount val="9"/>
                <c:pt idx="0">
                  <c:v>121.95</c:v>
                </c:pt>
                <c:pt idx="1">
                  <c:v>120</c:v>
                </c:pt>
                <c:pt idx="2">
                  <c:v>171.38</c:v>
                </c:pt>
                <c:pt idx="3">
                  <c:v>158.46</c:v>
                </c:pt>
                <c:pt idx="4">
                  <c:v>86.97</c:v>
                </c:pt>
                <c:pt idx="5">
                  <c:v>92.75</c:v>
                </c:pt>
                <c:pt idx="6">
                  <c:v>65.25</c:v>
                </c:pt>
                <c:pt idx="7">
                  <c:v>126.93</c:v>
                </c:pt>
                <c:pt idx="8">
                  <c:v>133.03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(121,95 – 166,95)</c:v>
                </c:pt>
                <c:pt idx="1">
                  <c:v>Precio objetivo de los analistas (120,00 – 200,00)</c:v>
                </c:pt>
                <c:pt idx="2">
                  <c:v>Comparables: EV/EBITDA NTM (171,38 – 192,19)</c:v>
                </c:pt>
                <c:pt idx="3">
                  <c:v>Comparables: PER NTM (158,46 – 177,43)</c:v>
                </c:pt>
                <c:pt idx="4">
                  <c:v>Transacciones precedentes (EV/EBITDA) (86,97 – 124,89)</c:v>
                </c:pt>
                <c:pt idx="5">
                  <c:v>DCF (WACC y g ± 0,5) (92,75 – 130,20)</c:v>
                </c:pt>
                <c:pt idx="6">
                  <c:v>Escenarios (bajista – alcista) (65,25 – 139,33)</c:v>
                </c:pt>
                <c:pt idx="7">
                  <c:v>DCF con la prima implícita del mercado (4,2 %)</c:v>
                </c:pt>
                <c:pt idx="8">
                  <c:v>Precio actual (133,70)</c:v>
                </c:pt>
              </c:strCache>
            </c:strRef>
          </c:cat>
          <c:val>
            <c:numRef>
              <c:f>Hoja1!$C$2:$C$10</c:f>
              <c:numCache>
                <c:formatCode>#,##0</c:formatCode>
                <c:ptCount val="9"/>
                <c:pt idx="0">
                  <c:v>44.999999999999986</c:v>
                </c:pt>
                <c:pt idx="1">
                  <c:v>80</c:v>
                </c:pt>
                <c:pt idx="2">
                  <c:v>20.810000000000002</c:v>
                </c:pt>
                <c:pt idx="3">
                  <c:v>18.97</c:v>
                </c:pt>
                <c:pt idx="4">
                  <c:v>37.92</c:v>
                </c:pt>
                <c:pt idx="5">
                  <c:v>37.44999999999999</c:v>
                </c:pt>
                <c:pt idx="6">
                  <c:v>74.08000000000001</c:v>
                </c:pt>
                <c:pt idx="7">
                  <c:v>35.81999999999999</c:v>
                </c:pt>
                <c:pt idx="8">
                  <c:v>1.3400000000000034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Europa</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3634</c:v>
                </c:pt>
                <c:pt idx="1">
                  <c:v>3834.1</c:v>
                </c:pt>
              </c:numCache>
            </c:numRef>
          </c:val>
        </c:ser>
        <c:ser>
          <c:idx val="1"/>
          <c:order val="1"/>
          <c:tx>
            <c:strRef>
              <c:f>Hoja1!$C$1</c:f>
              <c:strCache>
                <c:ptCount val="1"/>
                <c:pt idx="0">
                  <c:v>Norte y Centroamérica</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3504.7</c:v>
                </c:pt>
                <c:pt idx="1">
                  <c:v>4012.3</c:v>
                </c:pt>
              </c:numCache>
            </c:numRef>
          </c:val>
        </c:ser>
        <c:ser>
          <c:idx val="2"/>
          <c:order val="2"/>
          <c:tx>
            <c:strRef>
              <c:f>Hoja1!$D$1</c:f>
              <c:strCache>
                <c:ptCount val="1"/>
                <c:pt idx="0">
                  <c:v>Resto del mundo</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1510.2</c:v>
                </c:pt>
                <c:pt idx="1">
                  <c:v>1634.2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Europa</c:v>
                </c:pt>
                <c:pt idx="1">
                  <c:v>Norte y Centroamérica</c:v>
                </c:pt>
                <c:pt idx="2">
                  <c:v>Resto del mundo</c:v>
                </c:pt>
              </c:strCache>
            </c:strRef>
          </c:cat>
          <c:val>
            <c:numRef>
              <c:f>Hoja1!$B$2:$B$4</c:f>
              <c:numCache>
                <c:formatCode>General</c:formatCode>
                <c:ptCount val="3"/>
                <c:pt idx="0">
                  <c:v>40.4</c:v>
                </c:pt>
                <c:pt idx="1">
                  <c:v>42.3</c:v>
                </c:pt>
                <c:pt idx="2">
                  <c:v>17.2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Estados Unidos</c:v>
                </c:pt>
                <c:pt idx="1">
                  <c:v>Europa</c:v>
                </c:pt>
                <c:pt idx="2">
                  <c:v>Asia-Pacífico</c:v>
                </c:pt>
                <c:pt idx="3">
                  <c:v>Sudamérica</c:v>
                </c:pt>
                <c:pt idx="4">
                  <c:v>África y Oriente Medio</c:v>
                </c:pt>
                <c:pt idx="5">
                  <c:v>Canadá y México</c:v>
                </c:pt>
              </c:strCache>
            </c:strRef>
          </c:cat>
          <c:val>
            <c:numRef>
              <c:f>Hoja1!$B$2:$B$7</c:f>
              <c:numCache>
                <c:formatCode>0"%"</c:formatCode>
                <c:ptCount val="6"/>
                <c:pt idx="0">
                  <c:v>39.2</c:v>
                </c:pt>
                <c:pt idx="1">
                  <c:v>38</c:v>
                </c:pt>
                <c:pt idx="2">
                  <c:v>12.6</c:v>
                </c:pt>
                <c:pt idx="3">
                  <c:v>3.7</c:v>
                </c:pt>
                <c:pt idx="4">
                  <c:v>3.5</c:v>
                </c:pt>
                <c:pt idx="5">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(USD a 1,1208))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39600</c:v>
                </c:pt>
                <c:pt idx="1">
                  <c:v>48400</c:v>
                </c:pt>
                <c:pt idx="2">
                  <c:v>59000</c:v>
                </c:pt>
                <c:pt idx="3">
                  <c:v>71900</c:v>
                </c:pt>
                <c:pt idx="4">
                  <c:v>87800</c:v>
                </c:pt>
                <c:pt idx="5">
                  <c:v>107100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Legrand</c:v>
                </c:pt>
                <c:pt idx="1">
                  <c:v>Schneider Electric</c:v>
                </c:pt>
                <c:pt idx="2">
                  <c:v>ABB (Electrification)</c:v>
                </c:pt>
                <c:pt idx="3">
                  <c:v>Eaton</c:v>
                </c:pt>
                <c:pt idx="4">
                  <c:v>Vertiv</c:v>
                </c:pt>
                <c:pt idx="5">
                  <c:v>Hubbell</c:v>
                </c:pt>
              </c:strCache>
            </c:strRef>
          </c:cat>
          <c:val>
            <c:numRef>
              <c:f>Hoja1!$B$2:$B$7</c:f>
              <c:numCache>
                <c:formatCode>0.0"%"</c:formatCode>
                <c:ptCount val="6"/>
                <c:pt idx="0">
                  <c:v>19.1</c:v>
                </c:pt>
                <c:pt idx="1">
                  <c:v>18.8</c:v>
                </c:pt>
                <c:pt idx="2">
                  <c:v>18.2</c:v>
                </c:pt>
                <c:pt idx="3">
                  <c:v>18.8</c:v>
                </c:pt>
                <c:pt idx="4">
                  <c:v>17.9</c:v>
                </c:pt>
                <c:pt idx="5">
                  <c:v>20.7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6099.5</c:v>
                </c:pt>
                <c:pt idx="1">
                  <c:v>6994.2</c:v>
                </c:pt>
                <c:pt idx="2">
                  <c:v>8339.4</c:v>
                </c:pt>
                <c:pt idx="3">
                  <c:v>8416.9</c:v>
                </c:pt>
                <c:pt idx="4">
                  <c:v>8648.9</c:v>
                </c:pt>
                <c:pt idx="5">
                  <c:v>9480.6</c:v>
                </c:pt>
                <c:pt idx="6">
                  <c:v>10950</c:v>
                </c:pt>
                <c:pt idx="7">
                  <c:v>12045</c:v>
                </c:pt>
                <c:pt idx="8">
                  <c:v>12888</c:v>
                </c:pt>
                <c:pt idx="9">
                  <c:v>13726</c:v>
                </c:pt>
                <c:pt idx="10">
                  <c:v>14550</c:v>
                </c:pt>
                <c:pt idx="11">
                  <c:v>15350</c:v>
                </c:pt>
                <c:pt idx="12">
                  <c:v>16117</c:v>
                </c:pt>
                <c:pt idx="13">
                  <c:v>16843</c:v>
                </c:pt>
                <c:pt idx="14">
                  <c:v>17516</c:v>
                </c:pt>
                <c:pt idx="15">
                  <c:v>18129</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1399.7</c:v>
                </c:pt>
                <c:pt idx="1">
                  <c:v>1650.5</c:v>
                </c:pt>
                <c:pt idx="2">
                  <c:v>1858.9</c:v>
                </c:pt>
                <c:pt idx="3">
                  <c:v>1961.7</c:v>
                </c:pt>
                <c:pt idx="4">
                  <c:v>2022.4</c:v>
                </c:pt>
                <c:pt idx="5">
                  <c:v>2217.6</c:v>
                </c:pt>
                <c:pt idx="6">
                  <c:v>2551</c:v>
                </c:pt>
                <c:pt idx="7">
                  <c:v>2831</c:v>
                </c:pt>
                <c:pt idx="8">
                  <c:v>3042</c:v>
                </c:pt>
                <c:pt idx="9">
                  <c:v>3253</c:v>
                </c:pt>
                <c:pt idx="10">
                  <c:v>3463</c:v>
                </c:pt>
                <c:pt idx="11">
                  <c:v>3653</c:v>
                </c:pt>
                <c:pt idx="12">
                  <c:v>3836</c:v>
                </c:pt>
                <c:pt idx="13">
                  <c:v>4009</c:v>
                </c:pt>
                <c:pt idx="14">
                  <c:v>4169</c:v>
                </c:pt>
                <c:pt idx="15">
                  <c:v>4315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52.2</c:v>
                </c:pt>
                <c:pt idx="1">
                  <c:v>50.8</c:v>
                </c:pt>
                <c:pt idx="2">
                  <c:v>49.7</c:v>
                </c:pt>
                <c:pt idx="3">
                  <c:v>52.3</c:v>
                </c:pt>
                <c:pt idx="4">
                  <c:v>51.6</c:v>
                </c:pt>
                <c:pt idx="5">
                  <c:v>50.8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22.9</c:v>
                </c:pt>
                <c:pt idx="1">
                  <c:v>23.6</c:v>
                </c:pt>
                <c:pt idx="2">
                  <c:v>22.3</c:v>
                </c:pt>
                <c:pt idx="3">
                  <c:v>23.3</c:v>
                </c:pt>
                <c:pt idx="4">
                  <c:v>23.4</c:v>
                </c:pt>
                <c:pt idx="5">
                  <c:v>23.4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17.5</c:v>
                </c:pt>
                <c:pt idx="1">
                  <c:v>19.2</c:v>
                </c:pt>
                <c:pt idx="2">
                  <c:v>17.3</c:v>
                </c:pt>
                <c:pt idx="3">
                  <c:v>18.9</c:v>
                </c:pt>
                <c:pt idx="4">
                  <c:v>19</c:v>
                </c:pt>
                <c:pt idx="5">
                  <c:v>19.1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11.2</c:v>
                </c:pt>
                <c:pt idx="1">
                  <c:v>12.9</c:v>
                </c:pt>
                <c:pt idx="2">
                  <c:v>12</c:v>
                </c:pt>
                <c:pt idx="3">
                  <c:v>13.6</c:v>
                </c:pt>
                <c:pt idx="4">
                  <c:v>13.5</c:v>
                </c:pt>
                <c:pt idx="5">
                  <c:v>13.1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4">
                  <c:v>3.7</c:v>
                </c:pt>
                <c:pt idx="5">
                  <c:v>11.4</c:v>
                </c:pt>
                <c:pt idx="6">
                  <c:v>14.7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Hoja1!$C$2:$C$8</c:f>
              <c:numCache>
                <c:formatCode>0.0"%"</c:formatCode>
                <c:ptCount val="7"/>
                <c:pt idx="0">
                  <c:v>6.2</c:v>
                </c:pt>
                <c:pt idx="3">
                  <c:v>6.7</c:v>
                </c:pt>
                <c:pt idx="4">
                  <c:v>6.2</c:v>
                </c:pt>
                <c:pt idx="5">
                  <c:v>9.3</c:v>
                </c:pt>
                <c:pt idx="6">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39</c:v>
                </c:pt>
                <c:pt idx="1">
                  <c:v>38</c:v>
                </c:pt>
                <c:pt idx="2">
                  <c:v>42</c:v>
                </c:pt>
                <c:pt idx="3">
                  <c:v>42</c:v>
                </c:pt>
                <c:pt idx="4">
                  <c:v>44</c:v>
                </c:pt>
                <c:pt idx="5">
                  <c:v>47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105</c:v>
                </c:pt>
                <c:pt idx="1">
                  <c:v>133</c:v>
                </c:pt>
                <c:pt idx="2">
                  <c:v>118</c:v>
                </c:pt>
                <c:pt idx="3">
                  <c:v>111</c:v>
                </c:pt>
                <c:pt idx="4">
                  <c:v>115</c:v>
                </c:pt>
                <c:pt idx="5">
                  <c:v>115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77</c:v>
                </c:pt>
                <c:pt idx="1">
                  <c:v>86</c:v>
                </c:pt>
                <c:pt idx="2">
                  <c:v>74</c:v>
                </c:pt>
                <c:pt idx="3">
                  <c:v>85</c:v>
                </c:pt>
                <c:pt idx="4">
                  <c:v>84</c:v>
                </c:pt>
                <c:pt idx="5">
                  <c:v>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932.8000000000001</c:v>
                </c:pt>
                <c:pt idx="1">
                  <c:v>870.2</c:v>
                </c:pt>
                <c:pt idx="2">
                  <c:v>955.5</c:v>
                </c:pt>
                <c:pt idx="3">
                  <c:v>1507.8000000000002</c:v>
                </c:pt>
                <c:pt idx="4">
                  <c:v>1203.7</c:v>
                </c:pt>
                <c:pt idx="5">
                  <c:v>1241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681.2</c:v>
                </c:pt>
                <c:pt idx="1">
                  <c:v>904.5</c:v>
                </c:pt>
                <c:pt idx="2">
                  <c:v>999.5</c:v>
                </c:pt>
                <c:pt idx="3">
                  <c:v>1148.5</c:v>
                </c:pt>
                <c:pt idx="4">
                  <c:v>1166.4</c:v>
                </c:pt>
                <c:pt idx="5">
                  <c:v>1244.6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10.1</c:v>
                </c:pt>
                <c:pt idx="1">
                  <c:v>12.3</c:v>
                </c:pt>
                <c:pt idx="2">
                  <c:v>12.1</c:v>
                </c:pt>
                <c:pt idx="3">
                  <c:v>13.3</c:v>
                </c:pt>
                <c:pt idx="4">
                  <c:v>12.6</c:v>
                </c:pt>
                <c:pt idx="5">
                  <c:v>12.1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8.5</c:v>
                </c:pt>
                <c:pt idx="1">
                  <c:v>8.5</c:v>
                </c:pt>
                <c:pt idx="2">
                  <c:v>8.5</c:v>
                </c:pt>
                <c:pt idx="3">
                  <c:v>8.5</c:v>
                </c:pt>
                <c:pt idx="4">
                  <c:v>8.5</c:v>
                </c:pt>
                <c:pt idx="5">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13.9</c:v>
                </c:pt>
                <c:pt idx="1">
                  <c:v>17</c:v>
                </c:pt>
                <c:pt idx="2">
                  <c:v>16.2</c:v>
                </c:pt>
                <c:pt idx="3">
                  <c:v>17.2</c:v>
                </c:pt>
                <c:pt idx="4">
                  <c:v>16.4</c:v>
                </c:pt>
                <c:pt idx="5">
                  <c:v>16.8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1.86</c:v>
                </c:pt>
                <c:pt idx="1">
                  <c:v>1.53</c:v>
                </c:pt>
                <c:pt idx="2">
                  <c:v>1.25</c:v>
                </c:pt>
                <c:pt idx="3">
                  <c:v>1.02</c:v>
                </c:pt>
                <c:pt idx="4">
                  <c:v>1.49</c:v>
                </c:pt>
                <c:pt idx="5">
                  <c:v>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1013.4</c:v>
                </c:pt>
                <c:pt idx="1">
                  <c:v>355</c:v>
                </c:pt>
                <c:pt idx="2">
                  <c:v>475</c:v>
                </c:pt>
                <c:pt idx="3">
                  <c:v>700</c:v>
                </c:pt>
                <c:pt idx="4">
                  <c:v>600</c:v>
                </c:pt>
                <c:pt idx="5">
                  <c:v>600</c:v>
                </c:pt>
                <c:pt idx="6">
                  <c:v>2300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1">
                  <c:v>296.2</c:v>
                </c:pt>
                <c:pt idx="2">
                  <c:v>235.6</c:v>
                </c:pt>
                <c:pt idx="3">
                  <c:v>92.6</c:v>
                </c:pt>
                <c:pt idx="4">
                  <c:v>1510.4</c:v>
                </c:pt>
                <c:pt idx="5">
                  <c:v>1314.4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357.4</c:v>
                </c:pt>
                <c:pt idx="1">
                  <c:v>377.9</c:v>
                </c:pt>
                <c:pt idx="2">
                  <c:v>439.3</c:v>
                </c:pt>
                <c:pt idx="3">
                  <c:v>504</c:v>
                </c:pt>
                <c:pt idx="4">
                  <c:v>547</c:v>
                </c:pt>
                <c:pt idx="5">
                  <c:v>575.7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32.4</c:v>
                </c:pt>
                <c:pt idx="1">
                  <c:v>91.7</c:v>
                </c:pt>
                <c:pt idx="2">
                  <c:v>44.6</c:v>
                </c:pt>
                <c:pt idx="3">
                  <c:v>439.4</c:v>
                </c:pt>
                <c:pt idx="4">
                  <c:v>46.3</c:v>
                </c:pt>
                <c:pt idx="5">
                  <c:v>111.2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3</c:v>
                </c:pt>
                <c:pt idx="1">
                  <c:v>1</c:v>
                </c:pt>
                <c:pt idx="2">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Massachusetts Financial Services (MFS)</c:v>
                </c:pt>
                <c:pt idx="1">
                  <c:v>FIL Limited (Fidelity)</c:v>
                </c:pt>
                <c:pt idx="2">
                  <c:v>Autocartera</c:v>
                </c:pt>
              </c:strCache>
            </c:strRef>
          </c:cat>
          <c:val>
            <c:numRef>
              <c:f>Hoja1!$B$2:$B$4</c:f>
              <c:numCache>
                <c:formatCode>0.0"%"</c:formatCode>
                <c:ptCount val="3"/>
                <c:pt idx="0">
                  <c:v>4.99</c:v>
                </c:pt>
                <c:pt idx="1">
                  <c:v>4.99</c:v>
                </c:pt>
                <c:pt idx="2">
                  <c:v>0.23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2.5</c:v>
                </c:pt>
                <c:pt idx="1">
                  <c:v>19</c:v>
                </c:pt>
                <c:pt idx="2">
                  <c:v>-23.2</c:v>
                </c:pt>
                <c:pt idx="3">
                  <c:v>47.3</c:v>
                </c:pt>
                <c:pt idx="4">
                  <c:v>0.5</c:v>
                </c:pt>
                <c:pt idx="5">
                  <c:v>41</c:v>
                </c:pt>
                <c:pt idx="6">
                  <c:v>-27.3</c:v>
                </c:pt>
                <c:pt idx="7">
                  <c:v>25.8</c:v>
                </c:pt>
                <c:pt idx="8">
                  <c:v>-0.1</c:v>
                </c:pt>
                <c:pt idx="9">
                  <c:v>35.3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15.9</c:v>
                </c:pt>
                <c:pt idx="1">
                  <c:v>18.3</c:v>
                </c:pt>
                <c:pt idx="2">
                  <c:v>12</c:v>
                </c:pt>
                <c:pt idx="3">
                  <c:v>13.8</c:v>
                </c:pt>
                <c:pt idx="4">
                  <c:v>13.8</c:v>
                </c:pt>
                <c:pt idx="5">
                  <c:v>17.1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14.9</c:v>
                </c:pt>
                <c:pt idx="1">
                  <c:v>14.9</c:v>
                </c:pt>
                <c:pt idx="2">
                  <c:v>14.9</c:v>
                </c:pt>
                <c:pt idx="3">
                  <c:v>14.9</c:v>
                </c:pt>
                <c:pt idx="4">
                  <c:v>14.9</c:v>
                </c:pt>
                <c:pt idx="5">
                  <c:v>14.9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Legrand</c:v>
                </c:pt>
                <c:pt idx="1">
                  <c:v>Schneider Electric</c:v>
                </c:pt>
                <c:pt idx="2">
                  <c:v>ABB</c:v>
                </c:pt>
                <c:pt idx="3">
                  <c:v>Eaton</c:v>
                </c:pt>
                <c:pt idx="4">
                  <c:v>nVent Electric</c:v>
                </c:pt>
                <c:pt idx="5">
                  <c:v>Hubbell</c:v>
                </c:pt>
                <c:pt idx="6">
                  <c:v>Vertiv</c:v>
                </c:pt>
                <c:pt idx="7">
                  <c:v>Trane Technologies</c:v>
                </c:pt>
                <c:pt idx="8">
                  <c:v>Johnson Controls</c:v>
                </c:pt>
              </c:strCache>
            </c:strRef>
          </c:cat>
          <c:val>
            <c:numRef>
              <c:f>Hoja1!$B$2:$B$10</c:f>
              <c:numCache>
                <c:formatCode>0.0"x"</c:formatCode>
                <c:ptCount val="9"/>
                <c:pt idx="0">
                  <c:v>14.4</c:v>
                </c:pt>
                <c:pt idx="1">
                  <c:v>15.1</c:v>
                </c:pt>
                <c:pt idx="2">
                  <c:v>19.5</c:v>
                </c:pt>
                <c:pt idx="3">
                  <c:v>21.4</c:v>
                </c:pt>
                <c:pt idx="4">
                  <c:v>18.9</c:v>
                </c:pt>
                <c:pt idx="5">
                  <c:v>15.9</c:v>
                </c:pt>
                <c:pt idx="6">
                  <c:v>19.7</c:v>
                </c:pt>
                <c:pt idx="7">
                  <c:v>20.3</c:v>
                </c:pt>
                <c:pt idx="8">
                  <c:v>18.6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Legrand</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14.8</c:v>
                </c:pt>
              </c:numCache>
            </c:numRef>
          </c:xVal>
          <c:yVal>
            <c:numRef>
              <c:f>Hoja1!$C$2</c:f>
              <c:numCache>
                <c:formatCode>0.0"x"</c:formatCode>
                <c:ptCount val="1"/>
                <c:pt idx="0">
                  <c:v>14.4</c:v>
                </c:pt>
              </c:numCache>
            </c:numRef>
          </c:yVal>
          <c:smooth val="0"/>
        </c:ser>
        <c:ser>
          <c:idx val="1"/>
          <c:order val="1"/>
          <c:tx>
            <c:strRef>
              <c:f>Hoja1!$A$3</c:f>
              <c:strCache>
                <c:ptCount val="1"/>
                <c:pt idx="0">
                  <c:v>Schneider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14</c:v>
                </c:pt>
              </c:numCache>
            </c:numRef>
          </c:xVal>
          <c:yVal>
            <c:numRef>
              <c:f>Hoja1!$C$3</c:f>
              <c:numCache>
                <c:formatCode>0.0"x"</c:formatCode>
                <c:ptCount val="1"/>
                <c:pt idx="0">
                  <c:v>15.1</c:v>
                </c:pt>
              </c:numCache>
            </c:numRef>
          </c:yVal>
          <c:smooth val="0"/>
        </c:ser>
        <c:ser>
          <c:idx val="2"/>
          <c:order val="2"/>
          <c:tx>
            <c:strRef>
              <c:f>Hoja1!$A$4</c:f>
              <c:strCache>
                <c:ptCount val="1"/>
                <c:pt idx="0">
                  <c:v>ABB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16</c:v>
                </c:pt>
              </c:numCache>
            </c:numRef>
          </c:xVal>
          <c:yVal>
            <c:numRef>
              <c:f>Hoja1!$C$4</c:f>
              <c:numCache>
                <c:formatCode>0.0"x"</c:formatCode>
                <c:ptCount val="1"/>
                <c:pt idx="0">
                  <c:v>19.5</c:v>
                </c:pt>
              </c:numCache>
            </c:numRef>
          </c:yVal>
          <c:smooth val="0"/>
        </c:ser>
        <c:ser>
          <c:idx val="3"/>
          <c:order val="3"/>
          <c:tx>
            <c:strRef>
              <c:f>Hoja1!$A$5</c:f>
              <c:strCache>
                <c:ptCount val="1"/>
                <c:pt idx="0">
                  <c:v>Eaton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19.9</c:v>
                </c:pt>
              </c:numCache>
            </c:numRef>
          </c:xVal>
          <c:yVal>
            <c:numRef>
              <c:f>Hoja1!$C$5</c:f>
              <c:numCache>
                <c:formatCode>0.0"x"</c:formatCode>
                <c:ptCount val="1"/>
                <c:pt idx="0">
                  <c:v>21.4</c:v>
                </c:pt>
              </c:numCache>
            </c:numRef>
          </c:yVal>
          <c:smooth val="0"/>
        </c:ser>
        <c:ser>
          <c:idx val="4"/>
          <c:order val="4"/>
          <c:tx>
            <c:strRef>
              <c:f>Hoja1!$A$6</c:f>
              <c:strCache>
                <c:ptCount val="1"/>
                <c:pt idx="0">
                  <c:v>nVent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33.6</c:v>
                </c:pt>
              </c:numCache>
            </c:numRef>
          </c:xVal>
          <c:yVal>
            <c:numRef>
              <c:f>Hoja1!$C$6</c:f>
              <c:numCache>
                <c:formatCode>0.0"x"</c:formatCode>
                <c:ptCount val="1"/>
                <c:pt idx="0">
                  <c:v>18.9</c:v>
                </c:pt>
              </c:numCache>
            </c:numRef>
          </c:yVal>
          <c:smooth val="0"/>
        </c:ser>
        <c:ser>
          <c:idx val="5"/>
          <c:order val="5"/>
          <c:tx>
            <c:strRef>
              <c:f>Hoja1!$A$7</c:f>
              <c:strCache>
                <c:ptCount val="1"/>
                <c:pt idx="0">
                  <c:v>Hubbell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16.4</c:v>
                </c:pt>
              </c:numCache>
            </c:numRef>
          </c:xVal>
          <c:yVal>
            <c:numRef>
              <c:f>Hoja1!$C$7</c:f>
              <c:numCache>
                <c:formatCode>0.0"x"</c:formatCode>
                <c:ptCount val="1"/>
                <c:pt idx="0">
                  <c:v>15.9</c:v>
                </c:pt>
              </c:numCache>
            </c:numRef>
          </c:yVal>
          <c:smooth val="0"/>
        </c:ser>
        <c:ser>
          <c:idx val="6"/>
          <c:order val="6"/>
          <c:tx>
            <c:strRef>
              <c:f>Hoja1!$A$8</c:f>
              <c:strCache>
                <c:ptCount val="1"/>
                <c:pt idx="0">
                  <c:v>Vertiv</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18.5</c:v>
                </c:pt>
              </c:numCache>
            </c:numRef>
          </c:xVal>
          <c:yVal>
            <c:numRef>
              <c:f>Hoja1!$C$8</c:f>
              <c:numCache>
                <c:formatCode>0.0"x"</c:formatCode>
                <c:ptCount val="1"/>
                <c:pt idx="0">
                  <c:v>19.7</c:v>
                </c:pt>
              </c:numCache>
            </c:numRef>
          </c:yVal>
          <c:smooth val="0"/>
        </c:ser>
        <c:ser>
          <c:idx val="7"/>
          <c:order val="7"/>
          <c:tx>
            <c:strRef>
              <c:f>Hoja1!$A$9</c:f>
              <c:strCache>
                <c:ptCount val="1"/>
                <c:pt idx="0">
                  <c:v>Trane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12.9</c:v>
                </c:pt>
              </c:numCache>
            </c:numRef>
          </c:xVal>
          <c:yVal>
            <c:numRef>
              <c:f>Hoja1!$C$9</c:f>
              <c:numCache>
                <c:formatCode>0.0"x"</c:formatCode>
                <c:ptCount val="1"/>
                <c:pt idx="0">
                  <c:v>20.3</c:v>
                </c:pt>
              </c:numCache>
            </c:numRef>
          </c:yVal>
          <c:smooth val="0"/>
        </c:ser>
        <c:ser>
          <c:idx val="8"/>
          <c:order val="8"/>
          <c:tx>
            <c:strRef>
              <c:f>Hoja1!$A$10</c:f>
              <c:strCache>
                <c:ptCount val="1"/>
                <c:pt idx="0">
                  <c:v>Johnson Controls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10.2</c:v>
                </c:pt>
              </c:numCache>
            </c:numRef>
          </c:xVal>
          <c:yVal>
            <c:numRef>
              <c:f>Hoja1!$C$10</c:f>
              <c:numCache>
                <c:formatCode>0.0"x"</c:formatCode>
                <c:ptCount val="1"/>
                <c:pt idx="0">
                  <c:v>18.6</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Boyd Thermal (refrigeración líquida, EE. UU.)</c:v>
                </c:pt>
                <c:pt idx="1">
                  <c:v>Fibrebond (salas eléctricas modulares, EE. UU.)</c:v>
                </c:pt>
                <c:pt idx="2">
                  <c:v>Electrical Products Group de Avail (EE. UU.)</c:v>
                </c:pt>
                <c:pt idx="3">
                  <c:v>Trachte (salas de control, EE. UU.)</c:v>
                </c:pt>
                <c:pt idx="4">
                  <c:v>PurgeRite (servicios de refrigeración líquida)</c:v>
                </c:pt>
                <c:pt idx="5">
                  <c:v>UtilityInnovation Group</c:v>
                </c:pt>
                <c:pt idx="6">
                  <c:v>Rotork (actuadores, Reino Unido)</c:v>
                </c:pt>
              </c:strCache>
            </c:strRef>
          </c:cat>
          <c:val>
            <c:numRef>
              <c:f>Hoja1!$B$2:$B$8</c:f>
              <c:numCache>
                <c:formatCode>0.0"x"</c:formatCode>
                <c:ptCount val="7"/>
                <c:pt idx="0">
                  <c:v>22.5</c:v>
                </c:pt>
                <c:pt idx="1">
                  <c:v>12.7</c:v>
                </c:pt>
                <c:pt idx="2">
                  <c:v>12.5</c:v>
                </c:pt>
                <c:pt idx="3">
                  <c:v>12</c:v>
                </c:pt>
                <c:pt idx="4">
                  <c:v>10</c:v>
                </c:pt>
                <c:pt idx="5">
                  <c:v>13</c:v>
                </c:pt>
                <c:pt idx="6">
                  <c:v>20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1333</c:v>
                </c:pt>
                <c:pt idx="1">
                  <c:v>1616</c:v>
                </c:pt>
                <c:pt idx="2">
                  <c:v>1793</c:v>
                </c:pt>
                <c:pt idx="3">
                  <c:v>1927</c:v>
                </c:pt>
                <c:pt idx="4">
                  <c:v>2060</c:v>
                </c:pt>
                <c:pt idx="5">
                  <c:v>2182</c:v>
                </c:pt>
                <c:pt idx="6">
                  <c:v>2299</c:v>
                </c:pt>
                <c:pt idx="7">
                  <c:v>2412</c:v>
                </c:pt>
                <c:pt idx="8">
                  <c:v>2500</c:v>
                </c:pt>
                <c:pt idx="9">
                  <c:v>2603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13368</c:v>
                </c:pt>
                <c:pt idx="1">
                  <c:v>21076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133,70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65.25</c:v>
                </c:pt>
                <c:pt idx="1">
                  <c:v>108.41</c:v>
                </c:pt>
                <c:pt idx="2">
                  <c:v>139.33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133,70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(121,95 – 166,95)</c:v>
                </c:pt>
                <c:pt idx="1">
                  <c:v>Precio objetivo de los analistas (120,00 – 200,00)</c:v>
                </c:pt>
                <c:pt idx="2">
                  <c:v>Comparables: EV/EBITDA NTM (171,38 – 192,19)</c:v>
                </c:pt>
                <c:pt idx="3">
                  <c:v>Comparables: PER NTM (158,46 – 177,43)</c:v>
                </c:pt>
                <c:pt idx="4">
                  <c:v>Transacciones precedentes (EV/EBITDA) (86,97 – 124,89)</c:v>
                </c:pt>
                <c:pt idx="5">
                  <c:v>DCF (WACC y g ± 0,5) (92,75 – 130,20)</c:v>
                </c:pt>
                <c:pt idx="6">
                  <c:v>Escenarios (bajista – alcista) (65,25 – 139,33)</c:v>
                </c:pt>
                <c:pt idx="7">
                  <c:v>DCF con la prima implícita del mercado (4,2 %)</c:v>
                </c:pt>
                <c:pt idx="8">
                  <c:v>Precio actual (133,70)</c:v>
                </c:pt>
              </c:strCache>
            </c:strRef>
          </c:cat>
          <c:val>
            <c:numRef>
              <c:f>Hoja1!$B$2:$B$10</c:f>
              <c:numCache>
                <c:formatCode>#,##0</c:formatCode>
                <c:ptCount val="9"/>
                <c:pt idx="0">
                  <c:v>121.95</c:v>
                </c:pt>
                <c:pt idx="1">
                  <c:v>120</c:v>
                </c:pt>
                <c:pt idx="2">
                  <c:v>171.38</c:v>
                </c:pt>
                <c:pt idx="3">
                  <c:v>158.46</c:v>
                </c:pt>
                <c:pt idx="4">
                  <c:v>86.97</c:v>
                </c:pt>
                <c:pt idx="5">
                  <c:v>92.75</c:v>
                </c:pt>
                <c:pt idx="6">
                  <c:v>65.25</c:v>
                </c:pt>
                <c:pt idx="7">
                  <c:v>126.93</c:v>
                </c:pt>
                <c:pt idx="8">
                  <c:v>133.03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(121,95 – 166,95)</c:v>
                </c:pt>
                <c:pt idx="1">
                  <c:v>Precio objetivo de los analistas (120,00 – 200,00)</c:v>
                </c:pt>
                <c:pt idx="2">
                  <c:v>Comparables: EV/EBITDA NTM (171,38 – 192,19)</c:v>
                </c:pt>
                <c:pt idx="3">
                  <c:v>Comparables: PER NTM (158,46 – 177,43)</c:v>
                </c:pt>
                <c:pt idx="4">
                  <c:v>Transacciones precedentes (EV/EBITDA) (86,97 – 124,89)</c:v>
                </c:pt>
                <c:pt idx="5">
                  <c:v>DCF (WACC y g ± 0,5) (92,75 – 130,20)</c:v>
                </c:pt>
                <c:pt idx="6">
                  <c:v>Escenarios (bajista – alcista) (65,25 – 139,33)</c:v>
                </c:pt>
                <c:pt idx="7">
                  <c:v>DCF con la prima implícita del mercado (4,2 %)</c:v>
                </c:pt>
                <c:pt idx="8">
                  <c:v>Precio actual (133,70)</c:v>
                </c:pt>
              </c:strCache>
            </c:strRef>
          </c:cat>
          <c:val>
            <c:numRef>
              <c:f>Hoja1!$C$2:$C$10</c:f>
              <c:numCache>
                <c:formatCode>#,##0</c:formatCode>
                <c:ptCount val="9"/>
                <c:pt idx="0">
                  <c:v>44.999999999999986</c:v>
                </c:pt>
                <c:pt idx="1">
                  <c:v>80</c:v>
                </c:pt>
                <c:pt idx="2">
                  <c:v>20.810000000000002</c:v>
                </c:pt>
                <c:pt idx="3">
                  <c:v>18.97</c:v>
                </c:pt>
                <c:pt idx="4">
                  <c:v>37.92</c:v>
                </c:pt>
                <c:pt idx="5">
                  <c:v>37.44999999999999</c:v>
                </c:pt>
                <c:pt idx="6">
                  <c:v>74.08000000000001</c:v>
                </c:pt>
                <c:pt idx="7">
                  <c:v>35.81999999999999</c:v>
                </c:pt>
                <c:pt idx="8">
                  <c:v>1.3400000000000034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