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Lennox International Inc.</w:t>
      </w:r>
    </w:p>
    <w:p>
      <w:pPr>
        <w:spacing w:after="60"/>
        <w:rPr>
          <w:color w:val="52514E"/>
          <w:sz w:val="22"/>
          <w:szCs w:val="22"/>
        </w:rPr>
      </w:pPr>
      <w:r>
        <w:rPr>
          <w:color w:val="52514E"/>
          <w:sz w:val="22"/>
          <w:szCs w:val="22"/>
        </w:rPr>
        <w:t xml:space="preserve">LII · Bolsa de Nueva York (NYSE) · ISIN US5261071071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348,84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426,61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+23,8 %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367,90 USD · mercado 431,67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12.105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Lennox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LII / US5261071071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 y refrigeración)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Richardson (Texas) · 1895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https://www.lennox.com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348,84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340,32 – 587,27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13.855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214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426,61 USD</w:t>
      </w:r>
      <w:r>
        <w:t xml:space="preserve"> frente a 348,84 · Rentabilidad a 12 meses </w:t>
      </w:r>
      <w:r>
        <w:rPr>
          <w:b/>
          <w:bCs/>
        </w:rPr>
        <w:t xml:space="preserve">+23,8 % (base +19,9 %)</w:t>
      </w:r>
      <w:r>
        <w:t xml:space="preserve"> · Valor intrínseco 367,90 USD · con la prima implícita del mercado: 431,67 (+23,7 %) · Alcista / bajista +10,5 % / -34,6 %</w:t>
      </w:r>
    </w:p>
    <w:p>
      <w:pPr>
        <w:spacing w:after="100"/>
      </w:pPr>
      <w:r>
        <w:rPr>
          <w:b/>
        </w:rPr>
        <w:t xml:space="preserve">La recomendación y por qué.</w:t>
      </w:r>
      <w:r>
        <w:t xml:space="preserve"> Comprar con convicción baja, por la regla a 12 meses: objetivo de 426,61 USD (+23,8 % ponderado con el dividendo; +19,9 % en el base) frente a un precio de 348,84 USD, con un valor intrínseco de 367,90 (+5,5 %) y el objetivo medio de 14 analistas en 453,21. La asimetría a 12 meses es de 3,61. La razón: Lennox cotiza a 13,7 veces su beneficio de 2027, el mínimo de diez años, con un ROIC del 40 %; basta que el múltiplo recupere una parte para ganar. La convicción es baja porque las reglas discrepan (la absoluta, con el bono al 5,21 %, da Mantener), porque la regla v2 da solo un 12,2 % y porque con un BPA un 10 % menor la compra no aguanta. </w:t>
      </w:r>
      <w:r>
        <w:rPr>
          <w:b/>
        </w:rPr>
        <w:t xml:space="preserve">La acción robusta es Mantener</w:t>
      </w:r>
      <w:r>
        <w:t xml:space="preserve">: se compraría por debajo de 336,68 USD; la subiría un residencial con volumen positivo en el 4T26.</w:t>
      </w:r>
    </w:p>
    <w:p>
      <w:pPr>
        <w:spacing w:after="100"/>
      </w:pPr>
      <w:r>
        <w:rPr>
          <w:b/>
        </w:rPr>
        <w:t xml:space="preserve">El negocio.</w:t>
      </w:r>
      <w:r>
        <w:t xml:space="preserve"> Fabricante y distribuidor de climatización de Norteamérica con el mejor margen del sector (EBIT del 20 % frente al 8 % de Carrier) y un ROIC del 40,0 % frente a un WACC del 10,10 %, gracias a la venta directa al instalador y al poder de precios (356 M USD de precio y mezcla en 2025) [6, 23]. La sostenibilidad del crecimiento es «Sí»: proyectamos un 4,6 % anual, como su historia (4,0 %) y por debajo del mercado (6,4 %), sin ganar cuota y con una reinversión que el ROIC financia de sobra.</w:t>
      </w:r>
    </w:p>
    <w:p>
      <w:pPr>
        <w:spacing w:after="100"/>
      </w:pPr>
      <w:r>
        <w:rPr>
          <w:b/>
        </w:rPr>
        <w:t xml:space="preserve">Por qué ha caído un 38 %.</w:t>
      </w:r>
      <w:r>
        <w:t xml:space="preserve"> El residencial (64 % de las ventas) no ha vuelto: tras adelantar compras en 2024 por el cambio de refrigerante, el canal redujo inventarios en 2025 y en 2026 el consumidor repara en vez de sustituir por la vivienda cara; Lennox abandonó además la obra nueva de margen bajo (≈−30 %) [8]. El 29-jul rebajó la guía de BPA a 23-24 USD y retrasó la recuperación a 2027: −21 % en un día. Después, el bono al 5,2 %, la ausencia de centros de datos (que sí tienen Trane o Vertiv) y las rebajas de Deutsche Bank y Goldman Sachs [20, 26]. No hay fraude ni hecho pendiente: es ciclo y cuota.</w:t>
      </w:r>
    </w:p>
    <w:p>
      <w:pPr>
        <w:spacing w:after="100"/>
      </w:pPr>
      <w:r>
        <w:rPr>
          <w:b/>
        </w:rPr>
        <w:t xml:space="preserve">Finanzas.</w:t>
      </w:r>
      <w:r>
        <w:t xml:space="preserve"> Flujo libre de 617 M USD en 2025 (77 % del beneficio, por el inventario) y guía de 750-850 M en 2026. Deuda neta ajustada de 1.750 M, 1,5 veces el EBITDA, con grado de inversión. El BPA del 2T26 lleva ≈30 M de reembolsos de aranceles.</w:t>
      </w:r>
    </w:p>
    <w:p>
      <w:pPr>
        <w:spacing w:after="100"/>
      </w:pPr>
      <w:r>
        <w:rPr>
          <w:b/>
        </w:rPr>
        <w:t xml:space="preserve">Equipo y gobierno.</w:t>
      </w:r>
      <w:r>
        <w:t xml:space="preserve"> Maskara (2022) ha transformado el grupo y cumplió su guía de 2022 a 2024, pero la ha rebajado en 2025 y 2026. Presidente independiente y familia Norris con el 9,3 %; ningún directivo ha comprado tras la caída.</w:t>
      </w:r>
    </w:p>
    <w:p>
      <w:pPr>
        <w:spacing w:after="100"/>
      </w:pPr>
      <w:r>
        <w:rPr>
          <w:b/>
        </w:rPr>
        <w:t xml:space="preserve">Valoración.</w:t>
      </w:r>
      <w:r>
        <w:t xml:space="preserve"> El DCF da 338,34 USD con un WACC del 10,10 %; el precio descuenta un crecimiento del 4,7 % anual, cerca del 4,1 % de nuestro base. Con la prima implícita del mercado vale 415,50. Los comparables cotizan a 22,6 veces; Lennox, a 13,7.</w:t>
      </w:r>
    </w:p>
    <w:p>
      <w:pPr>
        <w:spacing w:after="100"/>
      </w:pPr>
      <w:r>
        <w:rPr>
          <w:b/>
        </w:rPr>
        <w:t xml:space="preserve">Riesgos y catalizadores.</w:t>
      </w:r>
      <w:r>
        <w:t xml:space="preserve"> Que el residencial no vuelva en 2027 (bajista del DCF −34,6 %) y una guerra de precios por la cuota. Resultados del 3T26 el 28-oct y guía de 2027 en enero. El sentimiento de los foros es de capitulación, con un 9,8 % del flotante en corto.</w:t>
      </w:r>
    </w:p>
    <w:p>
      <w:pPr>
        <w:spacing w:after="100"/>
      </w:pPr>
      <w:r>
        <w:rPr>
          <w:b/>
        </w:rPr>
        <w:t xml:space="preserve">Qué cambiaría la decisión.</w:t>
      </w:r>
      <w:r>
        <w:t xml:space="preserve"> Comprar por debajo de 367,90 USD con la regla vigente (336,68 con la robusta) y vender por encima de 479,86. Rebajaríamos a Mantener si el volumen residencial del 4T26 sigue cayendo más de un 5 % o si la guía de 2027 da un BPA por debajo de 24 USD.</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12-24 meses · Objetivo a 12 meses: </w:t>
      </w:r>
      <w:r>
        <w:rPr>
          <w:b/>
          <w:bCs/>
        </w:rPr>
        <w:t xml:space="preserve">426,61 USD</w:t>
      </w:r>
      <w:r>
        <w:t xml:space="preserve"> (rentabilidad +23,8 % (base +19,9 %)) · Valor intrínseco: 367,90 USD (+5,5 % sobre 348,84) · con la prima implícita del mercado: 431,67 (+23,7 %)</w:t>
      </w:r>
    </w:p>
    <w:p>
      <w:pPr>
        <w:spacing w:after="100"/>
      </w:pPr>
      <w:r>
        <w:t xml:space="preserve">Lennox es el fabricante de climatización más rentable de Norteamérica: margen EBIT del 20 % en 2025, ROIC del 40 % y flujo libre de 600-800 M USD al año, que devuelve con recompras (las acciones han bajado de 44,0 a 34,7 M desde 2016) y un dividendo que sube desde hace 27 años [4, 6]. Vive de reponer equipos que duran 15-20 años y que la regulación obliga a hacer más eficientes y caros.</w:t>
      </w:r>
    </w:p>
    <w:p>
      <w:pPr>
        <w:spacing w:after="100"/>
      </w:pPr>
      <w:r>
        <w:t xml:space="preserve">El precio (348,84 USD) descuenta un crecimiento del 4,7 % anual con el margen de hoy, y un PER de 13,7 veces el beneficio de 2027, el más bajo en diez años: el mercado da por hecho que el residencial seguirá débil y que Lennox ha perdido cuota en obra nueva, y no le reconoce la exposición a centros de datos que paga en Trane o Vertiv a 24-26 veces [20, 23].</w:t>
      </w:r>
    </w:p>
    <w:p>
      <w:pPr>
        <w:spacing w:after="100"/>
      </w:pPr>
      <w:r>
        <w:t xml:space="preserve">Para invertir hay que creer que el volumen residencial vuelve a crecer en 2027, aunque sea poco, porque los equipos aplazados tienen que sustituirse, y que el precio sigue ganando a la inflación. Si es así, el PER vuelve a 15 veces y el beneficio crece un 7 % al año. El riesgo es que la pérdida de cuota sea estructural.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23,04 = 278,78 · 15,1x × 27,35 = 412,99 · 20,3x × 29,64 = 601,69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453,21 (nuestro base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367,90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 -34,6 %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431,67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367,90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367,90 y 479,86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479,86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unidades de Home Comfort Solutions del 4T26 caen más de un 5 % interanual, pasaríamos a Mantener.</w:t>
      </w:r>
    </w:p>
    <w:p>
      <w:pPr>
        <w:pStyle w:val="ListParagraph"/>
        <w:numPr>
          <w:ilvl w:val="0"/>
          <w:numId w:val="2"/>
        </w:numPr>
        <w:spacing w:after="60"/>
      </w:pPr>
      <w:r>
        <w:t xml:space="preserve">Si la guía de BPA de 2027 (enero) queda por debajo de 24 USD, rehaceríamos el informe con un BPA menor.</w:t>
      </w:r>
    </w:p>
    <w:p>
      <w:pPr>
        <w:pStyle w:val="ListParagraph"/>
        <w:numPr>
          <w:ilvl w:val="0"/>
          <w:numId w:val="2"/>
        </w:numPr>
        <w:spacing w:after="60"/>
      </w:pPr>
      <w:r>
        <w:t xml:space="preserve">Si el precio y la mezcla del residencial bajan del +2 % trimestral (señal de guerra de precios), pasaríamos a Mantener.</w:t>
      </w:r>
    </w:p>
    <w:p>
      <w:pPr>
        <w:pStyle w:val="ListParagraph"/>
        <w:numPr>
          <w:ilvl w:val="0"/>
          <w:numId w:val="2"/>
        </w:numPr>
        <w:spacing w:after="60"/>
      </w:pPr>
      <w:r>
        <w:t xml:space="preserve">Si el precio baja de 336,68 USD sin hechos nuevos, la compra pasaría a ser robusta (v3 y v2).</w:t>
      </w:r>
    </w:p>
    <w:p>
      <w:pPr>
        <w:pStyle w:val="ListParagraph"/>
        <w:numPr>
          <w:ilvl w:val="0"/>
          <w:numId w:val="2"/>
        </w:numPr>
        <w:spacing w:after="60"/>
      </w:pPr>
      <w:r>
        <w:t xml:space="preserve">Si el bono a 10 años baja del 4,5 %, el DCF absoluto pasaría a dar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residencial de Lennox está en un deterioro largo (cuota perdida en obra nueva, consumidor que repara, competencia en precio) y que el sector solo merece múltiplo con centros de datos: 13,7 veces el beneficio de 2027 y recortes de objetivo en cadena.</w:t>
      </w:r>
    </w:p>
    <w:p>
      <w:pPr>
        <w:keepNext/>
        <w:spacing w:after="100"/>
      </w:pPr>
      <w:r>
        <w:rPr>
          <w:b/>
          <w:bCs/>
        </w:rPr>
        <w:t xml:space="preserve">Lo que creemos nosotros.</w:t>
      </w:r>
    </w:p>
    <w:p>
      <w:pPr>
        <w:spacing w:after="100"/>
      </w:pPr>
      <w:r>
        <w:t xml:space="preserve">Que es un bache cíclico con un componente de cuota acotado: la reposición se aplaza pero no se pierde, el comercial gana cuota y el margen y el ROIC siguen cerca de máximos. Nuestro BPA de 2027e (25,52) es incluso algo inferior al del consenso: no discrepamos del beneficio, sino del múltiplo.</w:t>
      </w:r>
    </w:p>
    <w:p>
      <w:pPr>
        <w:keepNext/>
        <w:spacing w:after="100"/>
      </w:pPr>
      <w:r>
        <w:rPr>
          <w:b/>
          <w:bCs/>
        </w:rPr>
        <w:t xml:space="preserve">Por qué podemos tener razón.</w:t>
      </w:r>
    </w:p>
    <w:p>
      <w:pPr>
        <w:spacing w:after="100"/>
      </w:pPr>
      <w:r>
        <w:t xml:space="preserve">Porque el múltiplo actual solo se vio en 2022, con tipos subiendo y antes de un 2023-2024 de BPA +60 %; porque los equipos A2L elevan el precio medio de forma permanente; y porque el mercado tiende a extrapolar el último trimestre en negocios cíclicos.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4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PER en mínimos de diez años</w:t>
      </w:r>
      <w:r>
        <w:t xml:space="preserve">: 13,7 veces el BPA de 2027e frente a una mediana de 20,8.</w:t>
      </w:r>
    </w:p>
    <w:p>
      <w:pPr>
        <w:pStyle w:val="ListParagraph"/>
        <w:numPr>
          <w:ilvl w:val="0"/>
          <w:numId w:val="2"/>
        </w:numPr>
        <w:spacing w:after="60"/>
      </w:pPr>
      <w:r>
        <w:rPr>
          <w:b/>
        </w:rPr>
        <w:t xml:space="preserve">El más rentable del sector</w:t>
      </w:r>
      <w:r>
        <w:t xml:space="preserve">: ROIC del 40 % y margen EBIT del 20 % frente al 8 % de Carrier.</w:t>
      </w:r>
    </w:p>
    <w:p>
      <w:pPr>
        <w:pStyle w:val="ListParagraph"/>
        <w:numPr>
          <w:ilvl w:val="0"/>
          <w:numId w:val="2"/>
        </w:numPr>
        <w:spacing w:after="60"/>
      </w:pPr>
      <w:r>
        <w:rPr>
          <w:b/>
        </w:rPr>
        <w:t xml:space="preserve">Poder de precios demostrado</w:t>
      </w:r>
      <w:r>
        <w:t xml:space="preserve">: 356 M USD de precio y mezcla en 2025 contra 255 M de pérdida por volumen.</w:t>
      </w:r>
    </w:p>
    <w:p>
      <w:pPr>
        <w:pStyle w:val="ListParagraph"/>
        <w:numPr>
          <w:ilvl w:val="0"/>
          <w:numId w:val="2"/>
        </w:numPr>
        <w:spacing w:after="60"/>
      </w:pPr>
      <w:r>
        <w:rPr>
          <w:b/>
        </w:rPr>
        <w:t xml:space="preserve">Caja abundante</w:t>
      </w:r>
      <w:r>
        <w:t xml:space="preserve">: guía de flujo libre de 750-850 M USD en 2026 (6-7 % de la capitalización).</w:t>
      </w:r>
    </w:p>
    <w:p>
      <w:pPr>
        <w:pStyle w:val="ListParagraph"/>
        <w:numPr>
          <w:ilvl w:val="0"/>
          <w:numId w:val="2"/>
        </w:numPr>
        <w:spacing w:after="60"/>
      </w:pPr>
      <w:r>
        <w:rPr>
          <w:b/>
        </w:rPr>
        <w:t xml:space="preserve">Comercial en expansión</w:t>
      </w:r>
      <w:r>
        <w:t xml:space="preserve">: Building Climate Solutions +24 % en el 2T26 y margen del 25,5 %.</w:t>
      </w:r>
    </w:p>
    <w:p>
      <w:pPr>
        <w:pStyle w:val="Heading2"/>
      </w:pPr>
      <w:r>
        <w:t xml:space="preserve">En contra</w:t>
      </w:r>
    </w:p>
    <w:p>
      <w:pPr>
        <w:pStyle w:val="ListParagraph"/>
        <w:numPr>
          <w:ilvl w:val="0"/>
          <w:numId w:val="2"/>
        </w:numPr>
        <w:spacing w:after="60"/>
      </w:pPr>
      <w:r>
        <w:rPr>
          <w:b/>
        </w:rPr>
        <w:t xml:space="preserve">Residencial sin suelo claro</w:t>
      </w:r>
      <w:r>
        <w:t xml:space="preserve">: unidades −12 % en el 2T26 y recuperación retrasada a 2027.</w:t>
      </w:r>
    </w:p>
    <w:p>
      <w:pPr>
        <w:pStyle w:val="ListParagraph"/>
        <w:numPr>
          <w:ilvl w:val="0"/>
          <w:numId w:val="2"/>
        </w:numPr>
        <w:spacing w:after="60"/>
      </w:pPr>
      <w:r>
        <w:rPr>
          <w:b/>
        </w:rPr>
        <w:t xml:space="preserve">Pérdida de cuota en obra nueva</w:t>
      </w:r>
      <w:r>
        <w:t xml:space="preserve">: ≈−30 % en el 2T26, mayor de lo previsto.</w:t>
      </w:r>
    </w:p>
    <w:p>
      <w:pPr>
        <w:pStyle w:val="ListParagraph"/>
        <w:numPr>
          <w:ilvl w:val="0"/>
          <w:numId w:val="2"/>
        </w:numPr>
        <w:spacing w:after="60"/>
      </w:pPr>
      <w:r>
        <w:rPr>
          <w:b/>
        </w:rPr>
        <w:t xml:space="preserve">Dos rebajas de guía seguidas</w:t>
      </w:r>
      <w:r>
        <w:t xml:space="preserve"> (octubre de 2025 y julio de 2026) que restan credibilidad.</w:t>
      </w:r>
    </w:p>
    <w:p>
      <w:pPr>
        <w:pStyle w:val="ListParagraph"/>
        <w:numPr>
          <w:ilvl w:val="0"/>
          <w:numId w:val="2"/>
        </w:numPr>
        <w:spacing w:after="60"/>
      </w:pPr>
      <w:r>
        <w:rPr>
          <w:b/>
        </w:rPr>
        <w:t xml:space="preserve">Sin exposición a centros de datos</w:t>
      </w:r>
      <w:r>
        <w:t xml:space="preserve">, lo que el mercado paga en sus rivales a 21-26 veces.</w:t>
      </w:r>
    </w:p>
    <w:p>
      <w:pPr>
        <w:pStyle w:val="ListParagraph"/>
        <w:numPr>
          <w:ilvl w:val="0"/>
          <w:numId w:val="2"/>
        </w:numPr>
        <w:spacing w:after="60"/>
      </w:pPr>
      <w:r>
        <w:rPr>
          <w:b/>
        </w:rPr>
        <w:t xml:space="preserve">La regla v2 da solo un 12,2 %</w:t>
      </w:r>
      <w:r>
        <w:t xml:space="preserve"> y el DCF con el bono al 5,21 % queda un 3,0 % por debajo del precio.</w:t>
      </w:r>
    </w:p>
    <w:p>
      <w:pPr>
        <w:pStyle w:val="Heading2"/>
      </w:pPr>
      <w:r>
        <w:t xml:space="preserve">Qué tiene que pasar para que la tesis funcione</w:t>
      </w:r>
    </w:p>
    <w:p>
      <w:pPr>
        <w:spacing w:after="100"/>
      </w:pPr>
      <w:r>
        <w:t xml:space="preserve">La tesis depende de que el volumen residencial deje de caer: en el 2T26 las unidades de Home Comfort Solutions bajaron un 12 % y la dirección espera un segundo semestre con crecimiento de un dígito bajo. Si los resultados del 3T26 (28-oct) y del 4T26 muestran unidades todavía en negativo y la guía de 2027 no prevé volumen positivo, el bache es más largo y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Home Comfort Solutions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residencial toca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mezcla de HCS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Avisa de guerra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segmentos del grupo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19 %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ROIC y 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750-850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y caja para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Envíos de AHRI de aire acondicionado y bombas de calor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hasta oct-2025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Negativos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del mercado.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 13,8x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Lennox nació en 1895 en Marshalltown (Iowa), cuando Dave Lennox patentó una caldera de carbón de acero remachado; en 1904 la compró la familia Norris, que sigue siendo su mayor accionista individual con el 9,3 % [1, 16]. Salió a bolsa en 1999. Durante dos décadas fue un fabricante con presencia en Europa, Australia y refrigeración mundial; desde 2022, con Alok Maskara como consejero delegado, se ha concentrado en Norteamérica: vendió Europa en 2023, abrió una fábrica comercial en Saltillo (México), se reorganizó en dos segmentos en 2024 y compra negocios de recambios y equipos para distribuidores (AES, Duro Dyne, Supco, Heat Controller) [1, 3]. 2025 fue el año del cambio de refrigerante A2L, con reducción de inventarios en el canal, y 2026 el de la caída en bolsa tras recortar la guía.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Lennox funda la empresa en Marshalltown (Iowa) con una caldera de carbón de acero remachado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D.W. Norris compra la empresa; la familia Norris sigue siendo hoy el mayor accionista individual (9,3 %).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Nueva York (LII).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las operaciones europeas (4T) y compra de AES, servicio comercial; nueva fábrica de equipos comerciales en Saltillo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dos segmentos (Home Comfort Solutions y Building Climate Solutions) y empresas conjuntas con Samsung (equipos sin conductos) y Ariston (calentadores de agua)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refrigerante a A2L (R-454B), con escasez de bombonas y reducción de inventarios en el canal; compra de Duro Dyne y Supco por 545 M USD (octubre)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Heat Controller (Comfort-Aire, Century) por 205 M USD en julio; recorte de la guía de BPA a 23-24 USD y caída del 21 % en un día (29-jul) [3,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Lennox diseña, fabrica y vende equipos de calefacción, aire acondicionado y refrigeración en EE. UU. (93 % de las ventas) y Canadá (7 %) [1]. Home Comfort Solutions (3.343 M USD, 64 % en 2025) vende calderas de aire, aires acondicionados, bombas de calor y recambios para viviendas: la marca Lennox se vende directamente a ≈instaladores independientes y a través de 250 tiendas Lennox, y las marcas Allied, Armstrong, Ducane y ADP, a distribuidores [1]. Building Climate Solutions (1.852 M, 36 %) vende equipos de cubierta para comercio ligero (escuelas, restaurantes, naves), servicio e instalación a cuentas nacionales, recambios (Duro Dyne) y refrigeración comercial Heatcraft para supermercados, almacenes y procesos industriales [1]. Fabrica en Iowa, Carolina del Sur, Misisipi, Arkansas y Saltillo [1].</w:t>
      </w:r>
    </w:p>
    <w:p>
      <w:pPr>
        <w:pStyle w:val="Heading2"/>
      </w:pPr>
      <w:r>
        <w:t xml:space="preserve">Cómo gana dinero</w:t>
      </w:r>
    </w:p>
    <w:p>
      <w:pPr>
        <w:spacing w:after="100"/>
      </w:pPr>
      <w:r>
        <w:t xml:space="preserve">El negocio vive de la reposición: la mayor parte de los equipos residenciales se venden para sustituir uno averiado o viejo (vida útil de 15-20 años), y solo una parte menor va a obra nueva, de la que Lennox se ha retirado en 2026 por márgenes bajos [8]. El margen depende de la mezcla (los equipos de refrigerante A2L y de alta eficiencia son más caros: 356 M USD de precio y mezcla en 2025 frente a 255 M de pérdida por volumen) y de la absorción de costes fijos de las fábricas, muy sensible al volumen [6]. La venta directa al instalador (76 % del residencial) captura el margen del distribuidor y da datos de la base instalada [1]. Es estacional: el segundo y el tercer trimestre concentran el aire acondicionado [1]. Los recambios y el servicio comercial dan ingresos más recurrentes.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Comfort Solutions (residencial)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 Climate Solutions (comercial y refrigeración)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Europa (vendida en 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Home Comfort Solutions (residencial)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Building Climate Solutions (comercial y refrigeración)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Europa (vendida en 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miles de instaladores independientes, distribuidores mayoristas (Allied, ADP), cuentas nacionales de comercio y restauración y contratistas de refrigeración; ninguno pesa más del 10 % de las ventas en el 10-K [1]. El poder de precios es la fortaleza demostrada: en 2025 precio y mezcla sumaron 356 M USD de beneficio de segmentos frente a 80 M de inflación de producto y 61 M de logística, y en el 1S26 otros 102 M frente a la inflación y los aranceles [3, 5, 6]. La debilidad es el volumen: con tipos hipotecarios altos y confianza baja, el cliente final repara en vez de sustituir y el instalador ofrece financiación y promociones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Home Comfort Solutions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−12 % (obra nueva ≈−30 %), precio y mezcla +3 %, compras +2 %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Building Climate Solutions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+15 % según la nota de prensa (+12 % según la conferencia), compras +9 %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beneficio de segmentos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por encima del 20 %; LTM jun-26 algo menor por la absorción de costes en residencial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en residencial (% de HCS)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se vende a distribuidores independientes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alto por el cambio de refrigerante; guía 2026 de 750-850 M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de acciones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163 M en el 1S26; quedan 858 M del programa a 30-jun-2026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climatización de Norteamérica (residencial y comercial ligero), donde Lennox vende todo: equipos unitarios (aire acondicionado, bombas de calor, calderas de aire, equipos de cubierta), recambios y refrigeración comercial. Usamos la cifra de MarketsandMarkets para sistemas de climatización de Norteamérica, 42.200 M USD en 2025 con un crecimiento del 6,4 % anual hasta 2030 [9], frente a los 49.500 M de 2024 de Ken Research con un perímetro más amplio [10]. La métrica de volumen del sector son los envíos de AHRI en unidades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≈42.200 M USD en 2025 (sistemas de climatización de Norteamérica) [9]; Ken Research da 49.500 M en 2024 con un perímetro más amplio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 la base instalada (vida útil de 15-20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es la mayor parte del residencial; las reparaciones aplazadas en 2025-2026 son demanda diferida, no perdida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refrigerante (AIM Act: A2L desde 2025) y normas de eficiencia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más caros (precio y mezcla de 356 M en 2025) pero compras adelantadas en 2024 y reducción de inventarios en 2025 (envíos de AHRI −17,7 % hasta octubre de 2025) [6,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hipotecarios y construcción de viviendas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Obra nueva residencial de Lennox ≈−30 % en el 2T26; el cliente repara en vez de sustituir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(bombas de calor)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bombas de calor cayeron menos que el aire acondicionado en 2025 (−9,9 % frente a −23,4 % hasta octubre)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(232 sobre acero, cobre y aluminio; 301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costes del 5 % prevista en 2026; el Supremo anuló los aranceles IEEPA y Lennox ingresó 30 M de reembolsos en el 2T26 [4,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ligero y reposición de emergencia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17-18 meses de caída de los envíos comerciales, el mercado deja de caer; BCS +24 % en el 2T26 [3,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grandes (Carrier, Trane, Daikin-Goodman, Bosch-York, Rheem) y Lennox; competencia en precio en obra nueva, donde Lennox ha perdido cuota a propósito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Instaladores y distribuidores muy repartidos; la venta directa al instalador reduce la dependencia de los mayoristas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motores y controles concentrados (Lennox tiene una empresa conjunta de compresores); acero, cobre y aluminio con aranceles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fábricas, redes de distribución y normas de eficiencia; los asiáticos entran con equipos sin conductos (Lennox se alía con Samsung)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equipos sin conductos y las bombas de calor sustituyen a calderas y aire acondicionado clásicos, pero Lennox los vende [1].</w:t>
            </w:r>
          </w:p>
        </w:tc>
      </w:tr>
    </w:tbl>
    <w:p>
      <w:pPr>
        <w:spacing w:after="160" w:before="0"/>
      </w:pPr>
    </w:p>
    <w:p>
      <w:pPr>
        <w:pStyle w:val="Heading2"/>
      </w:pPr>
      <w:r>
        <w:t xml:space="preserve">Ciclo</w:t>
      </w:r>
    </w:p>
    <w:p>
      <w:pPr>
        <w:spacing w:after="100"/>
      </w:pPr>
      <w:r>
        <w:t xml:space="preserve">Los envíos residenciales de AHRI cayeron un 17,7 % hasta octubre de 2025 tras el adelanto de compras de 2024 [11]; en 2026 el residencial de Lennox cae en volumen (−21 % en el 4T25, −10 % en ventas en el 1T26, −12 % en unidades en el 2T26) y la recuperación se ha retrasado a 2027 [5, 6, 8]. El comercial ligero ya ha dejado de caer. En 2008-09 las ventas del sector cayeron un 10-20 % y en 2020 un 5 % [13]; en 2022-23 hubo desabastecimiento y después reducción de inventarios.</w:t>
      </w:r>
    </w:p>
    <w:p>
      <w:pPr>
        <w:pStyle w:val="Heading2"/>
      </w:pPr>
      <w:r>
        <w:t xml:space="preserve">Regulación</w:t>
      </w:r>
    </w:p>
    <w:p>
      <w:pPr>
        <w:spacing w:after="100"/>
      </w:pPr>
      <w:r>
        <w:t xml:space="preserve">La AIM Act (2020) obliga desde el 1-ene-2025 a fabricar equipos residenciales y comerciales ligeros con refrigerantes de bajo potencial de calentamiento (A2L, R-454B), lo que encareció los equipos y provocó escasez de bombonas a principios de 2025 [1]. Las normas mínimas de eficiencia del Departamento de Energía (SEER2) suben periódicamente. En comercio: aranceles de la sección 232 sobre acero, cobre y aluminio y de la 301 sobre equipos chinos siguen vigentes; los IEEPA los anuló el Supremo en febrero de 2026 [4]. El T-MEC se revisa en 2026: Lennox fabrica en Saltillo [1].</w:t>
      </w:r>
    </w:p>
    <w:p>
      <w:pPr>
        <w:pStyle w:val="Heading2"/>
      </w:pPr>
      <w:r>
        <w:t xml:space="preserve">Tendencias y disrupción</w:t>
      </w:r>
    </w:p>
    <w:p>
      <w:pPr>
        <w:spacing w:after="100"/>
      </w:pPr>
      <w:r>
        <w:t xml:space="preserve">Tres tendencias: (1) bombas de calor y equipos sin conductos, que Lennox cubre con su gama propia y con la empresa conjunta con Samsung [1]; (2) servicio y recambios, donde Lennox crece con compras (Duro Dyne, Supco) y tiendas propias [1]; (3) refrigeración de centros de datos, que favorece a Trane, Vertiv y AAON y apenas a Lennox (solo una parte de Heatcraft), por eso el mercado la ha castigado frente a sus rivales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grandes fabricantes de climatización residencial de Norteamérica y uno de los mayores mayoristas residenciales del país por su venta directa al instalador; ≈12 % del mercado de sistemas de climatización de Norteamérica (estimación propia: 5.195 M USD de ventas sobre 42.200 M) [1,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residencial en EE. UU. (Carrier, Bryant, Payne); compró Viessmann en 2024 y vende el resto de negocios no climáticos [1, 12,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enfriadoras comerciales y centros de datos; en residencial con Trane y American Standard [1,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(Goodman, Amana)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6367</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fabricante mundial; en EE. UU. compite en precio con Goodman y gana cuota en obra nueva [1,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Bosch (York, Luxaire, Coleman)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2024 el negocio residencial y comercial ligero de Johnson Controls y Hitachi por ≈8.000 M USD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Paloma (Rheem, Ruud)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fabricante residencial no cotizado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comerciales de cubierta a medida y refrigeración de centros de datos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instaladores y tiendas da algo de densidad logística, sin efecto de red propiamente dicho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que trabaja con Lennox tiene formación, financiación y recambios de la marca; cambiar de proveedor no es caro pero sí incómodo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gama alta (Lennox, Dave Lennox Signature) que sube precios: 356 M USD de precio y mezcla en 2025 [A6].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20 % en 2025 frente al 8 % de Carrier y el 11 % de AAON; fábricas en México; ROIC del 40 % [A6,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directa propia en EE. UU. y Canadá difícil de replicar para un entrante [A1].</w:t>
            </w:r>
          </w:p>
        </w:tc>
      </w:tr>
    </w:tbl>
    <w:p>
      <w:pPr>
        <w:spacing w:after="160" w:before="0"/>
      </w:pPr>
    </w:p>
    <w:p>
      <w:pPr>
        <w:pStyle w:val="Heading2"/>
      </w:pPr>
      <w:r>
        <w:t xml:space="preserve">Amenazas</w:t>
      </w:r>
    </w:p>
    <w:p>
      <w:pPr>
        <w:spacing w:after="100"/>
      </w:pPr>
      <w:r>
        <w:t xml:space="preserve">El foso se ha visto más estrecho de lo que el mercado creía: en 2026 Lennox ha perdido mucha cuota en obra nueva (abandono de contratos de margen bajo, mayor de lo previsto) y Daikin-Goodman y Carrier compiten con promociones al consumidor [8]. Si la competencia en precio pasa a la reposición, el margen del 20 % no se sostiene. La entrada de equipos asiáticos sin conductos (LG, Samsung, Midea) y la integración vertical de los distribuidores (Watsco con marcas propias) son amenazas a 5 años, de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4,0 %</w:t>
      </w:r>
      <w:r>
        <w:t xml:space="preserve">, EBITDA </w:t>
      </w:r>
      <w:r>
        <w:rPr>
          <w:b/>
          <w:bCs/>
        </w:rPr>
        <w:t xml:space="preserve">10,0 %</w:t>
      </w:r>
      <w:r>
        <w:t xml:space="preserve">, BPA </w:t>
      </w:r>
      <w:r>
        <w:rPr>
          <w:b/>
          <w:bCs/>
        </w:rPr>
        <w:t xml:space="preserve">15,3 %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4,0 % anual de 2016 a 2025 (de 3.642 a 5.195 M USD), con un salto en 2021-2024 por precio y por el adelanto de compras antes del cambio de refrigerante, y una caída del 2,7 % en 2025 por volumen [1, 6]. El margen EBITDA pasó del 13,4 % de 2016 al 22,2 % de 2025: precio y mezcla, salida de Europa (con márgenes bajos) y control de costes [6]. En el 1S26 las ventas suben un 4,2 % solo por las compras; el orgánico cae (≈−1 % en el 2T26), con el residencial −7 % y el comercial +24 % [3]. El BPA del 2T26 (7,72) incluye ≈30 M USD de reembolsos de aranceles IEEPA (≈0,69 por acción), adelantados al trimestre [8]. 2019 no es comparable (plusvalía de Kysor Warren y cargo de pensiones) ni 2023 (venta de Europa).</w:t>
      </w:r>
    </w:p>
    <w:p>
      <w:pPr>
        <w:pStyle w:val="Heading2"/>
      </w:pPr>
      <w:r>
        <w:t xml:space="preserve">Ajustes y partidas no recurrentes</w:t>
      </w:r>
    </w:p>
    <w:p>
      <w:pPr>
        <w:spacing w:after="100"/>
      </w:pPr>
      <w:r>
        <w:t xml:space="preserve">Usamos cifras GAAP. El BPA ajustado de la empresa excluye reestructuraciones, costes de compras y resultados de ventas de negocios: en 2025, 23,16 frente a 22,79 GAAP (reestructuración de 6,8 M y costes de compra de 8,9 M), en 2024 22,70 frente a 22,66 [6]. En 2026 no hay ajustes hasta junio. Los reembolsos de aranceles del 2T26 (30 M) no son recurrentes, pero la empresa los usa para compensar costes arancelarios que sí lo son y no los excluye [8]. El cambio de LIFO a FIFO subió algo el beneficio de 2024 (811 frente a 806 M publicados entonces)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(29-jul) la dirección cambió el discurso: en enero esperaba que el residencial se normalizara en 2026 con el canal ya sin exceso de inventario; en julio dijo que la recuperación del residencial «ha sido más lenta de lo previsto» y que los beneficios más importantes llegarán en 2027 [6, 8]. Rebajó la guía de ventas de Home Comfort Solutions del +4 % al +1 % (volúmenes con caída de un dígito alto), bajó el objetivo de productividad de 75 a 60 M y el capex de 250 a 225 M, y dejó el BPA en 23-24 USD [8]. Las preguntas se repitieron: cuánto del 2T venía de los reembolsos de aranceles (≈30 M, la dirección pidió no excluirlos), cuánto pesa el abandono de la obra nueva (mayor de lo previsto y «casi terminado») y cómo será el margen residencial del segundo semestre (plano o algo menor) [8]. La dirección evitó cuantificar la cuota perdida en obra nueva y el margen residencial sin reembolsos. Lo bueno: el comercial (+24 %, orgánico +12-15 %) gana cuota con la fábrica de Saltillo y la reposición de emergencia [3,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Duro Dyne y Supco (545 M USD), consolidadas desde octubre de 2025: entran en balance y solo un trimestre en la cuenta.; 2023: Venta de las operaciones europeas en el 4T23 (247,6 M USD de ventas en 2023) y compra de AES (94,9 M USD) en octubre.).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732 M USD (2024) a 1.354 M (2025) por la compra de Duro Dyne y Supco (545 M) y las recompras (482 M), y el circulante comercial del 19,2 % al 24,9 % de las ventas por el inventario del cambio de refrigerante [1]. En el 1S26 el inventario se mantiene en 1.152 M y los clientes suben por estacionalidad; con Heat Controller, la deuda neta ajustada es de 1.750 M, 1,5 veces el EBITDA LTM [3, 4]. El patrimonio neto fue negativo de 2018 a 2022 por las recompras acumuladas (5.086 M en autocartera), no por pérdidas. Rating de grado de inversión (Baa1/BBB) [1]. Vencimientos: 300 M de bonos al 1,7 % y 300 M de préstamo en 2027 y 500 M al 5,5 % en 2028: refinanciarlos encarecerá los intereses ≈10 M al año.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4.160</w:t>
      </w:r>
      <w:r>
        <w:t xml:space="preserve">, conversión </w:t>
      </w:r>
      <w:r>
        <w:rPr>
          <w:b/>
          <w:bCs/>
        </w:rPr>
        <w:t xml:space="preserve">85 %</w:t>
      </w:r>
      <w:r>
        <w:t xml:space="preserve"> del beneficio neto; adquisiciones 640, dividendos 1.226, recompras 2.936.</w:t>
      </w:r>
    </w:p>
    <w:p>
      <w:pPr>
        <w:spacing w:after="100"/>
      </w:pPr>
      <w:r>
        <w:t xml:space="preserve">Lennox convierte en caja la mayor parte de su beneficio: el flujo libre fue de 765 M USD en 2024 (94 % del beneficio) y de 617 M en 2025 (77 %), con el inventario del cambio de refrigerante como causa del bache [6]. La guía de 2026 es de 750-850 M y en el 1S26 llevaba 98 M (estacionalidad: el tercer y el cuarto trimestre generan la caja) [3]. El capex fue de 250 M en 2023 (fábrica de Saltillo), 164 M en 2024 y 119 M en 2025, y la guía de 2026 es de 225 M: estimación propia, ≈125 M de mantenimiento (la amortización) y ≈100 M de crecimiento y productividad. En 2016-2025 la caja se ha ido a recompras (2.935 M), dividendos (1.326 M) y compras (640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(desde 2025; antes KPMG de 2002 a 2024)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 asunto crítico: provisión de garantías de 167,2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con dos cambios que vigilar. En 2025 la empresa cambió de auditor (KPMG, desde 2002, por Ernst &amp; Young) y de método de inventarios (LIFO a FIFO, que sube algo el beneficio cuando hay inflación); ninguno vino con salvedades [1]. La provisión de garantías (167 M) es el asunto crítico: los equipos A2L nuevos no tienen historia de fallos. Los pagos en acciones son pequeños (≈25 M al año, 0,5 % de las ventas). Los reembolsos de aranceles del 2T26 (30 M) inflan el trimestre. Los indicadores del motor: Altman Z de 6,49 (muy lejos de la zona de riesgo), Piotroski F de 5 (la caída del flujo y del margen bruto en 2025 restan puntos) y Beneish M de −2,35 (por debajo del umbral de manipulación de −1,78, aunque más cerca que en años anteriores por el salto de clientes e inventario).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tras 23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KPMG sustituido por Ernst &amp; Young para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LIFO a FIFO en 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Preferible según la empresa; con inflación sube algo el beneficio; 2023-2024 reexpresados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 de aranceles en el resultado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M USD (0,69 por acción) adelantados al trimestre; sin ellos el BPA habría caído ≈9 %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garantías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167,2 M USD; equipos A2L sin historia de fallos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497 M en 2025 (el 17 % del capital invertido medio); ha subido más de un 5 % en 2 de 9 años: compra única grande. ROIC publicado 40,0 %; sin fondo de comercio, 48,2 %.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43,6 % · </w:t>
      </w:r>
      <w:r>
        <w:rPr>
          <w:b/>
          <w:bCs/>
        </w:rPr>
        <w:t xml:space="preserve">WACC</w:t>
      </w:r>
      <w:r>
        <w:t xml:space="preserve">: 10,1 %.</w:t>
      </w:r>
    </w:p>
    <w:p>
      <w:pPr>
        <w:spacing w:after="100"/>
      </w:pPr>
      <w:r>
        <w:t xml:space="preserve">Lennox crea mucho valor: el ROIC fue del 50,7 % en 2024 y del 40,0 % en 2025 frente a un WACC del 10,10 %, y del 48,2 % sin el fondo de comercio de las compras. Lo mueve el margen (EBIT del 20 %, el más alto del sector) y una rotación del capital alta (1,35 veces en 2025, 1,63 en 2024) porque las fábricas están amortizadas y la distribución es en gran parte alquilada. La caída de 2025 viene del capital: inventario del refrigerante y 770 M de fondo de comercio e intangibles de Duro Dyne y Supco. El ROIC incremental histórico es del 43,6 %. Frente a sus rivales: Trane 23,9 %, Watsco 19,8 %, AAON 9,4 %, Carrier 7,6 % [23]. El ROE (75,8 %) no sirve: el patrimonio está reducido por 5.086 M de recompras.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51,5 M USD a 30-jun-2026 + línea de crédito no dispuesta de 1.000 M USD (vence en 2030) y papel comercial con límite de 500 M (412 M emitidos)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Baa1 (Moody's) y BBB (S&amp;P), perspectiva estable,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Garantías de producto por 167,2 M USD a 31-dic-2025, asunto crítico de auditoría (tasas de fallo y coste por reparación) [1]. Pensiones netas de 20,1 M (el plan de EE. UU. se liquidó en 2019) [4]. Arrendamientos operativos de 443 M (US GAAP: su gasto ya está en el EBITDA) [4]. La línea de crédito tiene covenants habituales (deuda/EBITDA) con mucha holgura: deuda neta/EBITDA de 1,3 veces [1, 8]. Heat Controller se pagó en julio de 2026 (205 M USD) con caja y papel comercial: va en el puente como otros ajustes. Superfund: avisos como parte potencialmente responsable sin importe material [1].</w:t>
      </w:r>
    </w:p>
    <w:p>
      <w:pPr>
        <w:pStyle w:val="Heading1"/>
      </w:pPr>
      <w:r>
        <w:t xml:space="preserve">12. Asignación de capital</w:t>
      </w:r>
    </w:p>
    <w:p>
      <w:pPr>
        <w:spacing w:after="100"/>
      </w:pPr>
      <w:r>
        <w:t xml:space="preserve">Prioridades declaradas: invertir en el negocio (capex de 225 M en 2026), compras complementarias de recambios y equipos, dividendo creciente (27 años seguidos; subida del 4,6 % a 1,36 USD trimestrales en mayo de 2026) y recompras con el resto [1, 26]. El consejo ha autorizado 5.000 M USD de recompras desde 2008; quedaban 858 M a 30-jun-2026 [4]. Objetivo de mantener el grado de inversión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(Comfort-Aire, Century, Coast Air)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la empresa espera que aumente el BPA desde 2027 [4,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Duro Dyne y Supco (recambios y accesorios)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300 M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 M de beneficio de segmentos en el 2T26 y 9 puntos de crecimiento en BCS [3,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 Industries y AES Mechanical (servicio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M de beneficio de segmentos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las operaciones europeas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un negocio de ≈248 M de ventas con margen bajo; mejora del margen del grupo [1].</w:t>
            </w:r>
          </w:p>
        </w:tc>
      </w:tr>
    </w:tbl>
    <w:p>
      <w:pPr>
        <w:spacing w:after="160" w:before="0"/>
      </w:pPr>
    </w:p>
    <w:p>
      <w:pPr>
        <w:spacing w:after="100"/>
      </w:pPr>
      <w:r>
        <w:t xml:space="preserve">La dirección asigna bien el capital: ROIC incremental histórico del 43,6 %, recompras que han reducido las acciones diluidas de 44,0 M (2016) a 35,4 M (2025) y compras pequeñas en recambios, donde el margen es alto. Dos dudas: las recompras de 2025 (482 M) se hicieron a precios de 500-600 USD, ≈60 % por encima del actual; y en 2026 la empresa recompra menos (163 M en el 1S26) cuando la acción es más barata, porque prioriza las compras de empresas y la deuda (1,3 veces) [3,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Alok Maskara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Luxfer (cinco años) y presidente de unidades de Pentair; con él el margen de segmentos pasó de ≈14 % (2022) a 20,4 % (2025), salió de Europa y compró AES, Duro Dyne, Supco y Heat Controller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Quenzer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Lennox desde 2004 (relaciones con inversores, planificación, finanzas del segmento comercial)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R.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Home Comfort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Trece años en Honeywell (presidenta de Sensing &amp; Safety Technologies); dirige el segmento residencial desde abril de 2025, el que más ha caído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Joe Nassab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Building Climate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Lennox desde 2010 (Allied Air); el segmento comercial ha pasado de 1.511 a 1.852 M USD de ventas y del 22,5 % al 23,4 % de margen (2023-2025)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Todd J. Teske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presidente y consejero delegado de Briggs &amp; Stratton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+5-10 %; BPA 13,40-14,40 USD (subida a 13,50-14,50)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+12,5 %; BPA 13,88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0 a +4 %; BPA 14,25-15,25 USD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17,96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+7 %; BPA ajustado 18,50-20,00 USD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+≈12 %; BPA ajustado 22,58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núcleo +2 %; BPA ajustado 22,00-23,50 USD; FCF 650-800 M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BPA ajustado 23,16; FCF 640 M (guía rebajada en octubre) [6,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+6-7 %; BPA ajustado 23,50-25,00 USD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guía de BPA rebajada a 23,00-24,00 en julio; ventas +8 % por compras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y bastante nuevo: Maskara (2022) ha transformado el grupo (salida de Europa, dos segmentos, margen récord) y la dirección cumplió o batió su guía de 2022 a 2024 con holgura [1, 6]. En 2025 y 2026 la ha rebajado dos veces seguidas en el residencial, lo que pesa en la credibilidad: el mercado ya no da por buenos los plazos de recuperación [3, 7]. El director financiero (2024) y la presidenta del residencial (abril de 2025, ex-Honeywell) llevan poco tiempo en el cargo. Sucesión: el consejo revisa planes de sucesión, sin nombre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Todd J. Teske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 experto financiero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Alok Maskara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Norris,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H. Quintos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D. Wall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Sherry L. Buck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Vander 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Tracy A. Embree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Gobierno;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 asunto crítico: provisión de garantías de 167,2 M USD</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enero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Norris, III y fideicomisos de la familia Norris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(13G de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(13G de febrero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todo es la familia Norris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 A. Kosel (director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Shane D. Wall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Todd J. Teske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 A. Kosel (director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Todd J. Teske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8,43 M USD en 2025 (fijo 1,18 M, variable anual 1,33 M, acciones y derechos 5,65 M), 133 veces el salario medio [16]. El variable anual mide beneficio, caja y ventas; el variable a largo es un 50 % en acciones por objetivos de beneficio y ROIC a tres años, un 30 % en acciones restringidas y un 20 % en derechos de revalorización [16]. Premia rentabilidad y no crecimiento a cualquier precio. El variable de 2025 se pagó al 90 % y las acciones de 2023-2025 al 196 % (rentabilidad para el accionista del 109 % en el periodo) [16]. Voto consultivo: 93 % a favor en 2025 y 98 % en 2026 [16, 17].</w:t>
      </w:r>
    </w:p>
    <w:p>
      <w:pPr>
        <w:pStyle w:val="Heading2"/>
      </w:pPr>
      <w:r>
        <w:t xml:space="preserve">Operaciones vinculadas, estructura de control y defensas</w:t>
      </w:r>
    </w:p>
    <w:p>
      <w:pPr>
        <w:spacing w:after="100"/>
      </w:pPr>
      <w:r>
        <w:t xml:space="preserve">Sin accionista de control: la familia Norris tiene el 9,3 % y un consejero (John W. Norris III, en el consejo desde 2001), y los grandes fondos el 28 % (Vanguard 11,2 %, Capital International 8,5 %, BlackRock 8,2 %) [16]. Una acción, un voto. Presidente independiente separado del consejero delegado. Defensa: consejo escalonado en tres clases [17]. Sin operaciones vinculadas relevantes.</w:t>
      </w:r>
    </w:p>
    <w:p>
      <w:pPr>
        <w:pStyle w:val="Heading2"/>
      </w:pPr>
      <w:r>
        <w:t xml:space="preserve">Señales de alerta</w:t>
      </w:r>
    </w:p>
    <w:p>
      <w:pPr>
        <w:pStyle w:val="ListParagraph"/>
        <w:numPr>
          <w:ilvl w:val="0"/>
          <w:numId w:val="2"/>
        </w:numPr>
        <w:spacing w:after="60"/>
      </w:pPr>
      <w:r>
        <w:t xml:space="preserve">Cambio de auditor en 2025: KPMG (auditor desde 2002) sustituido por Ernst &amp; Young; el 8-K de marzo de 2025 no menciona desacuerdos [1].</w:t>
      </w:r>
    </w:p>
    <w:p>
      <w:pPr>
        <w:pStyle w:val="ListParagraph"/>
        <w:numPr>
          <w:ilvl w:val="0"/>
          <w:numId w:val="2"/>
        </w:numPr>
        <w:spacing w:after="60"/>
      </w:pPr>
      <w:r>
        <w:t xml:space="preserve">Ningún consejero ni directivo ha comprado acciones tras la caída del 38 %; ventas pequeñas (1,4 M USD en 12 meses) antes de la caída [18].</w:t>
      </w:r>
    </w:p>
    <w:p>
      <w:pPr>
        <w:pStyle w:val="ListParagraph"/>
        <w:numPr>
          <w:ilvl w:val="0"/>
          <w:numId w:val="2"/>
        </w:numPr>
        <w:spacing w:after="60"/>
      </w:pPr>
      <w:r>
        <w:t xml:space="preserve">Consejo escalonado en tres clases con mandatos de tres años: dificulta un cambio de control no pactado [17].</w:t>
      </w:r>
    </w:p>
    <w:p>
      <w:pPr>
        <w:pStyle w:val="ListParagraph"/>
        <w:numPr>
          <w:ilvl w:val="0"/>
          <w:numId w:val="2"/>
        </w:numPr>
        <w:spacing w:after="60"/>
      </w:pPr>
      <w:r>
        <w:t xml:space="preserve">Dimisión del consejero Sivasankaran Somasundaram en mayo de 2026 «sin desacuerdos»; el consejo pasa de nueve a ocho miembros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(29-jul-2026): ventas +8 % (5 puntos de compras), BPA ajustado de 23,00-24,00 USD (antes 23,50-25,00), flujo libre de 750-850 M, capex de 225 M, intereses de ≈70 M; residencial +1 % (antes +4 %) con volúmenes en caída de un dígito alto, comercial +20 % [3, 8]. La guía inicial de enero era de ventas +6-7 % y BPA de 23,50-25,00 [6]. Próxima actualización: 28-oct-2026 con el 3T26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(18 analistas; BPA ajustado, que en 2026 coincide con el GAAP)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(18 analistas)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453,21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350,00 – 600,00</w:t>
            </w:r>
          </w:p>
        </w:tc>
      </w:tr>
    </w:tbl>
    <w:p>
      <w:pPr>
        <w:spacing w:after="160" w:before="0"/>
      </w:pPr>
    </w:p>
    <w:p>
      <w:pPr>
        <w:pStyle w:val="Heading2"/>
      </w:pPr>
      <w:r>
        <w:t xml:space="preserve">Revisiones de estimaciones</w:t>
      </w:r>
    </w:p>
    <w:p>
      <w:pPr>
        <w:spacing w:after="100"/>
      </w:pPr>
      <w:r>
        <w:t xml:space="preserve">El BPA de 2026e del consenso ha bajado de 24,46 hace 90 días a 23,47 hoy (−4,0 %) y el de 2027e de 26,76 a 25,82 (−3,5 %); en los últimos 30 días hubo 4 rebajas y ninguna subida en 2027e [20]. Las recomendaciones han empeorado: de 7 compras y 9 mantener hace tres meses a 4 compras, 13 mantener y 1 venta; Deutsche Bank (septiembre) y Goldman Sachs (14-oct) rebajaron a mantener, y el objetivo medio bajó de ≈550 a 453 USD [20]. Causa: residencial más débil y recuperación retrasada a 2027.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bl>
    <w:p>
      <w:pPr>
        <w:spacing w:after="160" w:before="0"/>
      </w:pPr>
    </w:p>
    <w:p>
      <w:pPr>
        <w:spacing w:after="100"/>
      </w:pPr>
      <w:r>
        <w:t xml:space="preserve">Lennox ha caído un 33,5 % en un año (rentabilidad total) frente al +17,5 % del S&amp;P 500 y el +10,3 % de las industriales, y un 27,5 % en 2026; a tres años rinde −1,0 % anual frente al +22,7 % del índice [19]. Hasta 2024 había batido al mercado (+89,5 % en 2023, +37,3 % en 2024) con el ciclo del refrigerante y el margen récord. Desde el máximo histórico de noviembre de 2024 ha caído un 47,5 %: el adelanto de compras de 2024 se convirtió en reducción de inventarios en 2025 y el residencial no ha vuelto en 2026 [6, 8, 19]. Beta mensual de 1,18 (semanal a dos años, 0,89); volatilidad anual del 42 %. Posición corta del 9,8 % del flotante [20].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 -34,7 % / -25,8 % / -33,1 %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 / +1,9 %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(29-jul, −21,0 % en el día): rebaja de la guía de BPA a 23-24 USD, residencial +1 % en vez de +4 %, recuperación retrasada a 2027, pérdida de cuota en obra nueva y un BPA plano sostenido por ≈30 M de reembolsos de aranceles; ese día cayeron también Watsco (−12,9 %), AAON (−9,5 %) y Carrier (−5,1 %) [8, 25,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sector con los envíos de aire acondicionado de mayo-junio y el anuncio de la compra de Heat Controller (18-jun)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tras la caída de marzo y resultados del 1T26 (29-abr) con la guía mantenida y el comercial +38 %; RBC y Wells Fargo subieron objetivos [5,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todo el sector (12 y 26-mar: Lennox −5,2 % y −9,0 %; Carrier −12,6 %, AAON −18,2 %, Watsco −12,8 % en el mes) con el mercado −5,2 %: dudas sobre la demanda residencial e inflación de costes; Barclays y Wells Fargo recortaron objetivos el 1-abr [20,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4T25 (28-ene) con guía de recuperación en 2026 y sentencia del Supremo contra los aranceles IEEPA (febrero), que abría la puerta a reembolsos [4,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3T25 (22-oct, −10,2 % en el día): residencial −12 % por reducción de inventarios en el canal y guía 2025 rebajada a ventas −1 % y BPA 22,75-23,25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rebaja Lennox (y Carrier) a neutral y baja el objetivo de 547 a 390 USD, mientras sube Trane; RBC (469 → 406) y Oppenheimer (575 → 548, sobreponderar) recortan; Mizuho baja a 395 el 15-oct [20,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rebaja a mantener (609 → 444 USD); Morgan Stanley sigue infraponderar (375) y Wells Fargo empieza en igual peso (424)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BPA de 2026 a 23,00-24,00 USD y del residencial a +1 % [3,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Heat Controller por 205 M USD con caja y papel comercial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pequeñas del director contable y de dos consejeros (1,4 M USD en 12 meses, entre 490 y 545 USD); ninguna compra tras la caída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antes de la apertura; el consenso espera un BPA de 7,37 USD (era 7,97 hace 90 días) y ventas de 1.574 M [20,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38 % desde el máximo de 52 semanas (1-jul-2026) tiene causa conocida y está en la tesis: el residencial (64 % de las ventas) sigue cayendo en volumen por vivienda cara y reparaciones en lugar de sustituciones, Lennox ha perdido cuota en obra nueva, la dirección retrasó la recuperación a 2027 y rebajó la guía, y los analistas siguen recortando objetivos [8, 20]. No hay hecho pendiente ajeno al análisis (colocación, ampliación, decisión judicial): los resultados del 28-oct no aplazan la decisión (regla 11). La posición corta del 9,8 % y la tendencia bajista explican la volatilidad, no cambian la señal.</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Lennox cotiza a 13,7 veces nuestro BPA de 2027e, el PER adelantado más bajo de su historia reciente: la mediana de 2021-2025 es de 20,8 veces y el mínimo, 14,4 veces (cierre de 2022, en plena subida de tipos). Al cierre, el PER de los últimos 12 meses (15,5 veces) también está en mínimos de diez años. Lo que ha cambiado: el bono a 10 años al 5,21 % (frente al 1-4 % de 2016-2023), un residencial que no crece en volumen desde 2024 y la pérdida del aura de «ganador de los refrigerantes». Ninguno es estructural para el margen ni para el ROIC, que siguen cerca de máximos.</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de Norteamérica (Carrier, Trane, Johnson Controls, AAON, Daikin), su mayor distribuidor (Watsco) y dos especialistas de climatización de centros de datos y gestión de energía (Vertiv, Schneider) como referencia del múltiplo del sector. Sin Rheem ni Bosch-York (no cotizan por separado). El PER adelantado de Yahoo es el ajustado de cada empresa: en Carrier y Johnson Controls excluye la amortización de intangibles y queda por encima del GAAP; en Lennox, Trane, Watsco y AAON apenas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20,4x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 / 22,6x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3,7x / 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+46,1 %</w:t>
            </w:r>
          </w:p>
        </w:tc>
      </w:tr>
    </w:tbl>
    <w:p>
      <w:pPr>
        <w:spacing w:after="160" w:before="0"/>
      </w:pPr>
    </w:p>
    <w:p>
      <w:pPr>
        <w:spacing w:after="100"/>
      </w:pPr>
      <w:r>
        <w:t xml:space="preserve">Lennox es la más barata del grupo (13,8 veces el PER adelantado de Yahoo y 11,9 veces el EV/EBITDA LTM) y a la vez la de más margen EBITDA (22 %) y más ROIC (40 %): la mediana de los comparables es de 22,6 veces el PER. El descuento se explica por la exposición al residencial (64 % de las ventas) en plena contracción, la ausencia de centros de datos (Trane, Vertiv, AAON y Schneider cotizan a 21-26 veces por ellos) y el riesgo de cuota; se justifica una parte, no 9 puntos de PER. Carrier, con residencial y margen del 14 %, cotiza a 16,4 veces. Damos un peso pequeño (15 %) a los comparables porque su base de BPA no es homogénea y su mezcla de negocio es más rica.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(Comfort-Aire, Century)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para distribuidores pequeños y medianos; múltiplo no publicado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Duro Dyne y Supco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Recambios y accesorios de climatización; múltiplo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y comercial ligero de Johnson Controls y Johnson Controls-Hitachi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Bosch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de EV/ventas: 7.400 M EUR entre ≈4.000 M EUR de ventas de 2023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 veces el EBITDA proyectado de 2023 con sinergias, según Carrier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AES Industries y AES Mechanical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 y bordillos para equipos de cubierta;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pagan caras: Carrier pagó ≈13 veces el EBITDA (con sinergias) por Viessmann y Bosch ≈1,85 veces las ventas por el residencial de Johnson Controls-Hitachi, frente a 2,6 veces las ventas y 11,9 el EBITDA a las que cotiza hoy Lennox [14, 15]. Una compra de Lennox es poco probable: la familia Norris (9,3 %) y el consejo escalonado dificultan una oferta hostil, y no hay rumores. Las compras propias (AES, Duro Dyne, Supco, Heat Controller) no publican múltiplo. Peso 0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4,0 % anual en 2016-2025 [1]. Proyectamos +8,0 % en 2026e (fijo: guía de la empresa con 5 puntos de compras, dos trimestres publicados), +5,5 % en 2027e (un año entero de Heat Controller, residencial algo positivo) y una bajada gradual del 5,0 % al 3,0 % hasta 2033e, por debajo del 6,4 % anual del mercado [9] porque Lennox pierde algo de cuota. El consenso espera +7,5 % y +6,0 % en 2026-2027 [20].</w:t>
      </w:r>
    </w:p>
    <w:p>
      <w:pPr>
        <w:keepNext/>
        <w:spacing w:after="100"/>
      </w:pPr>
      <w:r>
        <w:rPr>
          <w:b/>
          <w:bCs/>
        </w:rPr>
        <w:t xml:space="preserve">Márgenes.</w:t>
      </w:r>
    </w:p>
    <w:p>
      <w:pPr>
        <w:spacing w:after="100"/>
      </w:pPr>
      <w:r>
        <w:t xml:space="preserve">Margen EBITDA del 21,8 % en 2026e (guía de BPA de 23-24 USD; 22,2 % en 2025) que sube al 22,8 % en 2029e por absorción de costes con más volumen y por la mezcla de recambios, sin superar mucho el récord de 2025. Trane tiene un 19,5 %, Carrier un 13,9 % [23]: suponemos que Lennox mantiene su ventaja, no que la amplía.</w:t>
      </w:r>
    </w:p>
    <w:p>
      <w:pPr>
        <w:keepNext/>
        <w:spacing w:after="100"/>
      </w:pPr>
      <w:r>
        <w:rPr>
          <w:b/>
          <w:bCs/>
        </w:rPr>
        <w:t xml:space="preserve">Inversión y circulante.</w:t>
      </w:r>
    </w:p>
    <w:p>
      <w:pPr>
        <w:spacing w:after="100"/>
      </w:pPr>
      <w:r>
        <w:t xml:space="preserve">Capex del 4,0 % de las ventas en 2026e (guía de 225 M) que baja al 2,5 % en 2031e, por encima de la amortización (2,3 %) en todos los años; media histórica del 2,7 % [1]. Circulante comercial del 23 % en 2026e que vuelve al 21 % (24,9 % en 2025 por el inventario del refrigerante; 19-21 % en 2023-2024) [1]. Tipo impositivo del 20,5 % (19,2 % en 2025; 20,6 % en el 1S26) [3].</w:t>
      </w:r>
    </w:p>
    <w:p>
      <w:pPr>
        <w:keepNext/>
        <w:spacing w:after="100"/>
      </w:pPr>
      <w:r>
        <w:rPr>
          <w:b/>
          <w:bCs/>
        </w:rPr>
        <w:t xml:space="preserve">Coste del capital.</w:t>
      </w:r>
    </w:p>
    <w:p>
      <w:pPr>
        <w:spacing w:after="100"/>
      </w:pPr>
      <w:r>
        <w:t xml:space="preserve">Tasa libre: bono de EE. UU. a 10 años al 5,21 % (13-oct-2026) [21]. Beta de 1,05, entre la semanal a dos años (0,89) y la mensual a cinco (1,18) [19]. Prima de mercado del 5,5 % y coste de la deuda del 5,3 % antes de impuestos (bonos de 2028 al 5,5 %, papel comercial más barato) con un peso del 13 % a valor de mercado. WACC del 10,10 %. Con la prima implícita del mercado (4,2 %) [22] el valor sube a 415,50 USD: la recomendación depende de la tasa.</w:t>
      </w:r>
    </w:p>
    <w:p>
      <w:pPr>
        <w:keepNext/>
        <w:spacing w:after="100"/>
      </w:pPr>
      <w:r>
        <w:rPr>
          <w:b/>
          <w:bCs/>
        </w:rPr>
        <w:t xml:space="preserve">Valor terminal.</w:t>
      </w:r>
    </w:p>
    <w:p>
      <w:pPr>
        <w:spacing w:after="100"/>
      </w:pPr>
      <w:r>
        <w:t xml:space="preserve">Gordon con un crecimiento del 3,0 %: inflación esperada en USD del ≈2,3 % más un crecimiento real modesto, por debajo de la tasa libre menos medio punto (4,7 %). El valor terminal pesa un 62 % del valor. El múltiplo de salida de contraste (14 veces el EBITDA) queda por encima de los 11,9 a los que cotiza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320,90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(reinvierte el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(histórico: 43,6 %)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frente al 4,6 %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(hoy: 12,3 %)</w:t>
            </w:r>
          </w:p>
        </w:tc>
      </w:tr>
    </w:tbl>
    <w:p>
      <w:pPr>
        <w:spacing w:after="160" w:before="0"/>
      </w:pPr>
    </w:p>
    <w:p>
      <w:pPr>
        <w:spacing w:after="100"/>
      </w:pPr>
      <w:r>
        <w:t xml:space="preserve">La proyección apenas necesita inversión neta de la amortización (reinversión acumulada de 558 M, el 7 % del NOPAT, con un capex bruto medio del 2,9 % de las ventas). En un negocio de activos ligeros, el crecimiento medio del 4,6 % tiene que salir de subir precios y de ganar volumen sin capital nuevo, y la prueba es el poder de precios y la cuota (10,7 % del mercado en 2033e, frente al 12,3 %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ventas +8 % con ≈5 puntos de compras (Duro Dyne, Supco, Heat Controller) y ≈1 punto más de mezcla de compras; volumen residencial con caída de un dígito alto compensado en parte por el comercial; precio y mezcla ≈+3 %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 Controller suma medio año más (≈1,5 puntos); volumen residencial ligeramente positivo al pasar el abandono de la obra nueva; precio +2,5 % por aranceles e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por reposición aplazada y comercial;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+2,5 %, en línea con el mercado (+6,4 %) menos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 y precio +2,5 %.</w:t>
            </w:r>
          </w:p>
        </w:tc>
      </w:tr>
    </w:tbl>
    <w:p>
      <w:pPr>
        <w:spacing w:after="160" w:before="0"/>
      </w:pPr>
    </w:p>
    <w:p>
      <w:pPr>
        <w:spacing w:after="100"/>
      </w:pPr>
      <w:r>
        <w:t xml:space="preserve">Sí: el crecimiento proyectado (4,6 % de media en 2026-2033) está en línea con el histórico (4,0 % anual en 2016-2025) y por debajo del mercado de climatización de Norteamérica (6,4 %), así que la cuota implícita baja del 12,3 % al 10,7 % en 2033e: no suponemos ganancias de cuota. El negocio apenas necesita capital (capex del 2,5-4,0 % de las ventas): con la reinversión bruta y el ROIC actual (40 %) se financia un crecimiento del 8,3 %, y la proyección supone un rendimiento del 20,8 % para el capital nuevo frente al 43,6 % histórico. El poder de precios está demostrado (356 M USD de precio y mezcla en 2025). El motor llega al mismo veredicto. El riesgo para el crecimiento no es de financiación sino de cuota en el residencial, y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22,8 %)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10,1 %)</w:t>
            </w:r>
          </w:p>
        </w:tc>
      </w:tr>
    </w:tbl>
    <w:p>
      <w:pPr>
        <w:spacing w:after="160" w:before="0"/>
      </w:pPr>
    </w:p>
    <w:p>
      <w:pPr>
        <w:spacing w:after="100"/>
      </w:pPr>
      <w:r>
        <w:t xml:space="preserve">El DCF da 338,34 USD por acción, un 3,0 % por debajo del precio, con el 62 % del valor en el terminal y un WACC del 10,10 % que pesa mucho por el bono al 5,21 %. El DCF inverso dice que el precio descuenta un crecimiento del 4,7 % anual en 2027-2033 con nuestros márgenes, frente al 4,1 % de nuestro base, o un margen EBITDA del 23,3 % con nuestro crecimiento (22,8 % en el base); la rentabilidad implícita en el precio es del 9,9 %, casi igual al WACC. El precio no descuenta nada heroico: un crecimiento algo por encima del histórico (4,0 %) y el margen actual. Con la prima implícita del mercado (4,2 %), el DCF da 415,50 USD (+19 %): Lennox no es barata frente a su coste de capital histórico, pero sí frente a lo que hoy pide el mercado. La lectura: el precio ya incorpora el residencial débil; para ganar dinero en un año hace falta que el múltiplo deje de bajar, no un crecimiento extraordinario.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Como en 2008-09 y 2025: el residencial cae dos años más y Lennox baja precios para recuperar cuota. Ventas 3 puntos por debajo del base cada año, margen 2 puntos menor y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residencial toca fondo en 2026 y vuelve a crecer poco desde 2027, el comercial sigue ganando cuota y el margen se mantiene en el 22-23 %.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reposición aplazada vuelve con tipos más bajos y el precio de los equipos A2L aguanta: ventas 1,5 puntos por encima del base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34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322,51 USD (-7,5 %).</w:t>
      </w:r>
    </w:p>
    <w:p>
      <w:pPr>
        <w:spacing w:after="100"/>
      </w:pPr>
      <w:r>
        <w:t xml:space="preserve">A largo plazo la asimetría es desfavorable: el alcista (385,32 USD) gana un 10,5 % y el bajista (228,05) pierde un 34,6 %, con un valor ponderado de 322,51 USD. A 12 meses la cuenta cambia (alcista +74 %, bajista −18,6 %, asimetría de 3,61) porque la regla parte de un PER de 13,7 veces, el mínimo de diez años, y supone que vuelve a mitad de camino hacia su mediana: el recorrido a un año depende de que el múltiplo deje de comprimirse, no de que el negocio valga mucho más.</w:t>
      </w:r>
    </w:p>
    <w:p>
      <w:pPr>
        <w:pStyle w:val="Heading1"/>
      </w:pPr>
      <w:r>
        <w:t xml:space="preserve">22. Suma de partes</w:t>
      </w:r>
    </w:p>
    <w:p>
      <w:pPr>
        <w:pStyle w:val="Confianza"/>
        <w:spacing w:after="100"/>
      </w:pPr>
      <w:r>
        <w:t xml:space="preserve">Confianza: Alta</w:t>
      </w:r>
    </w:p>
    <w:p>
      <w:pPr>
        <w:spacing w:after="100"/>
      </w:pPr>
      <w:r>
        <w:t xml:space="preserve">No aplica: los dos segmentos venden equipos de climatización con márgenes parecidos (21,8 % y 23,4 % en 2025), comparten fábricas, compras y distribución, y no hay comparables puros de cada uno que den un valor distinto.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34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367,90 USD (+5,5 % sobre 348,84).</w:t>
      </w:r>
    </w:p>
    <w:p>
      <w:pPr>
        <w:spacing w:after="100"/>
      </w:pPr>
      <w:r>
        <w:t xml:space="preserve">El valor intrínseco (367,90 USD, +5,5 %) sale del DCF (50 %), de los escenarios (35 %) y de los comparables (15 %). El DCF es el método más fiable para un negocio estable que genera caja; los comparables pesan poco porque su PER está en bases distintas y su mezcla de negocio (centros de datos) es más rica: aplicados a Lennox darían 572,34 USD. Sin los comparables, el valor intrínseco quedaría en ≈332 USD, por debajo del precio: el filtro de valor real se cumple por poco y depende de ese peso. Transacciones a 0 (no suponemos una oferta). La dispersión es grande: DCF 298,75-390,65 según WACC y crecimiento terminal; con la prima del mercado, 415,50; objetivo de los analistas, 350-600.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(13.7x) × 1.1 (tope: la mediana de 5 años, 20.8x,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spacing w:after="100"/>
      </w:pPr>
      <w:r>
        <w:rPr>
          <w:b/>
          <w:bCs/>
        </w:rPr>
        <w:t xml:space="preserve">Objetivo a 12 meses (ponderado):</w:t>
      </w:r>
      <w:r>
        <w:t xml:space="preserve"> 426,61 USD · rentabilidad +23,8 % (base +19,9 %) · señal Comprar.</w:t>
      </w:r>
    </w:p>
    <w:p>
      <w:pPr>
        <w:spacing w:after="100"/>
      </w:pPr>
      <w:r>
        <w:t xml:space="preserve">Para comparar, con la regla v2 (historia al cierre, mismo precio): 11,6x / 13,7x / 17,8x, 12,2 % Mantener; con el tope anterior del base (×1,3, 14-oct mediodía): 38,1 %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(23,36) coincide con el consenso (23,47) y con la guía (23-24 USD) [20]. En 2027e vamos un 1 % por debajo (25,52 frente a 25,82): suponemos más intereses al refinanciar los bonos de 2027 al 1,7 %. El consenso no publica 2028e en fuente gratuita. Nuestro precio base (412,99) queda un 9 % por debajo del objetivo medio de 14 analistas (453,21), que lleva tres meses de recortes (Goldman Sachs de 547 a 390 USD, RBC de 469 a 406, Mizuho de 450 a 395 en octubre) [20]: la diferencia es de múltiplo, no de beneficio.</w:t>
      </w:r>
    </w:p>
    <w:p>
      <w:pPr>
        <w:keepNext/>
        <w:spacing w:after="100"/>
      </w:pPr>
      <w:r>
        <w:rPr>
          <w:b/>
          <w:bCs/>
        </w:rPr>
        <w:t xml:space="preserve">Del valor intrínseco al objetivo a 12 meses.</w:t>
      </w:r>
    </w:p>
    <w:p>
      <w:pPr>
        <w:spacing w:after="100"/>
      </w:pPr>
      <w:r>
        <w:t xml:space="preserve">El objetivo a 12 meses (426,61 USD) queda un 16 % por encima del valor intrínseco (367,90): la regla supone que el PER vuelve de 13,7 a 15,1 veces, a mitad de camino hacia su mediana de 20,8 con el tope ×1,1, mientras que el DCF descuenta los flujos con un bono al 5,21 % y da 338,34. Para cerrar la distancia hace falta que el residencial vuelva a crecer en 2027 (lo verá el mercado en los resultados del 4T26 y la guía de enero) y que el múltiplo deje de comprimirse. Si el residencial no vuelve, el bajista (278,78) es un −18,6 %. La tesis es de 12 a 24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consenso de BPA 7,37 USD y ventas 1.574 M [20,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guía volumen residencial positivo, el PER puede volver hacia 15-16 veces; si no, se queda en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AHRI de aire acondicionado y bombas de calor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residencial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del T-MEC y aranceles 232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 fabrica en Saltillo (México): un arancel a México encarecería costes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600 M de deuda (bonos al 1,7 % y préstamo)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USD más de intereses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hipotecarios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Reactivan la reposición aplazada y la obra nueva.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residencial no se recupera en 2027 (vivienda cara, reparar en vez de sustituir)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(escenario bajista del DCF: 228,05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obligada al final de la vida útil; comercial creciendo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de AHRI y ventas de HCS en el 3T26 y 4T26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y guerra de precios en residencial (Daikin-Goodman, Carrier)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(2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al instalador; marca de gama alta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mezcla de HCS por debajo del +2 % trimestral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adicional del múltiplo (bono a 10 años al 5,2 %)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a 12 meses (bajista de la regla: 278,78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ya en mínimos de diez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a México e inflación de materias primas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demostrado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la revisión del T-MEC; inflación de producto &gt;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 de los equipos A2L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167 M revisada por el auditor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provisión de garantías o retiradas de producto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empresas peor integradas o más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en recambios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del tren de los centros de datos frente a Trane, Vertiv y AAON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el valor base (no lo proyectamos)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Heatcraft hace algo de refrigeración de procesos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centros de datos en BCS</w:t>
            </w:r>
          </w:p>
        </w:tc>
      </w:tr>
    </w:tbl>
    <w:p>
      <w:pPr>
        <w:spacing w:after="160" w:before="0"/>
      </w:pPr>
    </w:p>
    <w:p>
      <w:pPr>
        <w:pStyle w:val="Heading2"/>
      </w:pPr>
      <w:r>
        <w:t xml:space="preserve">Pre-mortem</w:t>
      </w:r>
    </w:p>
    <w:p>
      <w:pPr>
        <w:spacing w:after="100"/>
      </w:pPr>
      <w:r>
        <w:t xml:space="preserve">Octubre de 2029: Lennox vale un 40 % menos. Lo que pasó: el residencial no volvió en 2027 porque los tipos hipotecarios siguieron por encima del 6 % y los consumidores aprendieron a reparar equipos viejos en lugar de sustituirlos; cuando la reposición llegó, en 2028, lo hizo con equipos sin conductos asiáticos y bombas de calor baratas de Daikin-Goodman, que había ganado la obra nueva que Lennox abandonó en 2026. Para defender el volumen, Lennox bajó precios: el margen EBITDA volvió al 18 % de 2022 y el BPA se quedó en 22-23 USD tres años. El mercado, que en 2026 aún pagaba 13-14 veces, pasó a pagar 11-12 veces a un fabricante sin crecimiento y con 1,5 veces de deuda tras sus compras. Los indicadores que lo anticipaban: la caída de unidades del residencial en el 2T26 (−12 %) con «precio y mezcla» de solo +3 %, la pérdida de cuota en obra nueva «mayor de lo previsto» y dos rebajas de guía seguidas.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w:t>
      </w:r>
    </w:p>
    <w:p>
      <w:pPr>
        <w:spacing w:after="100"/>
      </w:pPr>
      <w:r>
        <w:t xml:space="preserve">El riesgo de que la IA se coma el negocio es bajo: Lennox fabrica e instala equipos físicos (calderas, aire acondicionado, equipos de cubierta) que la IA no sustituye, y su canal (instaladores) es trabajo manual [1]. La IA toca dos cosas: (1) costes: diseño, previsión de demanda y precios, que la empresa dice usar (el 10-K lo cita como oportunidad y riesgo competitivo) [1]; (2) demanda: los centros de datos de IA necesitan refrigeración, pero ese negocio lo capturan Trane, Vertiv, AAON y Schneider, no Lennox, y por eso el mercado ha pagado a sus rivales y no a ella [13]. La señal que avisaría: un rival que use la IA para fijar precios o diagnosticar a distancia y quite al instalador de Lennox el servicio posventa.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el producto: el cambio a refrigerantes A2L (AIM Act) y las normas de eficiencia elevan el precio medio de los equipos (356 M USD de precio y mezcla en 2025) y las bombas de calor ganan peso con la electrificación [6, 11]. Las emisiones propias son pequeñas frente a las de uso de sus equipos. Seguridad laboral en las fábricas (3.400 empleados sindicados) y retención de técnicos [1].</w:t>
      </w:r>
    </w:p>
    <w:p>
      <w:pPr>
        <w:pStyle w:val="Heading2"/>
      </w:pPr>
      <w:r>
        <w:t xml:space="preserve">Controversias</w:t>
      </w:r>
    </w:p>
    <w:p>
      <w:pPr>
        <w:spacing w:after="100"/>
      </w:pPr>
      <w:r>
        <w:t xml:space="preserve">No hemos encontrado sanciones, multas ni litigios relevantes en 2023-2026: el 10-K solo menciona avisos como parte potencialmente responsable en procedimientos Superfund sin importe material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residencial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puntos de cuota se han perdido en obra nueva en 2026 y cuánto volumen de reposición se ha perdido con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caída de unidades del 12 % es cíclica 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sin reembolsos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margen de HCS del 2T26 sin los 25 M de reembolsos de aranceles y qué margen espera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el BPA del trimestre habría caído ≈9 %.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precios se aplica en 2027 y qué parte compensa aranceles 232 frente a mezcla?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depende de que el precio siga ganando a la inflación (5 % en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inventario a ≈19 % de las ventas y cuánta caja libera?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USD de caja potencial.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menos en 2026 con la acción un 40 % más barata que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 frente a compras de empresas.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hoy los centros de datos en Heatcraft y BCS y hay plan para crecer en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mercado premia en sus rivales.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a México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coste de las fábricas de Saltillo queda expuesta a la revisión del T-MEC?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margen con fecha en 2026-2027.</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«valoración demasiado caliente» (junio) y «todavía no se ha enfriado bastante» (29-jul) a «negocio en el sitio correcto en el momento correcto» (agosto)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Goldman Sachs (14-oct), caída del sector por los tipos del bono (18-ago) y por márgenes y dudas sobre centros de datos (29-jul); la acción figura entre las de peor impulso del S&amp;P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de 52 semanas casi cada semana desde agosto, apuestas bajistas antes de los resultados; una minoría compra «porque el aire acondicionado no va a desaparecer»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(Kavout, HARDI)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Tesis alcista: la reposición aplazada tiene que volver y el PER ha caído a mínimos; tesis bajista: el residencial sigue débil por la vivienda y los tipos [28,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residencial no toca fondo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por ahora: unidades −12 % en el 2T26 y recuperación retrasada a 2027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se queda fuera de los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Trane, Vertiv y AAON tienen la exposición; Lennox apenas. No afecta al valor base, que no la proyecta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Sobrevendida y barata: el aire acondicionado no desaparece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13,7 veces es el mínimo de diez años y el ROIC sigue en el 40 %; pero la regla v2 y el DCF con bono al 5,2 % no ven tanto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Los reembolsos de aranceles maquillan el 2T26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 USD (0,69 por acción) en el trimestre; la guía anual los incluye [8].</w:t>
            </w:r>
          </w:p>
        </w:tc>
      </w:tr>
    </w:tbl>
    <w:p>
      <w:pPr>
        <w:spacing w:after="160" w:before="0"/>
      </w:pPr>
    </w:p>
    <w:p>
      <w:pPr>
        <w:spacing w:after="100"/>
      </w:pPr>
      <w:r>
        <w:t xml:space="preserve">El sentimiento es negativo y empeora: mínimos de 52 semanas casi cada semana desde agosto, apuestas bajistas antes de los resultados y rebajas de recomendación en cadena (Deutsche Bank, Goldman Sachs). Coincide con los analistas y con los datos del residencial; no anticipa un riesgo que el informe no recoja. Sí es una señal de capitulación parcial: con la posición corta en el 9,8 % del flotante, unos resultados del 3T26 menos malos de lo esperado pueden provocar un rebote fuerte, como en abril (+15 %).</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Fuentes: 32 (14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10,7 % en 2033e frente al 12,3 %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23,0 % frente a 24,9 %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12,2 %: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crecimiento de los trimestres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(dan amortizaciones solo acumuladas en el estado de flujos); 2) 10-Q trimestrales no descargados por tiempo; 3) XBRL trimestral (no se usa la herramienta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cuotas del mercado residencial de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(sin cuotas); 2) MarketsandMarkets y Ken Research (páginas públicas sin cuotas); 3) AHRI (solo unidades del conjunto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cuota de Lennox estimada sobre el mercado de MarketsandMarkets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compras de Lennox (AES, Duro Dyne y Supco, Heat Controller)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2T26 (precio, sin EBITDA de las compradas); 2) notas de prensa de las compras (sin múltiplo); 3) prensa sectorial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del consenso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(la búsqueda lleva a otra empresa); 2) Yahoo (solo BPA y ventas a dos años); 3) valueinvesting.io y Seeking Alpha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 3 de segmentos; nota 8 de ingresos por geografía; cambio de LIFO a FIFO; deuda y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https://www.sec.gov/Archives/edgar/data/1069202/000106920226000028/lii-20251231.htm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https://data.sec.gov/api/xbrl/companyfacts/CIK0001069202.json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2026 Second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https://www.sec.gov/Archives/edgar/data/1069202/000106920226000085/lii-20260630xexx991pressre.htm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compra de Heat Controller; reembolsos de aranceles IEEPA;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https://www.sec.gov/Archives/edgar/data/1069202/000106920226000087/lii-20260630.htm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2026 First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https://www.sec.gov/Archives/edgar/data/1069202/000106920226000052/lii-20260331xexx991pressre.htm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Fourth Quarter and Full Year 2025 Results; Provides Full Year 2026 Guidance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https://www.sec.gov/Archives/edgar/data/1069202/000106920226000005/lii-20251231xexx991pressre.htm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https://www.sec.gov/Archives/edgar/data/1069202/000106920225000046/lii-2025930xexx991pressrel.htm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Q2 2026 earnings summary (guía por segmentos, volúmenes, reembolsos de aranceles, preguntas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VectorShift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https://vectorshift.ai/research/companies/lennox-international/earnings/2026-q2-summary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HVAC System Market: 42.200 M USD en 2025 y 57.600 M en 2030 (+6,4 %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https://www.marketsandmarkets.com/PressReleases/north-america-hvac-system.asp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HVAC System Market Outlook to 2030 (49.500 M USD en 2024; 68.900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https://www.kenresearch.com/industry-reports/north-america-hvac-system-market.md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States: October 2025 heating and cooling equipment shipment data (AHRI: aire acondicionado y bombas de calor −17,7 % hasta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Institute of Refrigeration (datos de AHRI)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https://iifiir.org/en/news/united-states-october-2025-heating-and-cooling-equipment-shipment-data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Trane, Carrier, Johnson Controls, Watsco y AAON (ventas, EBIT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climatización (HVAC) y control de edificios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(sectores/climatizacion-hvac-2026-10-14)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Bosch acquires residential and light commercial HVAC business from Johnson Controls and Hitachi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Bosch Home Comfort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https://www.bosch-homecomfortgroup.com/en/news-and-stories/news/bosch-acquires-residential-and-light-commercial-hvac-business-from-johnson-controls-and-hitachi/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to acquire Viessmann Climate in $12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Weiss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https://www.paulweiss.com/insights/client-news/carrier-to-acquire-viessmann-climate-in-12-billion-deal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ratio salarial 133:1, participaciones significativas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https://www.sec.gov/Archives/edgar/data/1069202/000106920226000046/lii-20260406.htm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21-may-2026 y dimisión de un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https://www.sec.gov/Archives/edgar/data/1069202/000106920226000076/lii-20260521.htm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https://www.sec.gov/cgi-bin/browse-edgar?action=getcompany&amp;CIK=0001069202&amp;type=4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LII, SPY y XLI (herramientas/bolsa.mjs y movimiento.mjs),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estimaciones (earningsTrend: BPA 2026e 23,47 y 2027e 25,82; ventas 5.586 y 5.921 M), recomendaciones y objetivos (media 453,21 USD, 14 analistas), historial de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https://finance.yahoo.com/quote/LII/analysis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Trane, Carrier, Johnson Controls, Watsco y AAON (capitalización, PER adelantado, EV/EBITDA, márgenes, ROIC, deuda, FCF) al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(herramientas/yahoo.mjs)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https://finance.yahoo.com/quote/CARR/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Schedules Third Quarter Results (28-oct-2026,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Inc.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https://finviz.com/news/400427/lennox-schedules-third-quarter-results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Lennox (LII) stock is down today (29-jul-2026: −20 % tras recortar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https://www.barchart.com/story/news/3530861/why-lennox-lii-stock-is-down-today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Lennox (Goldman Sachs rebaja a Lennox y Carrier, 14-oct-2026; «HVAC stocks slide as rising Treasury yields hit AI infrastructure trade», 18-ago-2026; «HVAC stocks sink as earnings, margin pressure, data-center qualms trigger selloff»,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https://seekingalpha.com/api/sa/combined/LII.xml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$LII (30 mensajes, 28-jul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https://api.stocktwits.com/api/2/streams/symbol/LII.json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International's plummeting P/E undervalues its inevitable replacement cycle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https://www.kavout.com/market-lens/lennox-international-s-plummeting-p-e-undervalues-its-inevitable-replacement-cycle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earnings season is signaling about HVACR in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HARDI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https://hardinet.org/posts/market-intelligence/what-earnings-season-is-signaling-about-hvacr-in-2026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1,1208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Carrier, Trane, Watsco y AAON (comparación de las caídas de marzo, abril y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https://finance.yahoo.com/quote/WSO/history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Lennox International Q2 2026 Earnings Call Highlights (volúmenes residenciales −12 %, obra nueva ≈−30 %, inventario del canal normalizado)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https://www.gurufocus.com/news/8987675/lennox-international-inc-lii-q2-2026-earnings-call-highlights-navigating-challenges-with-strategic-gains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89,1 %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la Bolsa de Nueva York (LII), única clase. Precio: cierre del 14-oct-2026 (348,84 USD), porque la sesión del 15-oct no había cerrado a la hora del análisis (a media sesión, ≈355 USD) [19]. Cuentas 2016-2025 del XBRL de la SEC, comprobadas con el 10-K 2025 [1, 2]. En el 4T25 la empresa pasó sus inventarios de LIFO a FIFO y reexpresó 2023-2024; los ejercicios 2016-2022 siguen en LIFO (diferencias pequeñas en el margen y en el BPA). US GAAP: los arrendamientos operativos (443 M USD) quedan dentro del EBITDA y fuera de la deuda; los financieros (≈69 M) van en la deuda. El BPA es el GAAP diluido: en 2026 coincide con el ajustado que guía la empresa. Comparables con el PER adelantado de Yahoo, en la base ajustada de cada empresa (más alto que el GAAP en Carrier y Johnson Controls). Una acción cuesta 311,24 EUR al cambio del BCE del 15-oct [30].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Lennox International Inc. (LII)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348,84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(340,32 – 587,27)</c:v>
                </c:pt>
                <c:pt idx="1">
                  <c:v>Precio objetivo de los analistas (350,00 – 600,00)</c:v>
                </c:pt>
                <c:pt idx="2">
                  <c:v>Comparables: PER NTM (541,95 – 602,73)</c:v>
                </c:pt>
                <c:pt idx="3">
                  <c:v>DCF (WACC y g ± 0,5) (298,75 – 390,65)</c:v>
                </c:pt>
                <c:pt idx="4">
                  <c:v>Escenarios (bajista – alcista) (228,05 – 385,32)</c:v>
                </c:pt>
                <c:pt idx="5">
                  <c:v>DCF con la prima implícita del mercado (4,2 %)</c:v>
                </c:pt>
                <c:pt idx="6">
                  <c:v>Precio actual (348,84)</c:v>
                </c:pt>
              </c:strCache>
            </c:strRef>
          </c:cat>
          <c:val>
            <c:numRef>
              <c:f>Hoja1!$B$2:$B$8</c:f>
              <c:numCache>
                <c:formatCode>#,##0</c:formatCode>
                <c:ptCount val="7"/>
                <c:pt idx="0">
                  <c:v>340.32</c:v>
                </c:pt>
                <c:pt idx="1">
                  <c:v>350</c:v>
                </c:pt>
                <c:pt idx="2">
                  <c:v>541.95</c:v>
                </c:pt>
                <c:pt idx="3">
                  <c:v>298.75</c:v>
                </c:pt>
                <c:pt idx="4">
                  <c:v>228.05</c:v>
                </c:pt>
                <c:pt idx="5">
                  <c:v>379.51</c:v>
                </c:pt>
                <c:pt idx="6">
                  <c:v>347.1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(340,32 – 587,27)</c:v>
                </c:pt>
                <c:pt idx="1">
                  <c:v>Precio objetivo de los analistas (350,00 – 600,00)</c:v>
                </c:pt>
                <c:pt idx="2">
                  <c:v>Comparables: PER NTM (541,95 – 602,73)</c:v>
                </c:pt>
                <c:pt idx="3">
                  <c:v>DCF (WACC y g ± 0,5) (298,75 – 390,65)</c:v>
                </c:pt>
                <c:pt idx="4">
                  <c:v>Escenarios (bajista – alcista) (228,05 – 385,32)</c:v>
                </c:pt>
                <c:pt idx="5">
                  <c:v>DCF con la prima implícita del mercado (4,2 %)</c:v>
                </c:pt>
                <c:pt idx="6">
                  <c:v>Precio actual (348,84)</c:v>
                </c:pt>
              </c:strCache>
            </c:strRef>
          </c:cat>
          <c:val>
            <c:numRef>
              <c:f>Hoja1!$C$2:$C$8</c:f>
              <c:numCache>
                <c:formatCode>#,##0</c:formatCode>
                <c:ptCount val="7"/>
                <c:pt idx="0">
                  <c:v>246.95</c:v>
                </c:pt>
                <c:pt idx="1">
                  <c:v>250</c:v>
                </c:pt>
                <c:pt idx="2">
                  <c:v>60.77999999999997</c:v>
                </c:pt>
                <c:pt idx="3">
                  <c:v>91.89999999999998</c:v>
                </c:pt>
                <c:pt idx="4">
                  <c:v>157.26999999999998</c:v>
                </c:pt>
                <c:pt idx="5">
                  <c:v>78.67000000000002</c:v>
                </c:pt>
                <c:pt idx="6">
                  <c:v>3.4799999999999613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Home Comfort Solutions (residencial)</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3222.9</c:v>
                </c:pt>
                <c:pt idx="1">
                  <c:v>3577.1</c:v>
                </c:pt>
                <c:pt idx="2">
                  <c:v>3343.4</c:v>
                </c:pt>
              </c:numCache>
            </c:numRef>
          </c:val>
        </c:ser>
        <c:ser>
          <c:idx val="1"/>
          <c:order val="1"/>
          <c:tx>
            <c:strRef>
              <c:f>Hoja1!$C$1</c:f>
              <c:strCache>
                <c:ptCount val="1"/>
                <c:pt idx="0">
                  <c:v>Building Climate Solutions (comercial y refrigeración)</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1511.4</c:v>
                </c:pt>
                <c:pt idx="1">
                  <c:v>1764.2</c:v>
                </c:pt>
                <c:pt idx="2">
                  <c:v>1851.9</c:v>
                </c:pt>
              </c:numCache>
            </c:numRef>
          </c:val>
        </c:ser>
        <c:ser>
          <c:idx val="2"/>
          <c:order val="2"/>
          <c:tx>
            <c:strRef>
              <c:f>Hoja1!$D$1</c:f>
              <c:strCache>
                <c:ptCount val="1"/>
                <c:pt idx="0">
                  <c:v>Corporativo y Europa (vendida en 2023)</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247.6</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Home Comfort Solutions (residencial)</c:v>
                </c:pt>
                <c:pt idx="1">
                  <c:v>Building Climate Solutions (comercial y refrigeración)</c:v>
                </c:pt>
                <c:pt idx="2">
                  <c:v>Corporativo y Europa (vendida en 2023)</c:v>
                </c:pt>
              </c:strCache>
            </c:strRef>
          </c:cat>
          <c:val>
            <c:numRef>
              <c:f>Hoja1!$B$2:$B$4</c:f>
              <c:numCache>
                <c:formatCode>General</c:formatCode>
                <c:ptCount val="3"/>
                <c:pt idx="0">
                  <c:v>64.4</c:v>
                </c:pt>
                <c:pt idx="1">
                  <c:v>35.6</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Canadá</c:v>
                </c:pt>
              </c:strCache>
            </c:strRef>
          </c:cat>
          <c:val>
            <c:numRef>
              <c:f>Hoja1!$B$2:$B$3</c:f>
              <c:numCache>
                <c:formatCode>0"%"</c:formatCode>
                <c:ptCount val="2"/>
                <c:pt idx="0">
                  <c:v>92.8</c:v>
                </c:pt>
                <c:pt idx="1">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42200</c:v>
                </c:pt>
                <c:pt idx="1">
                  <c:v>44900</c:v>
                </c:pt>
                <c:pt idx="2">
                  <c:v>47780</c:v>
                </c:pt>
                <c:pt idx="3">
                  <c:v>50840</c:v>
                </c:pt>
                <c:pt idx="4">
                  <c:v>54090</c:v>
                </c:pt>
                <c:pt idx="5">
                  <c:v>57600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Lennox</c:v>
                </c:pt>
                <c:pt idx="1">
                  <c:v>Carrier Global</c:v>
                </c:pt>
                <c:pt idx="2">
                  <c:v>Trane Technologies</c:v>
                </c:pt>
                <c:pt idx="3">
                  <c:v>Daikin (Goodman, Amana)</c:v>
                </c:pt>
                <c:pt idx="4">
                  <c:v>Bosch (York, Luxaire, Coleman)</c:v>
                </c:pt>
                <c:pt idx="5">
                  <c:v>Paloma (Rheem, Ruud)</c:v>
                </c:pt>
                <c:pt idx="6">
                  <c:v>AAON</c:v>
                </c:pt>
              </c:strCache>
            </c:strRef>
          </c:cat>
          <c:val>
            <c:numRef>
              <c:f>Hoja1!$B$2:$B$8</c:f>
              <c:numCache>
                <c:formatCode>0.0"%"</c:formatCode>
                <c:ptCount val="7"/>
                <c:pt idx="0">
                  <c:v>20</c:v>
                </c:pt>
                <c:pt idx="1">
                  <c:v>8.1</c:v>
                </c:pt>
                <c:pt idx="2">
                  <c:v>17.8</c:v>
                </c:pt>
                <c:pt idx="6">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3641.6</c:v>
                </c:pt>
                <c:pt idx="1">
                  <c:v>3839.6</c:v>
                </c:pt>
                <c:pt idx="2">
                  <c:v>3883.9</c:v>
                </c:pt>
                <c:pt idx="3">
                  <c:v>3807.2</c:v>
                </c:pt>
                <c:pt idx="4">
                  <c:v>3634.1</c:v>
                </c:pt>
                <c:pt idx="5">
                  <c:v>4194.1</c:v>
                </c:pt>
                <c:pt idx="6">
                  <c:v>4718.4</c:v>
                </c:pt>
                <c:pt idx="7">
                  <c:v>4981.9</c:v>
                </c:pt>
                <c:pt idx="8">
                  <c:v>5341.3</c:v>
                </c:pt>
                <c:pt idx="9">
                  <c:v>5195.3</c:v>
                </c:pt>
                <c:pt idx="10">
                  <c:v>5611</c:v>
                </c:pt>
                <c:pt idx="11">
                  <c:v>5920</c:v>
                </c:pt>
                <c:pt idx="12">
                  <c:v>6216</c:v>
                </c:pt>
                <c:pt idx="13">
                  <c:v>6495</c:v>
                </c:pt>
                <c:pt idx="14">
                  <c:v>6755</c:v>
                </c:pt>
                <c:pt idx="15">
                  <c:v>6991</c:v>
                </c:pt>
                <c:pt idx="16">
                  <c:v>7201</c:v>
                </c:pt>
                <c:pt idx="17">
                  <c:v>7417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487.5</c:v>
                </c:pt>
                <c:pt idx="1">
                  <c:v>559.1</c:v>
                </c:pt>
                <c:pt idx="2">
                  <c:v>575.9</c:v>
                </c:pt>
                <c:pt idx="3">
                  <c:v>728</c:v>
                </c:pt>
                <c:pt idx="4">
                  <c:v>551.1</c:v>
                </c:pt>
                <c:pt idx="5">
                  <c:v>662.7</c:v>
                </c:pt>
                <c:pt idx="6">
                  <c:v>734.1</c:v>
                </c:pt>
                <c:pt idx="7">
                  <c:v>877.5</c:v>
                </c:pt>
                <c:pt idx="8">
                  <c:v>1135.5</c:v>
                </c:pt>
                <c:pt idx="9">
                  <c:v>1154</c:v>
                </c:pt>
                <c:pt idx="10">
                  <c:v>1223</c:v>
                </c:pt>
                <c:pt idx="11">
                  <c:v>1320</c:v>
                </c:pt>
                <c:pt idx="12">
                  <c:v>1405</c:v>
                </c:pt>
                <c:pt idx="13">
                  <c:v>1481</c:v>
                </c:pt>
                <c:pt idx="14">
                  <c:v>1540</c:v>
                </c:pt>
                <c:pt idx="15">
                  <c:v>1594</c:v>
                </c:pt>
                <c:pt idx="16">
                  <c:v>1642</c:v>
                </c:pt>
                <c:pt idx="17">
                  <c:v>1691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29.6</c:v>
                </c:pt>
                <c:pt idx="1">
                  <c:v>29.3</c:v>
                </c:pt>
                <c:pt idx="2">
                  <c:v>28.6</c:v>
                </c:pt>
                <c:pt idx="3">
                  <c:v>28.4</c:v>
                </c:pt>
                <c:pt idx="4">
                  <c:v>28.6</c:v>
                </c:pt>
                <c:pt idx="5">
                  <c:v>28.3</c:v>
                </c:pt>
                <c:pt idx="6">
                  <c:v>27.2</c:v>
                </c:pt>
                <c:pt idx="7">
                  <c:v>31.1</c:v>
                </c:pt>
                <c:pt idx="8">
                  <c:v>33.3</c:v>
                </c:pt>
                <c:pt idx="9">
                  <c:v>33.4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13.4</c:v>
                </c:pt>
                <c:pt idx="1">
                  <c:v>14.6</c:v>
                </c:pt>
                <c:pt idx="2">
                  <c:v>14.8</c:v>
                </c:pt>
                <c:pt idx="3">
                  <c:v>19.1</c:v>
                </c:pt>
                <c:pt idx="4">
                  <c:v>15.2</c:v>
                </c:pt>
                <c:pt idx="5">
                  <c:v>15.8</c:v>
                </c:pt>
                <c:pt idx="6">
                  <c:v>15.6</c:v>
                </c:pt>
                <c:pt idx="7">
                  <c:v>17.6</c:v>
                </c:pt>
                <c:pt idx="8">
                  <c:v>21.3</c:v>
                </c:pt>
                <c:pt idx="9">
                  <c:v>22.2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11.8</c:v>
                </c:pt>
                <c:pt idx="1">
                  <c:v>12.9</c:v>
                </c:pt>
                <c:pt idx="2">
                  <c:v>13.1</c:v>
                </c:pt>
                <c:pt idx="3">
                  <c:v>17.3</c:v>
                </c:pt>
                <c:pt idx="4">
                  <c:v>13.2</c:v>
                </c:pt>
                <c:pt idx="5">
                  <c:v>14.1</c:v>
                </c:pt>
                <c:pt idx="6">
                  <c:v>13.9</c:v>
                </c:pt>
                <c:pt idx="7">
                  <c:v>15.9</c:v>
                </c:pt>
                <c:pt idx="8">
                  <c:v>19.5</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7.6</c:v>
                </c:pt>
                <c:pt idx="1">
                  <c:v>8</c:v>
                </c:pt>
                <c:pt idx="2">
                  <c:v>9.2</c:v>
                </c:pt>
                <c:pt idx="3">
                  <c:v>10.7</c:v>
                </c:pt>
                <c:pt idx="4">
                  <c:v>9.8</c:v>
                </c:pt>
                <c:pt idx="5">
                  <c:v>11.1</c:v>
                </c:pt>
                <c:pt idx="6">
                  <c:v>10.5</c:v>
                </c:pt>
                <c:pt idx="7">
                  <c:v>11.9</c:v>
                </c:pt>
                <c:pt idx="8">
                  <c:v>15.2</c:v>
                </c:pt>
                <c:pt idx="9">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-4.8</c:v>
                </c:pt>
                <c:pt idx="5">
                  <c:v>-11.2</c:v>
                </c:pt>
                <c:pt idx="6">
                  <c:v>5.8</c:v>
                </c:pt>
                <c:pt idx="7">
                  <c:v>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c:v>
                </c:pt>
                <c:pt idx="1">
                  <c:v>48</c:v>
                </c:pt>
                <c:pt idx="2">
                  <c:v>44</c:v>
                </c:pt>
                <c:pt idx="3">
                  <c:v>46</c:v>
                </c:pt>
                <c:pt idx="4">
                  <c:v>45</c:v>
                </c:pt>
                <c:pt idx="5">
                  <c:v>44</c:v>
                </c:pt>
                <c:pt idx="6">
                  <c:v>47</c:v>
                </c:pt>
                <c:pt idx="7">
                  <c:v>44</c:v>
                </c:pt>
                <c:pt idx="8">
                  <c:v>45</c:v>
                </c:pt>
                <c:pt idx="9">
                  <c:v>41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60</c:v>
                </c:pt>
                <c:pt idx="1">
                  <c:v>65</c:v>
                </c:pt>
                <c:pt idx="2">
                  <c:v>67</c:v>
                </c:pt>
                <c:pt idx="3">
                  <c:v>73</c:v>
                </c:pt>
                <c:pt idx="4">
                  <c:v>62</c:v>
                </c:pt>
                <c:pt idx="5">
                  <c:v>62</c:v>
                </c:pt>
                <c:pt idx="6">
                  <c:v>80</c:v>
                </c:pt>
                <c:pt idx="7">
                  <c:v>90</c:v>
                </c:pt>
                <c:pt idx="8">
                  <c:v>87</c:v>
                </c:pt>
                <c:pt idx="9">
                  <c:v>122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47</c:v>
                </c:pt>
                <c:pt idx="2">
                  <c:v>57</c:v>
                </c:pt>
                <c:pt idx="3">
                  <c:v>50</c:v>
                </c:pt>
                <c:pt idx="4">
                  <c:v>48</c:v>
                </c:pt>
                <c:pt idx="5">
                  <c:v>49</c:v>
                </c:pt>
                <c:pt idx="6">
                  <c:v>45</c:v>
                </c:pt>
                <c:pt idx="7">
                  <c:v>40</c:v>
                </c:pt>
                <c:pt idx="8">
                  <c:v>50</c:v>
                </c:pt>
                <c:pt idx="9">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289.59999999999997</c:v>
                </c:pt>
                <c:pt idx="1">
                  <c:v>226.8</c:v>
                </c:pt>
                <c:pt idx="2">
                  <c:v>400.3</c:v>
                </c:pt>
                <c:pt idx="3">
                  <c:v>284.1</c:v>
                </c:pt>
                <c:pt idx="4">
                  <c:v>523.1</c:v>
                </c:pt>
                <c:pt idx="5">
                  <c:v>396.4</c:v>
                </c:pt>
                <c:pt idx="6">
                  <c:v>187.60000000000002</c:v>
                </c:pt>
                <c:pt idx="7">
                  <c:v>470.20000000000005</c:v>
                </c:pt>
                <c:pt idx="8">
                  <c:v>764.8000000000001</c:v>
                </c:pt>
                <c:pt idx="9">
                  <c:v>617.0000000000001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277.8</c:v>
                </c:pt>
                <c:pt idx="1">
                  <c:v>305.7</c:v>
                </c:pt>
                <c:pt idx="2">
                  <c:v>359</c:v>
                </c:pt>
                <c:pt idx="3">
                  <c:v>408.7</c:v>
                </c:pt>
                <c:pt idx="4">
                  <c:v>356.3</c:v>
                </c:pt>
                <c:pt idx="5">
                  <c:v>464</c:v>
                </c:pt>
                <c:pt idx="6">
                  <c:v>497.1</c:v>
                </c:pt>
                <c:pt idx="7">
                  <c:v>591.2</c:v>
                </c:pt>
                <c:pt idx="8">
                  <c:v>811.1</c:v>
                </c:pt>
                <c:pt idx="9">
                  <c:v>805.8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34.7</c:v>
                </c:pt>
                <c:pt idx="1">
                  <c:v>35.5</c:v>
                </c:pt>
                <c:pt idx="2">
                  <c:v>42.9</c:v>
                </c:pt>
                <c:pt idx="3">
                  <c:v>58.5</c:v>
                </c:pt>
                <c:pt idx="4">
                  <c:v>42.6</c:v>
                </c:pt>
                <c:pt idx="5">
                  <c:v>55</c:v>
                </c:pt>
                <c:pt idx="6">
                  <c:v>48</c:v>
                </c:pt>
                <c:pt idx="7">
                  <c:v>43.6</c:v>
                </c:pt>
                <c:pt idx="8">
                  <c:v>50.7</c:v>
                </c:pt>
                <c:pt idx="9">
                  <c:v>40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731.1</c:v>
                </c:pt>
                <c:pt idx="1">
                  <c:v>694</c:v>
                </c:pt>
                <c:pt idx="2">
                  <c:v>-721.6</c:v>
                </c:pt>
                <c:pt idx="3">
                  <c:v>-255.6</c:v>
                </c:pt>
                <c:pt idx="4">
                  <c:v>-380.5</c:v>
                </c:pt>
                <c:pt idx="5">
                  <c:v>-324.4</c:v>
                </c:pt>
                <c:pt idx="6">
                  <c:v>-210.6</c:v>
                </c:pt>
                <c:pt idx="7">
                  <c:v>622.6</c:v>
                </c:pt>
                <c:pt idx="8">
                  <c:v>119.7</c:v>
                </c:pt>
                <c:pt idx="9">
                  <c:v>75.8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1.68</c:v>
                </c:pt>
                <c:pt idx="1">
                  <c:v>1.67</c:v>
                </c:pt>
                <c:pt idx="2">
                  <c:v>1.73</c:v>
                </c:pt>
                <c:pt idx="3">
                  <c:v>1.56</c:v>
                </c:pt>
                <c:pt idx="4">
                  <c:v>1.55</c:v>
                </c:pt>
                <c:pt idx="5">
                  <c:v>1.82</c:v>
                </c:pt>
                <c:pt idx="6">
                  <c:v>2.01</c:v>
                </c:pt>
                <c:pt idx="7">
                  <c:v>1.42</c:v>
                </c:pt>
                <c:pt idx="8">
                  <c:v>0.65</c:v>
                </c:pt>
                <c:pt idx="9">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432.1</c:v>
                </c:pt>
                <c:pt idx="1">
                  <c:v>600</c:v>
                </c:pt>
                <c:pt idx="2">
                  <c:v>500</c:v>
                </c:pt>
                <c:pt idx="3">
                  <c:v>50.6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94.9</c:v>
                </c:pt>
                <c:pt idx="8">
                  <c:v>0</c:v>
                </c:pt>
                <c:pt idx="9">
                  <c:v>545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69</c:v>
                </c:pt>
                <c:pt idx="1">
                  <c:v>79.7</c:v>
                </c:pt>
                <c:pt idx="2">
                  <c:v>93.9</c:v>
                </c:pt>
                <c:pt idx="3">
                  <c:v>110.5</c:v>
                </c:pt>
                <c:pt idx="4">
                  <c:v>118.1</c:v>
                </c:pt>
                <c:pt idx="5">
                  <c:v>126.5</c:v>
                </c:pt>
                <c:pt idx="6">
                  <c:v>142</c:v>
                </c:pt>
                <c:pt idx="7">
                  <c:v>153.4</c:v>
                </c:pt>
                <c:pt idx="8">
                  <c:v>160.3</c:v>
                </c:pt>
                <c:pt idx="9">
                  <c:v>173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300</c:v>
                </c:pt>
                <c:pt idx="1">
                  <c:v>250</c:v>
                </c:pt>
                <c:pt idx="2">
                  <c:v>450.2</c:v>
                </c:pt>
                <c:pt idx="3">
                  <c:v>400</c:v>
                </c:pt>
                <c:pt idx="4">
                  <c:v>100</c:v>
                </c:pt>
                <c:pt idx="5">
                  <c:v>600</c:v>
                </c:pt>
                <c:pt idx="6">
                  <c:v>300</c:v>
                </c:pt>
                <c:pt idx="7">
                  <c:v>0</c:v>
                </c:pt>
                <c:pt idx="8">
                  <c:v>53.6</c:v>
                </c:pt>
                <c:pt idx="9">
                  <c:v>482.3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John W. Norris, III y fideicomisos de la familia Norris</c:v>
                </c:pt>
                <c:pt idx="2">
                  <c:v>Capital International Investors</c:v>
                </c:pt>
                <c:pt idx="3">
                  <c:v>BlackRock, Inc.</c:v>
                </c:pt>
                <c:pt idx="4">
                  <c:v>Consejeros y directivos (16 personas)</c:v>
                </c:pt>
              </c:strCache>
            </c:strRef>
          </c:cat>
          <c:val>
            <c:numRef>
              <c:f>Hoja1!$B$2:$B$6</c:f>
              <c:numCache>
                <c:formatCode>0.0"%"</c:formatCode>
                <c:ptCount val="5"/>
                <c:pt idx="0">
                  <c:v>11.2</c:v>
                </c:pt>
                <c:pt idx="1">
                  <c:v>9.3</c:v>
                </c:pt>
                <c:pt idx="2">
                  <c:v>8.5</c:v>
                </c:pt>
                <c:pt idx="3">
                  <c:v>8.2</c:v>
                </c:pt>
                <c:pt idx="4">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c:v>
                </c:pt>
                <c:pt idx="1">
                  <c:v>37.4</c:v>
                </c:pt>
                <c:pt idx="2">
                  <c:v>6.3</c:v>
                </c:pt>
                <c:pt idx="3">
                  <c:v>12.8</c:v>
                </c:pt>
                <c:pt idx="4">
                  <c:v>13.8</c:v>
                </c:pt>
                <c:pt idx="5">
                  <c:v>19.7</c:v>
                </c:pt>
                <c:pt idx="6">
                  <c:v>-24.9</c:v>
                </c:pt>
                <c:pt idx="7">
                  <c:v>89.5</c:v>
                </c:pt>
                <c:pt idx="8">
                  <c:v>37.3</c:v>
                </c:pt>
                <c:pt idx="9">
                  <c:v>-19.5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15.5</c:v>
                </c:pt>
                <c:pt idx="1">
                  <c:v>17.6</c:v>
                </c:pt>
                <c:pt idx="2">
                  <c:v>17.3</c:v>
                </c:pt>
                <c:pt idx="3">
                  <c:v>14.8</c:v>
                </c:pt>
                <c:pt idx="4">
                  <c:v>20.7</c:v>
                </c:pt>
                <c:pt idx="5">
                  <c:v>20.2</c:v>
                </c:pt>
                <c:pt idx="6">
                  <c:v>13.7</c:v>
                </c:pt>
                <c:pt idx="7">
                  <c:v>19.6</c:v>
                </c:pt>
                <c:pt idx="8">
                  <c:v>19.9</c:v>
                </c:pt>
                <c:pt idx="9">
                  <c:v>16.1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17.5</c:v>
                </c:pt>
                <c:pt idx="1">
                  <c:v>17.5</c:v>
                </c:pt>
                <c:pt idx="2">
                  <c:v>17.5</c:v>
                </c:pt>
                <c:pt idx="3">
                  <c:v>17.5</c:v>
                </c:pt>
                <c:pt idx="4">
                  <c:v>17.5</c:v>
                </c:pt>
                <c:pt idx="5">
                  <c:v>17.5</c:v>
                </c:pt>
                <c:pt idx="6">
                  <c:v>17.5</c:v>
                </c:pt>
                <c:pt idx="7">
                  <c:v>17.5</c:v>
                </c:pt>
                <c:pt idx="8">
                  <c:v>17.5</c:v>
                </c:pt>
                <c:pt idx="9">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Heat Controller (Comfort-Aire, Century)</c:v>
                </c:pt>
                <c:pt idx="1">
                  <c:v>Duro Dyne y Supco</c:v>
                </c:pt>
                <c:pt idx="2">
                  <c:v>Residencial y comercial ligero de Johnson Controls y Johnson Controls-Hitachi</c:v>
                </c:pt>
                <c:pt idx="3">
                  <c:v>Viessmann Climate Solutions</c:v>
                </c:pt>
                <c:pt idx="4">
                  <c:v>AES Industries y AES Mechanical</c:v>
                </c:pt>
              </c:strCache>
            </c:strRef>
          </c:cat>
          <c:val>
            <c:numRef>
              <c:f>Hoja1!$B$2:$B$6</c:f>
              <c:numCache>
                <c:formatCode>0.0"x"</c:formatCode>
                <c:ptCount val="5"/>
                <c:pt idx="3">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777</c:v>
                </c:pt>
                <c:pt idx="1">
                  <c:v>870</c:v>
                </c:pt>
                <c:pt idx="2">
                  <c:v>926</c:v>
                </c:pt>
                <c:pt idx="3">
                  <c:v>998</c:v>
                </c:pt>
                <c:pt idx="4">
                  <c:v>1026</c:v>
                </c:pt>
                <c:pt idx="5">
                  <c:v>1076</c:v>
                </c:pt>
                <c:pt idx="6">
                  <c:v>1115</c:v>
                </c:pt>
                <c:pt idx="7">
                  <c:v>1149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5173</c:v>
                </c:pt>
                <c:pt idx="1">
                  <c:v>8317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348,84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228.05</c:v>
                </c:pt>
                <c:pt idx="1">
                  <c:v>338.34</c:v>
                </c:pt>
                <c:pt idx="2">
                  <c:v>385.32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348,84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(340,32 – 587,27)</c:v>
                </c:pt>
                <c:pt idx="1">
                  <c:v>Precio objetivo de los analistas (350,00 – 600,00)</c:v>
                </c:pt>
                <c:pt idx="2">
                  <c:v>Comparables: PER NTM (541,95 – 602,73)</c:v>
                </c:pt>
                <c:pt idx="3">
                  <c:v>DCF (WACC y g ± 0,5) (298,75 – 390,65)</c:v>
                </c:pt>
                <c:pt idx="4">
                  <c:v>Escenarios (bajista – alcista) (228,05 – 385,32)</c:v>
                </c:pt>
                <c:pt idx="5">
                  <c:v>DCF con la prima implícita del mercado (4,2 %)</c:v>
                </c:pt>
                <c:pt idx="6">
                  <c:v>Precio actual (348,84)</c:v>
                </c:pt>
              </c:strCache>
            </c:strRef>
          </c:cat>
          <c:val>
            <c:numRef>
              <c:f>Hoja1!$B$2:$B$8</c:f>
              <c:numCache>
                <c:formatCode>#,##0</c:formatCode>
                <c:ptCount val="7"/>
                <c:pt idx="0">
                  <c:v>340.32</c:v>
                </c:pt>
                <c:pt idx="1">
                  <c:v>350</c:v>
                </c:pt>
                <c:pt idx="2">
                  <c:v>541.95</c:v>
                </c:pt>
                <c:pt idx="3">
                  <c:v>298.75</c:v>
                </c:pt>
                <c:pt idx="4">
                  <c:v>228.05</c:v>
                </c:pt>
                <c:pt idx="5">
                  <c:v>379.51</c:v>
                </c:pt>
                <c:pt idx="6">
                  <c:v>347.1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(340,32 – 587,27)</c:v>
                </c:pt>
                <c:pt idx="1">
                  <c:v>Precio objetivo de los analistas (350,00 – 600,00)</c:v>
                </c:pt>
                <c:pt idx="2">
                  <c:v>Comparables: PER NTM (541,95 – 602,73)</c:v>
                </c:pt>
                <c:pt idx="3">
                  <c:v>DCF (WACC y g ± 0,5) (298,75 – 390,65)</c:v>
                </c:pt>
                <c:pt idx="4">
                  <c:v>Escenarios (bajista – alcista) (228,05 – 385,32)</c:v>
                </c:pt>
                <c:pt idx="5">
                  <c:v>DCF con la prima implícita del mercado (4,2 %)</c:v>
                </c:pt>
                <c:pt idx="6">
                  <c:v>Precio actual (348,84)</c:v>
                </c:pt>
              </c:strCache>
            </c:strRef>
          </c:cat>
          <c:val>
            <c:numRef>
              <c:f>Hoja1!$C$2:$C$8</c:f>
              <c:numCache>
                <c:formatCode>#,##0</c:formatCode>
                <c:ptCount val="7"/>
                <c:pt idx="0">
                  <c:v>246.95</c:v>
                </c:pt>
                <c:pt idx="1">
                  <c:v>250</c:v>
                </c:pt>
                <c:pt idx="2">
                  <c:v>60.77999999999997</c:v>
                </c:pt>
                <c:pt idx="3">
                  <c:v>91.89999999999998</c:v>
                </c:pt>
                <c:pt idx="4">
                  <c:v>157.26999999999998</c:v>
                </c:pt>
                <c:pt idx="5">
                  <c:v>78.67000000000002</c:v>
                </c:pt>
                <c:pt idx="6">
                  <c:v>3.4799999999999613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