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Marathon Petroleum Corporation</w:t>
      </w:r>
    </w:p>
    <w:p>
      <w:pPr>
        <w:spacing w:after="60"/>
        <w:rPr>
          <w:color w:val="52514E"/>
          <w:sz w:val="22"/>
          <w:szCs w:val="22"/>
        </w:rPr>
      </w:pPr>
      <w:r>
        <w:rPr>
          <w:color w:val="52514E"/>
          <w:sz w:val="22"/>
          <w:szCs w:val="22"/>
        </w:rPr>
        <w:t xml:space="preserve">MPC · Bolsa de Nueva York (NYSE) · ISIN US56585A1025 · Energía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484,92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347,36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-27,6 % (base -32,0 %)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337,56 USD · mercado 391,92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136.263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Marathon Petroleum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MPC / US56585A1025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Nueva York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Energía / Refino y comercialización de petróleo y gas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Findlay (Ohio) · 2011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www.marathonpetroleum.com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484,92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161,93 – 485,22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136.263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183.973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937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347,36 USD</w:t>
      </w:r>
      <w:r>
        <w:t xml:space="preserve"> frente a 484,92 · Rentabilidad a 12 meses </w:t>
      </w:r>
      <w:r>
        <w:rPr>
          <w:b/>
          <w:bCs/>
        </w:rPr>
        <w:t xml:space="preserve">-27,6 % (base -32,0 %)</w:t>
      </w:r>
      <w:r>
        <w:t xml:space="preserve"> · Valor intrínseco 337,56 USD · con la prima implícita del mercado: 391,92 (-19,2 %) · Alcista / bajista -0,4 % / -61,6 %</w:t>
      </w:r>
    </w:p>
    <w:p>
      <w:pPr>
        <w:spacing w:after="100"/>
      </w:pPr>
      <w:r>
        <w:rPr>
          <w:b/>
        </w:rPr>
        <w:t xml:space="preserve">La recomendación y por qué.</w:t>
      </w:r>
      <w:r>
        <w:t xml:space="preserve"> Vender, con convicción media. El objetivo a 12 meses es de 347,36 USD y el valor intrínseco de 337,56, frente a un precio de 484,92 (cierre del 14-oct) y un objetivo medio de los analistas de 442,33, también por debajo. La rentabilidad a 12 meses es del −27,6 % ponderada y del −32,0 % en el caso base; ni el escenario alcista (+11,9 % a 12 meses) compensa el bajista (−58,9 %). La razón: el precio paga como permanente un margen de refino de guerra. El motor sugiere convicción alta; la bajamos a media porque no sabemos cuándo se normaliza el margen y el 3 de noviembre MPC publicará un trimestre récord (consenso ≈25 USD por acción). Subiría si el diferencial del diésel baja de 60 USD/barril con la acción por encima de 400 USD; bajaría si Ormuz sigue cerrado en 2027.</w:t>
      </w:r>
    </w:p>
    <w:p>
      <w:pPr>
        <w:spacing w:after="100"/>
      </w:pPr>
      <w:r>
        <w:rPr>
          <w:b/>
        </w:rPr>
        <w:t xml:space="preserve">El negocio.</w:t>
      </w:r>
      <w:r>
        <w:t xml:space="preserve"> MPC es el mayor refinador de EE. UU. (2.986 mbpcd, ≈16 % del país) y controla MPLX (64 %), un midstream estable que da la mitad del EBITDA en un año normal [1, 10]. Captura más margen que la referencia (105 % en 2025, 112 % en el 2T26), pero crea poco valor a lo largo del ciclo: ROIC del 13,6 % en 2025 frente a un WACC del 9,47 %, por debajo de los 5 puntos que pedimos. Sostenibilidad: </w:t>
      </w:r>
      <w:r>
        <w:rPr>
          <w:b/>
        </w:rPr>
        <w:t xml:space="preserve">En parte</w:t>
      </w:r>
      <w:r>
        <w:t xml:space="preserve">. La proyección no exige inversión, pero el beneficio de hoy no se sostiene: el EBITDA de R&amp;M de 24,84 USD por barril del 2T26 es cuatro veces el de 2025 y nace de un choque de oferta, no de un foso [3].</w:t>
      </w:r>
    </w:p>
    <w:p>
      <w:pPr>
        <w:spacing w:after="100"/>
      </w:pPr>
      <w:r>
        <w:rPr>
          <w:b/>
        </w:rPr>
        <w:t xml:space="preserve">Sector y ciclo.</w:t>
      </w:r>
      <w:r>
        <w:t xml:space="preserve"> El refino está en el pico: Ormuz cerrado durante meses, refinerías dañadas en Oriente Medio y Rusia y el diésel por encima de 100 USD/barril de diferencial (15-25 USD antes de la crisis) [11, 12]. Tras el pico de 2022 el margen de MPC bajó de 23,00 USD/barril en 2023 a 16,01 en 2024 [1].</w:t>
      </w:r>
    </w:p>
    <w:p>
      <w:pPr>
        <w:spacing w:after="100"/>
      </w:pPr>
      <w:r>
        <w:rPr>
          <w:b/>
        </w:rPr>
        <w:t xml:space="preserve">Valoración.</w:t>
      </w:r>
      <w:r>
        <w:t xml:space="preserve"> El DCF da 342,52 USD, la suma de partes 328,61 (131 USD son las unidades de MPLX) y los escenarios 338,56. El DCF inverso dice que el precio necesita un margen EBITDA del 14,0 % para siempre (el de 2022 o 2026) frente a nuestro 11,4 % de ciclo medio. Nuestro BPA de 2028e (27,6 USD) queda un 34 % por debajo del consenso (41,96), que supone un margen un 50 % por encima de lo normal y recompras no anunciadas. Con la prima del mercado el valor sube a 391,92 USD, aún un 19,2 % bajo el precio.</w:t>
      </w:r>
    </w:p>
    <w:p>
      <w:pPr>
        <w:spacing w:after="100"/>
      </w:pPr>
      <w:r>
        <w:rPr>
          <w:b/>
        </w:rPr>
        <w:t xml:space="preserve">Equipo y gobierno.</w:t>
      </w:r>
      <w:r>
        <w:t xml:space="preserve"> Dirección que ejecuta y asignó bien el capital (venta de Speedway, recompra de la mitad de las acciones a 60-150 USD), pero los directivos venden (13,9 M en 12 meses, sin compras) y el consejo sigue clasificado [20, 23].</w:t>
      </w:r>
    </w:p>
    <w:p>
      <w:pPr>
        <w:spacing w:after="100"/>
      </w:pPr>
      <w:r>
        <w:rPr>
          <w:b/>
        </w:rPr>
        <w:t xml:space="preserve">Riesgos y catalizadores.</w:t>
      </w:r>
      <w:r>
        <w:t xml:space="preserve"> El riesgo es la normalización del margen (bajista de 186,06 USD) y la prohibición de exportar diésel que estudia el gobierno [36]. A favor, el 3T y un 2027 aún tenso. Los foros están eufóricos y nadie discute el margen de ciclo medio: es una señal de techo.</w:t>
      </w:r>
    </w:p>
    <w:p>
      <w:pPr>
        <w:spacing w:after="100"/>
      </w:pPr>
      <w:r>
        <w:rPr>
          <w:b/>
        </w:rPr>
        <w:t xml:space="preserve">Qué cambiaría la decisión.</w:t>
      </w:r>
      <w:r>
        <w:t xml:space="preserve"> Compraríamos por debajo de 294,28 USD y la regla dice vender por encima de 390,29. Pasaríamos a Mantener si el margen de R&amp;M de 2027 se confirma por encima de 25 USD/barril con Ormuz abierto, o si la empresa sube su guía de MPLX. Para no tenerla, no hace falta más.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Objetivo a 12 meses: </w:t>
      </w:r>
      <w:r>
        <w:rPr>
          <w:b/>
          <w:bCs/>
        </w:rPr>
        <w:t xml:space="preserve">347,36 USD</w:t>
      </w:r>
      <w:r>
        <w:t xml:space="preserve"> (rentabilidad -27,6 % (base -32,0 %)) · Valor intrínseco: 337,56 USD (-30,4 % sobre 484,92) · con la prima implícita del mercado: 391,92 (-19,2 %)</w:t>
      </w:r>
    </w:p>
    <w:p>
      <w:pPr>
        <w:spacing w:after="100"/>
      </w:pPr>
      <w:r>
        <w:t xml:space="preserve">Marathon Petroleum es el mayor refinador de EE. UU. y el dueño del 64 % de MPLX. En un año normal gana unos 4.000 M (13,22 USD por acción en 2025) y el midstream aporta la mitad del EBITDA [1]. En 2026 la guerra con Irán ha llevado su margen de R&amp;M a 36,33 USD por barril y el BPA del 1S26 a 19,30 USD [3].</w:t>
      </w:r>
    </w:p>
    <w:p>
      <w:pPr>
        <w:spacing w:after="100"/>
      </w:pPr>
      <w:r>
        <w:t xml:space="preserve">El precio (484,92 USD) es 11,1 veces nuestro BPA de 2027 y 17,6 veces nuestro BPA de ciclo medio de 2028. El DCF inverso pide un margen EBITDA del 14,0 % para siempre frente al 11,4 % de ciclo medio. Los analistas, con un objetivo de 442,33 USD, también están por debajo [26].</w:t>
      </w:r>
    </w:p>
    <w:p>
      <w:pPr>
        <w:spacing w:after="100"/>
      </w:pPr>
      <w:r>
        <w:t xml:space="preserve">Para invertir hay que creer que el choque de oferta se convierte en el nuevo nivel: que Ormuz no se normaliza, que las refinerías dañadas no vuelven y que Rusia sigue fuera. La historia de los picos (2008, 2022) dice que duran 12-24 meses. Creemos que el mercado extrapola un margen extraordinario y que la acción ya ha cobrado lo que el ciclo podía dar.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21,00 = 199,50 · 11,8x × 27,60 = 325,68 · 13,2x × 40,80 = 538,56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 / -32,0 %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442,33 (nuestro base -26,4 %)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337,56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 / -61,6 %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9,5 %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391,92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 frente a -0,5 %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-29,6 % (-18,4 % con la prima del mercado) y el precio pide 5,8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294,28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294,28 y 390,29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390,29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acción baja de 294,28 USD con el mismo análisis, pasaría a Comprar (si además la calidad lo permite).</w:t>
      </w:r>
    </w:p>
    <w:p>
      <w:pPr>
        <w:pStyle w:val="ListParagraph"/>
        <w:numPr>
          <w:ilvl w:val="0"/>
          <w:numId w:val="2"/>
        </w:numPr>
        <w:spacing w:after="60"/>
      </w:pPr>
      <w:r>
        <w:t xml:space="preserve">Si el margen de R&amp;M de 2027 se mantiene por encima de 25 USD/barril con Ormuz abierto, subiríamos el BPA de ciclo medio y pasaríamos a Mantener.</w:t>
      </w:r>
    </w:p>
    <w:p>
      <w:pPr>
        <w:pStyle w:val="ListParagraph"/>
        <w:numPr>
          <w:ilvl w:val="0"/>
          <w:numId w:val="2"/>
        </w:numPr>
        <w:spacing w:after="60"/>
      </w:pPr>
      <w:r>
        <w:t xml:space="preserve">Si se aprueba una prohibición de exportar diésel de más de 90 días, bajaríamos el margen de la costa del Golfo.</w:t>
      </w:r>
    </w:p>
    <w:p>
      <w:pPr>
        <w:pStyle w:val="ListParagraph"/>
        <w:numPr>
          <w:ilvl w:val="0"/>
          <w:numId w:val="2"/>
        </w:numPr>
        <w:spacing w:after="60"/>
      </w:pPr>
      <w:r>
        <w:t xml:space="preserve">Si MPC vende o escinde parte de MPLX a un precio superior al de mercado, revisaríamos la suma de partes.</w:t>
      </w:r>
    </w:p>
    <w:p>
      <w:pPr>
        <w:pStyle w:val="Heading2"/>
      </w:pPr>
      <w:r>
        <w:t xml:space="preserve">Dónde discrepamos del mercado</w:t>
      </w:r>
    </w:p>
    <w:p>
      <w:pPr>
        <w:keepNext/>
        <w:spacing w:after="100"/>
      </w:pPr>
      <w:r>
        <w:rPr>
          <w:b/>
          <w:bCs/>
        </w:rPr>
        <w:t xml:space="preserve">Lo que descuenta el precio.</w:t>
      </w:r>
    </w:p>
    <w:p>
      <w:pPr>
        <w:spacing w:after="100"/>
      </w:pPr>
      <w:r>
        <w:t xml:space="preserve">Un margen de refino muy alto durante varios años: el precio equivale a un margen EBITDA del 14 % permanente (el de 2022 o 2026), y el consenso aún espera un BPA de 41,96 USD en 2028, un 50 % por encima de un año normal [26].</w:t>
      </w:r>
    </w:p>
    <w:p>
      <w:pPr>
        <w:keepNext/>
        <w:spacing w:after="100"/>
      </w:pPr>
      <w:r>
        <w:rPr>
          <w:b/>
          <w:bCs/>
        </w:rPr>
        <w:t xml:space="preserve">Lo que creemos nosotros.</w:t>
      </w:r>
    </w:p>
    <w:p>
      <w:pPr>
        <w:spacing w:after="100"/>
      </w:pPr>
      <w:r>
        <w:t xml:space="preserve">Normalización en 2027-2028: BPA de 43,6 USD en 2027 y de 27,6 USD en 2028 con un EBITDA de R&amp;M de ≈9,5 USD por barril, algo mejor que 2024-2025 por los cierres de capacidad. Con eso la acción vale ≈340 USD.</w:t>
      </w:r>
    </w:p>
    <w:p>
      <w:pPr>
        <w:keepNext/>
        <w:spacing w:after="100"/>
      </w:pPr>
      <w:r>
        <w:rPr>
          <w:b/>
          <w:bCs/>
        </w:rPr>
        <w:t xml:space="preserve">Por qué podemos tener razón.</w:t>
      </w:r>
    </w:p>
    <w:p>
      <w:pPr>
        <w:spacing w:after="100"/>
      </w:pPr>
      <w:r>
        <w:t xml:space="preserve">Los picos de oferta del refino se cierran: tras 2022 el margen de MPC bajó un 30 % en un año [1]. Las refinerías dañadas se reparan, Ormuz ya no está en guerra abierta desde junio y el gobierno de EE. UU. quiere bajar el precio del diésel [35, 36].</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84,9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Margen récord</w:t>
      </w:r>
      <w:r>
        <w:t xml:space="preserve">: 36,33 USD por barril en el 2T26 y un 3T todavía más alto [3, 11].</w:t>
      </w:r>
    </w:p>
    <w:p>
      <w:pPr>
        <w:pStyle w:val="ListParagraph"/>
        <w:numPr>
          <w:ilvl w:val="0"/>
          <w:numId w:val="2"/>
        </w:numPr>
        <w:spacing w:after="60"/>
      </w:pPr>
      <w:r>
        <w:rPr>
          <w:b/>
        </w:rPr>
        <w:t xml:space="preserve">MPLX</w:t>
      </w:r>
      <w:r>
        <w:t xml:space="preserve">: 647 M de unidades que valen ≈131 USD por acción y suben la distribución un 12,5 % al año [4].</w:t>
      </w:r>
    </w:p>
    <w:p>
      <w:pPr>
        <w:pStyle w:val="ListParagraph"/>
        <w:numPr>
          <w:ilvl w:val="0"/>
          <w:numId w:val="2"/>
        </w:numPr>
        <w:spacing w:after="60"/>
      </w:pPr>
      <w:r>
        <w:rPr>
          <w:b/>
        </w:rPr>
        <w:t xml:space="preserve">Recompras</w:t>
      </w:r>
      <w:r>
        <w:t xml:space="preserve">: 6.130 M autorizados; las acciones han bajado de 638 M a 281 M desde 2021 [4].</w:t>
      </w:r>
    </w:p>
    <w:p>
      <w:pPr>
        <w:pStyle w:val="ListParagraph"/>
        <w:numPr>
          <w:ilvl w:val="0"/>
          <w:numId w:val="2"/>
        </w:numPr>
        <w:spacing w:after="60"/>
      </w:pPr>
      <w:r>
        <w:rPr>
          <w:b/>
        </w:rPr>
        <w:t xml:space="preserve">Mejor operador</w:t>
      </w:r>
      <w:r>
        <w:t xml:space="preserve">: captura del 105-112 % del margen de referencia y utilización del 94 % [3].</w:t>
      </w:r>
    </w:p>
    <w:p>
      <w:pPr>
        <w:pStyle w:val="ListParagraph"/>
        <w:numPr>
          <w:ilvl w:val="0"/>
          <w:numId w:val="2"/>
        </w:numPr>
        <w:spacing w:after="60"/>
      </w:pPr>
      <w:r>
        <w:rPr>
          <w:b/>
        </w:rPr>
        <w:t xml:space="preserve">Capacidad que cierra en EE. UU.</w:t>
      </w:r>
      <w:r>
        <w:t xml:space="preserve">: −1 % en 2025 y más en 2026; ninguna refinería nueva desde 1977 [10].</w:t>
      </w:r>
    </w:p>
    <w:p>
      <w:pPr>
        <w:pStyle w:val="Heading2"/>
      </w:pPr>
      <w:r>
        <w:t xml:space="preserve">En contra</w:t>
      </w:r>
    </w:p>
    <w:p>
      <w:pPr>
        <w:pStyle w:val="ListParagraph"/>
        <w:numPr>
          <w:ilvl w:val="0"/>
          <w:numId w:val="2"/>
        </w:numPr>
        <w:spacing w:after="60"/>
      </w:pPr>
      <w:r>
        <w:rPr>
          <w:b/>
        </w:rPr>
        <w:t xml:space="preserve">Beneficio de pico</w:t>
      </w:r>
      <w:r>
        <w:t xml:space="preserve">: el BPA de 2026 (≈59 USD) es cuatro veces el de 2025 (13,22) y no se repetirá.</w:t>
      </w:r>
    </w:p>
    <w:p>
      <w:pPr>
        <w:pStyle w:val="ListParagraph"/>
        <w:numPr>
          <w:ilvl w:val="0"/>
          <w:numId w:val="2"/>
        </w:numPr>
        <w:spacing w:after="60"/>
      </w:pPr>
      <w:r>
        <w:rPr>
          <w:b/>
        </w:rPr>
        <w:t xml:space="preserve">El precio pide un margen del 14 % para siempre</w:t>
      </w:r>
      <w:r>
        <w:t xml:space="preserve"> frente al 11,4 % de ciclo medio.</w:t>
      </w:r>
    </w:p>
    <w:p>
      <w:pPr>
        <w:pStyle w:val="ListParagraph"/>
        <w:numPr>
          <w:ilvl w:val="0"/>
          <w:numId w:val="2"/>
        </w:numPr>
        <w:spacing w:after="60"/>
      </w:pPr>
      <w:r>
        <w:rPr>
          <w:b/>
        </w:rPr>
        <w:t xml:space="preserve">Calidad justa</w:t>
      </w:r>
      <w:r>
        <w:t xml:space="preserve">: ROIC del 13,6 % en 2025 frente a un WACC del 9,47 %.</w:t>
      </w:r>
    </w:p>
    <w:p>
      <w:pPr>
        <w:pStyle w:val="ListParagraph"/>
        <w:numPr>
          <w:ilvl w:val="0"/>
          <w:numId w:val="2"/>
        </w:numPr>
        <w:spacing w:after="60"/>
      </w:pPr>
      <w:r>
        <w:rPr>
          <w:b/>
        </w:rPr>
        <w:t xml:space="preserve">Riesgo regulatorio</w:t>
      </w:r>
      <w:r>
        <w:t xml:space="preserve">: posible prohibición de exportar diésel [36].</w:t>
      </w:r>
    </w:p>
    <w:p>
      <w:pPr>
        <w:pStyle w:val="ListParagraph"/>
        <w:numPr>
          <w:ilvl w:val="0"/>
          <w:numId w:val="2"/>
        </w:numPr>
        <w:spacing w:after="60"/>
      </w:pPr>
      <w:r>
        <w:rPr>
          <w:b/>
        </w:rPr>
        <w:t xml:space="preserve">Directivos vendedores</w:t>
      </w:r>
      <w:r>
        <w:t xml:space="preserve">: 13,9 M de ventas y ninguna compra en 12 meses [23].</w:t>
      </w:r>
    </w:p>
    <w:p>
      <w:pPr>
        <w:pStyle w:val="ListParagraph"/>
        <w:numPr>
          <w:ilvl w:val="0"/>
          <w:numId w:val="2"/>
        </w:numPr>
        <w:spacing w:after="60"/>
      </w:pPr>
      <w:r>
        <w:rPr>
          <w:b/>
        </w:rPr>
        <w:t xml:space="preserve">Los analistas ya están por debajo</w:t>
      </w:r>
      <w:r>
        <w:t xml:space="preserve">: objetivo medio de 442,33 USD [26].</w:t>
      </w:r>
    </w:p>
    <w:p>
      <w:pPr>
        <w:pStyle w:val="Heading2"/>
      </w:pPr>
      <w:r>
        <w:t xml:space="preserve">Qué tiene que pasar para que la tesis funcione</w:t>
      </w:r>
    </w:p>
    <w:p>
      <w:pPr>
        <w:spacing w:after="100"/>
      </w:pPr>
      <w:r>
        <w:t xml:space="preserve">Todo depende de cuánto dura el margen. La señal de que la tesis de normalización se cumple es el diferencial del diésel y el 3-2-1 de la costa del Golfo: si bajan de 100 y 65 USD/barril a menos de 40 y 30, el margen de R&amp;M de MPC volverá a 20 USD o menos en 2027. La señal contraria, que Ormuz siga con restricciones y las refinerías dañadas sin volver en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R&amp;M (USD/barril)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Diferencial del diésel en EE. UU. (USD/barril)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(ago-sep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del margen [12].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 de midstream (M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1.650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estable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por trimestre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(2T26, de 2.800 devueltos)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3.000 con el precio &gt; 400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cara en el pico.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Exportación de diésel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Sin restricción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Prohibición o límites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Recorta el margen del Golfo.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10,5x / 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16,8x / 7,7x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Marathon Petroleum nació en 2011 al separarse el negocio de refino de Marathon Oil, la petrolera fundada en Ohio en 1887. En 2012 sacó a bolsa MPLX para sus activos logísticos y en 2015 MPLX compró MarkWest, entrando en el gas del Marcellus. En 2018 compró Andeavor por unos 23.300 M en acciones y caja y se convirtió en el mayor refinador del país. En 2020 perdió 9.826 M con la pandemia y deterioros, y en 2021 vendió Speedway a 7-Eleven por 21.000 M, dinero que dedicó a recomprar la mitad de sus acciones. Desde 2024 la dirige Maryann Mannen, antes directora financiera.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Marathon Oil; cotiza en la Bolsa de Nueva York.</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MPLX.</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MPLX compra MarkWest: gas y LGN en el Marcellus.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Andeavor: costa oeste y mayor refinador de EE. UU.</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Pandemia: pérdida de 9.826 M con 7.394 M de deterioro del fondo de comercio.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Speedway a 7-Eleven por 21.000 M; inicio de las recompras masivas.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 de márgenes por la guerra de Ucrania: beneficio de 14.516 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Maryann Mannen, consejera delegada.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Guerra EE. UU.-Irán: margen de R&amp;M de 36,33 USD/barril en el 2T26; la acción triplica.</w:t>
            </w:r>
          </w:p>
        </w:tc>
      </w:tr>
    </w:tbl>
    <w:p>
      <w:pPr>
        <w:spacing w:after="160" w:before="0"/>
      </w:pPr>
    </w:p>
    <w:p>
      <w:pPr>
        <w:pStyle w:val="Heading1"/>
      </w:pPr>
      <w:r>
        <w:t xml:space="preserve">2. Modelo de negocio</w:t>
      </w:r>
    </w:p>
    <w:p>
      <w:pPr>
        <w:spacing w:after="100"/>
      </w:pPr>
      <w:r>
        <w:t xml:space="preserve">Marathon Petroleum es el mayor refinador de EE. UU.: 13 refinerías con 2.986 mbpcd de capacidad de crudo en la costa del Golfo (Galveston Bay, Garyville), el Medio Continente y la costa oeste (Los Ángeles, Anacortes) [1]. Vende gasolina (49 % de lo que produce), destilados (38 %) y otros productos a mayoristas, a su red de marca (Marathon y ARCO) y a la exportación. Además controla MPLX (64 % de las unidades y el socio general), una sociedad cotizada de oleoductos, terminales, recogida y procesado de gas y fraccionamiento de LGN en el Pérmico y Marcellus, y tiene dos plantas de diésel renovable (Dickinson y Martinez, esta al 50 % con Neste).</w:t>
      </w:r>
    </w:p>
    <w:p>
      <w:pPr>
        <w:pStyle w:val="Heading2"/>
      </w:pPr>
      <w:r>
        <w:t xml:space="preserve">Cómo gana dinero</w:t>
      </w:r>
    </w:p>
    <w:p>
      <w:pPr>
        <w:spacing w:after="100"/>
      </w:pPr>
      <w:r>
        <w:t xml:space="preserve">En el refino gana la diferencia entre el precio de los productos y el del crudo (el margen de R&amp;M, 16,87 USD/barril en 2025 y 36,33 en el 2T26), menos el coste operativo (≈5,6 USD) y el de distribución (≈5,7 USD, de los que 3,69 son tarifas a MPLX) [1]. Cada dólar de diferencial de crack mueve el EBITDA anual en 1.125 M, y cada dólar de diferencial ácido o dulce en 520 M: el apalancamiento operativo es enorme. Nada es recurrente en el refino. El midstream sí: tarifas de oleoducto y procesado con contratos y compromisos mínimos, 6.750 M de EBITDA en 2025 y crecimiento de un dígito alto [1]. Estacionalidad: el 2T y el 3T son los fuertes (gasolina de verano); las paradas se concentran en el 1T.</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16"/>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Refino y comercialización</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Midstream (MPLX)</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Diésel renovable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Refino y comercialización</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Midstream (MPLX)</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Diésel renovable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2" name="Gráfico 2"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Clientes, recurrencia y poder de precios</w:t>
      </w:r>
    </w:p>
    <w:p>
      <w:pPr>
        <w:spacing w:after="100"/>
      </w:pPr>
      <w:r>
        <w:t xml:space="preserve">No hay concentración relevante: miles de clientes mayoristas, marcas independientes y exportadores; ninguno pesa más del 10 % de los ingresos [1]. El poder de precios es nulo en el refino (el margen lo fija el mercado mundial) y alto en el midstream, donde las tarifas suben con la inflación y los contratos tienen volúmenes mínimos. La ventaja de MPC no es cobrar más sino capturar más del margen de referencia: 105 % en 2025 y 112 % en el 2T26, gracias al crudo con descuento y a la logística propia.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R&amp;M (USD/barril)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Diferenciales de crack en máximos por la guerra con Irán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de R&amp;M por barril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12,94 USD en 2023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Utilización de la capacidad de crudo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Paradas en el Medio Continente en el 2T26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operativo del refino (USD/barril)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5,60 para el 3T26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 de midstream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1.778 M en el 2T26 (+8,3 %)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en circulación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295,2 (1-feb-2026)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280,8 (30-jul-2026)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refino de crudo en EE. UU.: convertir crudo en gasolina, destilados (diésel y queroseno de aviación) y otros productos, y venderlos al por mayor o a las marcas. Se mide en capacidad de destilación (barriles por día) porque el margen por barril es global y muy volátil, y el valor monetario del mercado depende del precio del crudo. Fuentes: la EIA (capacidad operable a 1 de enero) [10] y el 10-K de MPC (márgenes de referencia y sensibilidades) [1]. El midstream de MPLX (gas, LGN, oleoductos) es un negocio distinto, regulado o con contratos de tarifa, que se valora aparte (suma de partes).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18,2 millones de barriles por día de capacidad operable en EE. UU. a 1-ene-2026, 130 refinerías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Tamaño del mercado (miles de barriles por día de capacidad operable (1 de ener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EE. UU.-Irán y cierre de Ormuz</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la interrupción quitó ≈5 M de barriles/día, un 6 % del refino mundial anterior a la guerra; el indicador de bp pasó de 12 USD/barril a 30 en el 2T26 y 42 en lo que iba del 3T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Refinerías rusas dañadas y veto ruso a la exportación de diésel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Rusia prorrogó la prohibición de exportar diésel al menos hasta enero; el diferencial del diésel en EE. UU. tocó 102,20 USD/barril el 17-ago-2026 frente a 15-25 USD antes de la crisis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Inventarios de destilados en mínimos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107,1 M de barriles el 7-ago-2026, el nivel más bajo para esa época desde 1996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Cierres de capacidad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LyondellBasell Houston (264 mbpd), Phillips 66 Los Ángeles (139 mbpd) y Valero Benicia (145 mbpd) cerraron en 2025-2026; la capacidad bajó un 1 % en 2025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 capacidad en Asia, Oriente Medio y África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Varios países revisan si necesitan refino propio tras la crisis, y esas inversiones pueden acabar en exceso de capacidad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Electrificación y biocombustibles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RFS obliga a comprar RIN (1.330 M de gasto en 2025 para MPC) y el vehículo eléctrico erosiona la gasolina a largo plazo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indiferenciado y margen fijado por el mercado mundial; las refinerías marginales de Europa y Asia marcan el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Mayoristas y marcas compran por precio; MPC tiene canal propio (marca Marathon y ARCO) que da algo de salida.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crudo es una materia prima global con muchos vendedores; EE. UU. tiene crudo propio barato (diferencial dulce y ácido: 520 M por dólar)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construye una refinería nueva en EE. UU. desde 1977 por permisos y coste; la capacidad baja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Vehículo eléctrico y biocombustibles a largo plazo; el queroseno y el diésel tienen menos sustitutos que la gasolina.</w:t>
            </w:r>
          </w:p>
        </w:tc>
      </w:tr>
    </w:tbl>
    <w:p>
      <w:pPr>
        <w:spacing w:after="160" w:before="0"/>
      </w:pPr>
    </w:p>
    <w:p>
      <w:pPr>
        <w:pStyle w:val="Heading2"/>
      </w:pPr>
      <w:r>
        <w:t xml:space="preserve">Ciclo</w:t>
      </w:r>
    </w:p>
    <w:p>
      <w:pPr>
        <w:spacing w:after="100"/>
      </w:pPr>
      <w:r>
        <w:t xml:space="preserve">El margen está en máximos históricos (diésel a 102 USD/barril, tres a seis veces lo normal) por un choque de oferta, no por demanda [12]. Los precedentes dicen que estos picos duran 12-24 meses: tras 2022 (Ucrania), el margen de MPC pasó de 23,00 USD/barril en 2023 a 16,01 en 2024 [1]. En 2008-09 y 2020 el refino perdió dinero (MPC −9.826 M en 2020). La opinión de Reuters es que la edad de oro no durará; Wood Mackenzie espera márgenes fuertes hasta el final de la década [11].</w:t>
      </w:r>
    </w:p>
    <w:p>
      <w:pPr>
        <w:pStyle w:val="Heading2"/>
      </w:pPr>
      <w:r>
        <w:t xml:space="preserve">Regulación</w:t>
      </w:r>
    </w:p>
    <w:p>
      <w:pPr>
        <w:spacing w:after="100"/>
      </w:pPr>
      <w:r>
        <w:t xml:space="preserve">El Renewable Fuel Standard (RFS) obliga a mezclar biocombustibles o comprar RIN; en agosto de 2026 la EPA concedió el mayor número de exenciones a refinerías pequeñas desde 2017 (positivo para el sector). California impone penalizaciones por margen máximo, inventarios mínimos y un sistema de cap and invest [1]. El riesgo nuevo es político: en septiembre de 2026 el presidente apoyó prohibir la exportación de diésel durante 90 días para bajar el precio interior; a principios de octubre no había decisión y se negociaban límites voluntarios [17].</w:t>
      </w:r>
    </w:p>
    <w:p>
      <w:pPr>
        <w:pStyle w:val="Heading2"/>
      </w:pPr>
      <w:r>
        <w:t xml:space="preserve">Tendencias y disrupción</w:t>
      </w:r>
    </w:p>
    <w:p>
      <w:pPr>
        <w:spacing w:after="100"/>
      </w:pPr>
      <w:r>
        <w:t xml:space="preserve">La guerra ha cambiado el mapa: EE. UU. pasó a ser el proveedor de último recurso de diésel y queroseno, con refinerías al 97 % de su capacidad [11, 18]. MPC gana con eso porque tiene crudo barato y capacidad de exportación en la costa del Golfo (Galveston Bay y Garyville). A largo plazo el vehículo eléctrico erosiona la gasolina (el 49 % de su producción), y el diésel renovable es un negocio pequeño y sin margen fuera de los créditos. La IA no cambia el negocio, salvo en la optimización de las plantas.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refinador de EE. UU. por capacidad (2.986 mbpcd de 18.200, ≈16 %) [1, 10]; MPLX es uno de los mayores midstream del país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Valero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VLO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132.430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refinador independiente; EBITDA de 13.380 M en los últimos 12 meses (10,1 % de las ventas), sin midstream comparable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Phillips 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PSX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152.170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Refino, midstream y química (CPChem con Chevron); EBITDA de 9.930 M en 12 meses (6,5 %)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HF Sinclair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Refino en el interior y las Rocosas, lubricantes y marca Sinclair; EBITDA de 3.210 M (10,3 %)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PBF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PBF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Refinador puro de costa este y oeste; EBITDA de 969 M (2,8 %) en 12 meses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ExxonMobil (refino de EE. UU.)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XOM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Baytown y Beaumont; integrado, no comparable en valoración.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oleoductos y terminales de MPLX conecta las refinerías con el crudo y los mercados; no es un efecto de red con clientes.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del refino cambian de proveedor por precio; los contratos de MPLX con productores sí tienen plazo y compromisos mínimos.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Permisos de refinerías que ya no se conceden en EE. UU. (ninguna nueva desde 1977) y marcas Marathon y ARCO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Crudo estadounidense y canadiense con descuento (50 % ácido), escala y margen capturado del 105 % en 2025 y 112 % en el 2T26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sistema de refino del país (13 refinerías) y logística integrada con MPLX, que cobra 3,69 USD por barril a MPC [B4].</w:t>
            </w:r>
          </w:p>
        </w:tc>
      </w:tr>
    </w:tbl>
    <w:p>
      <w:pPr>
        <w:spacing w:after="160" w:before="0"/>
      </w:pPr>
    </w:p>
    <w:p>
      <w:pPr>
        <w:pStyle w:val="Heading2"/>
      </w:pPr>
      <w:r>
        <w:t xml:space="preserve">Amenazas</w:t>
      </w:r>
    </w:p>
    <w:p>
      <w:pPr>
        <w:spacing w:after="100"/>
      </w:pPr>
      <w:r>
        <w:t xml:space="preserve">El foso no protege el margen: el precio lo pone la refinería marginal del mundo, y cuando se reparen las refinerías de Oriente Medio y Rusia y se reabra Ormuz, el margen volverá hacia 15-17 USD/barril (2024-2025) [1, 11]. Probabilidad alta en 2027-2028. La segunda amenaza es política: una prohibición de exportar diésel recortaría el margen del Golfo, el más alto del sistema [17]. La tercera, a largo plazo, es la caída de la demanda de gasolina.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132.699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spacing w:after="100"/>
      </w:pPr>
      <w:r>
        <w:t xml:space="preserve">Crecimiento anual compuesto 2020-2025: ingresos </w:t>
      </w:r>
      <w:r>
        <w:rPr>
          <w:b/>
          <w:bCs/>
        </w:rPr>
        <w:t xml:space="preserve">13,7 %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La cuenta está en operaciones continuadas: refino y comercialización (R&amp;M), midstream (MPLX) y diésel renovable [1, 2]. Los ingresos siguen al precio del crudo (177.453 M en 2022, 132.699 M en 2025) y no dicen nada del negocio; lo que manda es el margen por barril. El EBITDA contable fue de 7.664 M en 2021, 24.684 M en 2022, 17.821 M en 2023, 10.133 M en 2024 y 11.542 M en 2025, con un margen de R&amp;M de 23,00 USD/barril en 2023, 16,01 en 2024 y 16,87 en 2025 [1]. 2026 es un año de pico: el margen de R&amp;M subió a 36,33 USD/barril en el 2T26 (17,58 un año antes) por la guerra entre EE. UU. e Irán, y el beneficio atribuido del semestre fue de 5.649 M (19,30 USD por acción) [3]. El midstream crece de forma estable (6.544 M de EBITDA ajustado en 2024, 6.750 M en 2025, 3.376 M en el 1S26) y hoy pesa la mitad del EBITDA en un año normal [1, 3]. 2020 lleva 8.426 M de deterioros (7.394 M de fondo de comercio).</w:t>
      </w:r>
    </w:p>
    <w:p>
      <w:pPr>
        <w:pStyle w:val="Heading2"/>
      </w:pPr>
      <w:r>
        <w:t xml:space="preserve">Ajustes y partidas no recurrentes</w:t>
      </w:r>
    </w:p>
    <w:p>
      <w:pPr>
        <w:spacing w:after="100"/>
      </w:pPr>
      <w:r>
        <w:t xml:space="preserve">Se usan las cifras publicadas (US GAAP) de operaciones continuadas. La empresa da un EBITDA ajustado que excluye las paradas programadas (1.553 M en 2025, 1.404 M en 2024) y partidas no asignadas: plusvalías por 897 M en 2025 (BANGL 484 M, etanol 254 M, Rocosas 159 M), acuerdos judiciales por 253 M y créditos fiscales de biocombustibles [1]. Nuestro EBITDA es el contable (después de paradas), así que queda por debajo del ajustado: 11.542 M frente a 11.956 M en 2025 [6]. El EBITDA incluye el resultado de participadas (1.622 M en 2025, con las plusvalías de revaluación), porque así lo presentan las cuentas y el consenso. En 2026 el BPA ajustado del semestre (19,22 USD) apenas difiere del publicado (19,30 USD) [3].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EBITDA ajustado de la empresa (antes de paradas). En el 2T26 la dirección habló de ejecución: utilización del 94 %, margen capturado del 112 % y EBITDA de R&amp;M de 24,84 USD por barril (27,01 en la costa del Golfo, 20,96 en el Medio Continente y 27,26 en la costa oeste) [3, 9]. El BPA de 17,73 USD batió el consenso en 3,57 USD; el del 1T26 (1,65 USD ajustado) casi dobló lo esperado (0,75) [9]. Entre la conferencia del 1T y la del 2T el discurso pasó de la utilización y las paradas a la asignación de capital: recompra adicional de 5.000 M aprobada en mayo, 2.800 M devueltos en el trimestre y una MPLX que sube un 12,5 % su distribución en 2026 y 2027 [3, 5]. Los analistas preguntaron sobre todo cuánto dura el margen; la dirección habló de mercados «ajustados» hasta 2027 sin cuantificar la normalización, y no dio una cifra de margen de ciclo medio ni respondió si habrá recompras extraordinarias con la caja del pico.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Venta de Speedway (gasolineras) a 7-Eleven en mayo de 2021: 2020 y 2021 se presentan con Speedway como operación discontinuada; el beneficio de 2021 (9.738 M) incluye 8.448 M de la venta, fuera de esta serie.; 2025: MPLX compra Northwind Midstream (2.375 M, agosto) y el 55 % restante de BANGL (julio); vende los activos de las Rocosas.).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 deuda neta consolidada (deuda bruta menos caja) es de unos 25.000 M, pero el 78 % de la deuda es de MPLX y la sirve su propio flujo; MPC por sí sola tiene 7.176 M de deuda frente a 6.768 M de caja propia, prácticamente sin deuda neta [3]. El circulante de un refinador oscila con el precio: en el 1S26 dio 2.314 M de caja (proveedores +6.253 M frente a clientes +5.394 M) que se devolverá cuando bajen los precios [4]. La recompra de acciones se financió con caja y con la venta de Speedway: la autocartera pasó de 699 M a 712 M de acciones en el semestre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2020-2025: FCF </w:t>
      </w:r>
      <w:r>
        <w:rPr>
          <w:b/>
          <w:bCs/>
        </w:rPr>
        <w:t xml:space="preserve">39.110</w:t>
      </w:r>
      <w:r>
        <w:t xml:space="preserve">, conversión </w:t>
      </w:r>
      <w:r>
        <w:rPr>
          <w:b/>
          <w:bCs/>
        </w:rPr>
        <w:t xml:space="preserve">179 %</w:t>
      </w:r>
      <w:r>
        <w:t xml:space="preserve"> del beneficio neto; adquisiciones 4.663, dividendos 7.828, recompras 40.825.</w:t>
      </w:r>
    </w:p>
    <w:p>
      <w:pPr>
        <w:spacing w:after="100"/>
      </w:pPr>
      <w:r>
        <w:t xml:space="preserve">La conversión en caja es alta en los años buenos (flujo operativo de 16.361 M en 2022 y 14.117 M en 2023) y cae con el margen (8.253 M en 2025) [2]. El capex consolidado de 3.486 M en 2025 mezcla el de MPC (la empresa guía 1.500 M para 2026: el 65 % de mejora de rendimiento y el 35 % de mantenimiento) y el de crecimiento de MPLX (2.900 M en 2026, más de un 90 % en gas y LGN del Pérmico y Marcellus) [3]. Estimación propia: el capex de mantenimiento ronda los 1.500-1.700 M al año (las paradas programadas, 1.400-1.550 M al año, van a gasto). Entre 2021 y 2025 la empresa recompró 46.811 M de acciones (las acciones diluidas bajaron de 638 M a 306 M) con la caja de Speedway y del pico de 2022-23 [2]. En el 1S26 el flujo operativo fue de 11.448 M, con 2.314 M de circulante a favor [4].</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a MPC desde 2010 con opinión favorable [1]. El inventario va a LIFO: en un año de precios al alza el coste de ventas recoge los costes nuevos y la reserva LIFO amortigua los resultados; los ajustes LIFO fueron pequeños (72 M en 2025, 161 M en 2024) [1]. Las paradas programadas se llevan a gasto (algunos competidores las activan y amortizan), lo que hace el EBITDA contable más prudente que el de Valero o Phillips 66. Partidas no recurrentes recientes: plusvalías de 897 M en 2025, deterioros de 8.426 M en 2020 [1, 2]. Los pagos en acciones son pequeños frente al beneficio. El Altman Z, el Piotroski F y el Beneish M del motor se leen con cuidado: los ingresos y el circulante se mueven con el precio del crudo, y el Beneish puede marcar crecimientos de ventas y de cuentas a cobrar que son precio, no manipulación. Con la consolidación de MPLX el balance parece más endeudado de lo que está MPC.</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2026 dependiente de un margen excepcional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una señal contable sino de calidad del beneficio: el 2T26 ganó 17,73 USD por acción con un margen de 36,33 USD/barril, el doble que un año antes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a favor en 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+6.253 M frente a clientes +5.394 M: caja que se devolverá cuando bajen los precios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Plusvalías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897 M de ventas y revaluaciones (BANGL, etanol, Rocosas) dentro del resultado de 2025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60.421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56.643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52.269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50.932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Fondo de comercio y compras</w:t>
      </w:r>
    </w:p>
    <w:p>
      <w:pPr>
        <w:spacing w:after="100"/>
      </w:pPr>
      <w:r>
        <w:t xml:space="preserve">Fondo de comercio: 9.354 M en 2025 (el 17 % del capital invertido medio); ha subido más de un 5 % en 1 de 5 años: compras pequeñas. ROIC publicado 13,6 %; sin fondo de comercio, 16,5 %.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9,5 %.</w:t>
      </w:r>
    </w:p>
    <w:p>
      <w:pPr>
        <w:spacing w:after="100"/>
      </w:pPr>
      <w:r>
        <w:t xml:space="preserve">MPC crea valor a lo largo del ciclo, pero poco: el ROIC del motor fue del 6,9 % en 2021, 31,9 % en 2022, 22,2 % en 2023, 11,5 % en 2024 y 13,6 % en 2025, frente a un WACC del 9,47 %. En 2024-2025, años de margen normal o algo bajo, la diferencia fue de 2-4 puntos; sin fondo de comercio (Andeavor), 13,7 % y 16,5 %. Lo que mueve el ROIC es el margen, no la rotación: el capital invertido apenas cambia (50.000-60.000 M) y el NOPAT va de −2.866 M (2020) a 16.759 M (2022). El ROIC incremental no tiene sentido en una cíclica (estimación propia a ciclo medio: ≈12-14 %). Valero, sin un midstream grande, tiene un ROIC del 25,15 % en los últimos 12 meses frente al 13,6 % de MPC [13]: la consolidación de MPLX, con mucho capital y rentabilidad estable del 10-12 %, diluye el ROIC del grupo. Con el margen de 2026 el ROIC sube por encima del 25 %, pero no es la cifra de ciclo medio.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25.048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7.768 M a 30-jun-2026 (1.000 M en MPLX) y línea de crédito de 5.000 M sin disponer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Baa2, S&amp;P BBB y Fitch BBB, todas con perspectiva estable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De los 32.816 M de deuda consolidada a 30-jun-2026, 25.640 M son de MPLX, sin recurso contra MPC, y 7.176 M de MPC [3]. Pensiones y otros planes: 1.288 M de obligaciones a largo plazo [4]. Pasivos por arrendamiento operativo de 1.476 M (US GAAP: fuera de la deuda). Provisiones y litigios medioambientales habituales del refino; en 2025 cobró 253 M por acuerdos judiciales [1]. Sin factoring relevante declarado. La caja de junio está inflada por el circulante: proveedores subieron de 12.974 M a 19.227 M y clientes de 10.317 M a 15.740 M con el precio del producto [4].</w:t>
      </w:r>
    </w:p>
    <w:p>
      <w:pPr>
        <w:pStyle w:val="Heading1"/>
      </w:pPr>
      <w:r>
        <w:t xml:space="preserve">12. Asignación de capital</w:t>
      </w:r>
    </w:p>
    <w:p>
      <w:pPr>
        <w:pStyle w:val="Confianza"/>
        <w:spacing w:after="100"/>
      </w:pPr>
      <w:r>
        <w:t xml:space="preserve">Confianza: Alta</w:t>
      </w:r>
    </w:p>
    <w:p>
      <w:pPr>
        <w:spacing w:after="100"/>
      </w:pPr>
      <w:r>
        <w:t xml:space="preserve">Prioridades declaradas: mantener el negocio, el dividendo (1,00 USD trimestral desde julio de 2026, anual 4,00), proyectos de alta rentabilidad en el refino (1.500 M en 2026) y devolver el resto con recompras [3]. El 5-may-2026 el consejo aprobó otros 5.000 M de recompra; a 30-jun quedaban 6.130 M disponibles, sin vencimiento [4]. MPLX, que paga a MPC unos 2.790 M al año por sus 647 M de unidades, financia sola su crecimiento y su objetivo es subir la distribución un 12,5 % en 2026 y 2027 [3,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Andeavor (refino y logística en el oeste)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Duplicó la capacidad y añadió la costa oeste; deterioros de 7.394 M de fondo de comercio en 2020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Speedway a 7-Eleven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Financió recompras masivas a precios de 60-150 USD por acción; buena decisión vista hoy.</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Northwind Midstream (MPLX, Pérmico, gas ácido)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de MPLX</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el midstream; 360 M de fondo de comercio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BANGL (55 % restante, MPLX)</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de MPLX</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Plusvalía de 484 M por la revaluación de la parte que ya tenía [1].</w:t>
            </w:r>
          </w:p>
        </w:tc>
      </w:tr>
    </w:tbl>
    <w:p>
      <w:pPr>
        <w:spacing w:after="160" w:before="0"/>
      </w:pPr>
    </w:p>
    <w:p>
      <w:pPr>
        <w:spacing w:after="100"/>
      </w:pPr>
      <w:r>
        <w:t xml:space="preserve">La dirección ha sido buena asignadora de capital: vendió Speedway en el momento alto (21.000 M) y recompró más de la mitad de las acciones entre 2021 y 2025 a una fracción del precio de hoy. La compra de Andeavor fue cara (deterioros en 2020). El riesgo ahora es el contrario: recomprar en el pico del ciclo a 485 USD por acción; con el margen normalizado, cada dólar de recompra a este precio rinde menos que los de 2022-2024.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Maryann T. Mannen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y 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 MPC (2021-2024) y antes de TechnipFMC y FMC Technologies. Consejera delegada desde agosto de 2024 y presidenta desde enero de 2026 [21]. Con ella la empresa ha mantenido la utilización del 94 % y la captura de margen por encima del 100 %.</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A. Khoury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Viene de Danaher (directora financiera de biotecnología: Cytiva y Pall) y antes de GE Oil &amp; Gas; incorporada el 19-ene-2026 [22]. Sin historial en el refino.</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Rick D. Hessling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captura de margen (105 % en 2025)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Molly R. Benson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jurídica y secretaria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Abogada de la casa; vendió 17.196 acciones en agosto de 2026 con un plan 10b5-1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A. Henschen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Refino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las 13 refinerías; vendió 17.636 acciones en 2026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P. Surma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Antiguo presidente y consejero delegado de U.S. Steel [19].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Carga total de refino de 2.940 mbpd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M bpd, utilización del 95 %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Carga total de 2.905 mbpd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M bpd, utilización del 95 %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Carga total de 2.740 mbpd (paradas)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M bpd, utilización del 89 %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Carga total de 2.990 mbpd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2.944 mbpd, utilización del 94 %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MPLX: subir la distribución un 12,5 % al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1,0765 USD trimestrales en 2026 (+12,5 %)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creíble en la ejecución: cumple la guía de carga casi siempre, mantiene la utilización en el 94 % y captura más margen que el de referencia [3]. La dirección cambió mucho en 2024-2026: Mannen pasó de directora financiera a consejera delegada y presidenta (el antiguo presidente ejecutivo Hennigan se retiró en enero de 2026), y llegó una directora financiera de fuera del sector [21, 22]. No hay plan de sucesión público. Los directivos venden y nadie compra: 13,9 M de ventas en 12 meses, sin una sola compra [23].</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Maryann T. Mannen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P. Surma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Evan Bayh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políticas públicas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Z. Cohen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M. Semple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 Michael Stice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K.W. Rucker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C. Campbell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Kimberly N. Ellison-Taylor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Eileen P. Paterson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13,89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(18)</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490.661 acciones a 1-feb-2026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Molly R. Benson (directora jurídica),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A. Henschen (refino), feb-ago 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Shawn M. Lyon (MPLX), ago 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Rick D. Hessling (comercial), mar-may 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Erin M. Brzezinski (controller)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consejera delegada cobró 19,02 M en 2025: 1,40 M de fijo, 3,30 M de bonus anual y 13,39 M en acciones [19]. El 60 % del incentivo a largo plazo son acciones por objetivos ligadas a la rentabilidad total para el accionista frente a un grupo de comparables (tres años: 67 %, percentil 83), y el bonus anual mide, con un 30 %, el EBITDA por barril frente a otros refinadores [19]. Premia batir a los competidores, no el nivel del margen, lo que está bien en un negocio cíclico. Ratio frente al empleado medio: 102 veces (186.132 USD) [19]. En la junta de 2026 el voto consultivo sobre la remuneración tuvo un 97,0 % a favor y un 2,5 % en contra de los votos emitidos [20].</w:t>
      </w:r>
    </w:p>
    <w:p>
      <w:pPr>
        <w:pStyle w:val="Heading2"/>
      </w:pPr>
      <w:r>
        <w:t xml:space="preserve">Operaciones vinculadas, estructura de control y defensas</w:t>
      </w:r>
    </w:p>
    <w:p>
      <w:pPr>
        <w:spacing w:after="100"/>
      </w:pPr>
      <w:r>
        <w:t xml:space="preserve">Sin accionista de control: los tres primeros son gestoras indexadas (28,8 % entre las tres) [19]. Una acción, un voto. Las defensas son las del consejo clasificado y las mayorías reforzadas de los estatutos: en la junta de 2026 la propuesta de la propia empresa para desclasificar el consejo tuvo 206 M de votos a favor y solo 1,4 M en contra, pero no llegó al 80 % de las acciones en circulación que exigen los estatutos, y lo mismo pasó con la eliminación de las mayorías reforzadas [20]. Operaciones vinculadas: MPC y MPLX se cobran tarifas y se venden activos entre sí (3,69 USD por barril de tarifas a MPLX en 2025), con un comité de conflictos en MPLX.</w:t>
      </w:r>
    </w:p>
    <w:p>
      <w:pPr>
        <w:pStyle w:val="Heading2"/>
      </w:pPr>
      <w:r>
        <w:t xml:space="preserve">Señales de alerta</w:t>
      </w:r>
    </w:p>
    <w:p>
      <w:pPr>
        <w:pStyle w:val="ListParagraph"/>
        <w:numPr>
          <w:ilvl w:val="0"/>
          <w:numId w:val="2"/>
        </w:numPr>
        <w:spacing w:after="60"/>
      </w:pPr>
      <w:r>
        <w:t xml:space="preserve">Directivos solo venden: 13,9 M en 12 meses, 6,2 M con plan 10b5-1, y ninguna compra [23].</w:t>
      </w:r>
    </w:p>
    <w:p>
      <w:pPr>
        <w:pStyle w:val="ListParagraph"/>
        <w:numPr>
          <w:ilvl w:val="0"/>
          <w:numId w:val="2"/>
        </w:numPr>
        <w:spacing w:after="60"/>
      </w:pPr>
      <w:r>
        <w:t xml:space="preserve">El consejo sigue clasificado y con mayorías reforzadas: las propuestas para eliminarlos no alcanzaron el 80 % en 2026 [20].</w:t>
      </w:r>
    </w:p>
    <w:p>
      <w:pPr>
        <w:pStyle w:val="ListParagraph"/>
        <w:numPr>
          <w:ilvl w:val="0"/>
          <w:numId w:val="2"/>
        </w:numPr>
        <w:spacing w:after="60"/>
      </w:pPr>
      <w:r>
        <w:t xml:space="preserve">Directora financiera nueva (enero de 2026) sin experiencia en refino [22].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MPC no da guía de beneficio, solo operativa: para el 3T26, carga de 3.005 mbpd, coste operativo de 5,60 USD/barril, distribución de 1.650 M y paradas de 290 M; capex de 2026 de 1.500 M sin MPLX y de 2.900 M en MPLX (subido 500 M en agosto) [3]. MPLX sube su distribución un 12,5 % en 2026 y 2027. Confirmado el 4-ago-2026.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154.549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171.706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152.312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144.930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154.549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442,33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236,00 – 560,00</w:t>
            </w:r>
          </w:p>
        </w:tc>
      </w:tr>
    </w:tbl>
    <w:p>
      <w:pPr>
        <w:spacing w:after="160" w:before="0"/>
      </w:pPr>
    </w:p>
    <w:p>
      <w:pPr>
        <w:pStyle w:val="Heading2"/>
      </w:pPr>
      <w:r>
        <w:t xml:space="preserve">Revisiones de estimaciones</w:t>
      </w:r>
    </w:p>
    <w:p>
      <w:pPr>
        <w:spacing w:after="100"/>
      </w:pPr>
      <w:r>
        <w:t xml:space="preserve">Las estimaciones se han disparado en 2026 con el margen: el BPA del 2T26 batió en 3,57 USD y el del 1T26 casi dobló el esperado [9]. Stock Analysis da un BPA de 63,34 USD para 2026 y 55,19 para 2027 (11 analistas) y MarketScreener 64,86 y 62,38; el objetivo medio de 19 analistas es de 442,33 USD (mediana 451,5, rango 236-560), por debajo del precio [26, 27]. Tendencia de 3 meses: subidas de objetivos, aunque Jefferies rebajó la recomendación de Valero y Marathon el 22-sep por la subida acumulada [35]. El consenso sigue bajando el BPA hacia 2028 (41,96), es decir, también espera normalización. El EBITDA del consenso es el ajustado de la empresa (sin paradas).</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bl>
    <w:p>
      <w:pPr>
        <w:spacing w:after="160" w:before="0"/>
      </w:pPr>
    </w:p>
    <w:p>
      <w:pPr>
        <w:spacing w:after="100"/>
      </w:pPr>
      <w:r>
        <w:t xml:space="preserve">La acción ha subido un 201,6 % en 2026 (S&amp;P 500 +13,7 %, energía +54,3 %) y un 168,2 % en un año, siguiendo el margen de refino: subió con los ataques a refinerías de Oriente Medio y el cierre de Ormuz, cayó en junio con el acuerdo de paz (la energía bajó en bloque el 15-jun) y volvió a subir en verano con los diferenciales del diésel por encima de 100 USD/barril [25, 35]. En diez años ha dado un 31,7 % anual frente al 15,5 % del S&amp;P 500, ayudada por la recompra de más de la mitad de las acciones. La beta es baja (0,54) pero la volatilidad alta (35,8 %): el riesgo es del ciclo del margen, no del mercado. Posición corta del 2,51 % [28].</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 / +52,7 % / +111,0 % / +160,7 %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 / +193,5 %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mar-abr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EE. UU.-Irán, cierre de Ormuz y ataques a refinerías de Oriente Medio: el margen de refino de la costa del Golfo, en máximos de varios años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acuerdo de paz entre EE. UU. e Irán bajó el riesgo de interrupción y hundió las energéticas el 15-jun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diferencial del diésel superó los 100 USD/barril el 17-ago (récord) con los inventarios de destilados en mínimos desde 1996 y el veto ruso a la exportación de diésel; resultados del 2T26 muy por encima de lo esperado [3,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sep-2026 (21-22 sep)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presidente apoyó prohibir la exportación de diésel y Jefferies rebajó a Valero y Marathon tras la subida [35,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la apertura; el consenso espera un BPA trimestral de unos 25 USD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Casa Blanca estudia una prohibición de 90 días a la exportación de diésel; el secretario de Energía prefiere límites voluntarios y el 5-oct la amenaza seguía abierta [36,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a la baja que refuerza el No comprar; si se aprueba, el margen del Golfo bajaría.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rebaja a Valero y Marathon por valoración tras la subida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EPA concede el mayor número de exenciones del RFS a refinerías desde 2017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Semafor: Phillips 66 y Marathon estudiaron fusionarse (≈180.000 M) y lo dejaron por la competencia y por MPLX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por 13,9 M en 12 meses (la directora jurídica, 6,2 M con plan 10b5-1; el responsable de refino, 4,8 M) y ninguna compra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adicional de 5.000 M aprobada; quedaban 6.130 M a 30-jun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acción ha triplicado en 2026 siguiendo el margen de refino, no por un cambio del negocio: está a un 1,6 % de su máximo tras subir un 52,7 % en tres meses (avisos P1 y P2, que no cambian la señal pero obligan a explicar la causa: el diferencial del diésel por encima de 100 USD/barril). No hay colocaciones ni ampliaciones pendientes. El hecho pendiente que puede mover el precio más de un 5 % es la posible prohibición de exportar diésel, que va contra la acción: no cambia una decisión de no comprar, la refuerza. Los resultados del 3 de noviembre serán récord, pero el precio ya los descuenta.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Los múltiplos de un refinador engañan: el PER de los últimos 12 meses es bajo en los picos (en 2022, 116,39 USD frente a un BPA de 27,98: 4,2 veces) y alto en los valles. Por eso la historia del PER a 12 meses se construye con los años de margen normal y se excluye 2020 (pérdidas). El mercado paga hoy unas 11 veces nuestro BPA de 2027 y unas 17,6 veces el de ciclo medio de 2028, frente a 10-15 veces en los años normales (2017, 2018, 2023, 2024).</w:t>
      </w:r>
    </w:p>
    <w:p>
      <w:pPr>
        <w:pStyle w:val="Heading1"/>
      </w:pPr>
      <w:r>
        <w:t xml:space="preserve">18. Comparables cotizados</w:t>
      </w:r>
    </w:p>
    <w:p>
      <w:pPr>
        <w:pStyle w:val="Confianza"/>
        <w:spacing w:after="100"/>
      </w:pPr>
      <w:r>
        <w:t xml:space="preserve">Confianza: Media</w:t>
      </w:r>
    </w:p>
    <w:p>
      <w:pPr>
        <w:spacing w:after="100"/>
      </w:pPr>
      <w:r>
        <w:t xml:space="preserve">Refinadores cotizados en EE. UU. con datos del mismo proveedor y del mismo día (Stock Analysis, 15-oct-2026): Valero, Phillips 66, HF Sinclair, PBF, Delek, Par Pacific y CVR Energy [13, 14, 15, 16, 31, 32, 33]. Fuera las integradas (ExxonMobil, Chevron), donde pesa la producción de crudo. Ninguno tiene un midstream del tamaño de MPLX salvo Phillips 66. El PER adelantado y el EV/EBITDA de los últimos 12 meses están en el pico del ciclo, así que no sirven para valorar a ciclo medio: los comparables pesan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Marathon Petroleum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Valero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Phillips 66</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HF Sinclair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PBF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Delek 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 Pacific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CVR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9,4x / 11,1x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520,41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 / 5,9x / 7,5x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153.577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 / 0,8x / 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MPC cotiza a 6,4 veces el beneficio de los próximos 12 meses según Stock Analysis, por encima de la mediana de los refinadores (5,9 veces) y en línea con Valero (7,2) y Phillips 66 (7,7) [13, 14, 28]. La prima se explica por MPLX: la mitad del EBITDA normal de MPC es midstream estable, que el mercado paga a 11-12 veces. Los múltiplos de todos están calculados sobre beneficios de pico: aplicar el PER de 5,9 veces a nuestro BPA de ciclo medio de 2028 (27,6 USD) daría unos 160 USD, una cifra sin sentido porque ese PER solo existe porque el mercado ya descuenta la caída del beneficio. Por eso no pesan en el valor.</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1780"/>
        <w:gridCol w:w="1676"/>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Andeavor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Marathon Petroleum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35.600</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y caja; prima del 24 % anunciada.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Speedway (gasolineras)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7-Eleven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21.000</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Comercio minorista de carburante, no refino.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Northwind Midstream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MPLX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Midstream (gas ácido en el Pérmico)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Phillips 66 + Marathon (conversaciones rotas)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de ≈180.000 M estudiada en 2026 y abandonada por la competencia y por MPLX [34].</w:t>
            </w:r>
          </w:p>
        </w:tc>
      </w:tr>
    </w:tbl>
    <w:p>
      <w:pPr>
        <w:spacing w:after="160" w:before="0"/>
      </w:pPr>
    </w:p>
    <w:p>
      <w:pPr>
        <w:spacing w:after="160" w:before="0"/>
      </w:pPr>
    </w:p>
    <w:p>
      <w:pPr>
        <w:spacing w:after="100"/>
      </w:pPr>
      <w:r>
        <w:t xml:space="preserve">Hay pocas transacciones de refino con múltiplo publicado: las refinerías cambian de manos por precios por barril de capacidad, a menudo con el inventario aparte, y las grandes fusiones (Andeavor en 2018) se hicieron en acciones. Lo relevante para MPC es que en 2026 estudió fusionarse con Phillips 66, una operación de unos 180.000 M que se abandonó por la competencia (las dos suman cerca de una cuarta parte del refino del país) y por la estructura de MPLX [34]. No esperamos una oferta: no pesan en el valor.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Los ingresos de un refinador son precio del crudo y de los productos, no volumen: 2026e sube un 35,6 % (1S26 de 86.194 M y un 3T de precios altos) y es fijo porque ya hay dos trimestres publicados [3]. Después bajan un 11,1 % en 2027e y un 9,4 % en 2028e al normalizarse los precios de los productos, y crecen un 2 % al año desde 2029e (inflación y algo de volumen: +30 mbpd en Garyville a finales de 2027). El consenso espera 171.706 M en 2026, 152.312 M en 2027 y 154.549 M en 2028 [26]: nuestro 2028 queda un 6 % por debajo porque suponemos precios de producto normales.</w:t>
      </w:r>
    </w:p>
    <w:p>
      <w:pPr>
        <w:keepNext/>
        <w:spacing w:after="100"/>
      </w:pPr>
      <w:r>
        <w:rPr>
          <w:b/>
          <w:bCs/>
        </w:rPr>
        <w:t xml:space="preserve">Márgenes.</w:t>
      </w:r>
    </w:p>
    <w:p>
      <w:pPr>
        <w:spacing w:after="100"/>
      </w:pPr>
      <w:r>
        <w:t xml:space="preserve">El margen EBITDA contable fue del 5,2 % en 2021, 13,9 % en 2022, 12,0 % en 2023, 7,3 % en 2024 y 8,7 % en 2025, y del 12,0 % en el 1S26 [2, 3]. Suponemos 15,5 % en 2026e (pico), 13,75 % en 2027e (normalización a medias) y 11,35-11,4 % desde 2028e, que es el ciclo medio: EBITDA de R&amp;M de ≈9,5 USD por barril (frente a 5,63 en 2025 y 12,94 en 2023), midstream de ≈8.200 M y paradas de ≈1.500 M [1]. El margen de ciclo medio queda por encima del de 2024-2025 porque la capacidad de EE. UU. ha bajado un 1 % en 2025 y otro tanto en 2026, y porque MPLX pesa más.</w:t>
      </w:r>
    </w:p>
    <w:p>
      <w:pPr>
        <w:keepNext/>
        <w:spacing w:after="100"/>
      </w:pPr>
      <w:r>
        <w:rPr>
          <w:b/>
          <w:bCs/>
        </w:rPr>
        <w:t xml:space="preserve">Inversión y circulante.</w:t>
      </w:r>
    </w:p>
    <w:p>
      <w:pPr>
        <w:spacing w:after="100"/>
      </w:pPr>
      <w:r>
        <w:t xml:space="preserve">Capex del 2,6 % de las ventas en 2026e (1.500 M de MPC y 2.900 M de MPLX) y del 2,9 % en 2027-2028e; baja al 2,5 % en 2032e, igual o por encima de la amortización (2,45 %) [3]. El circulante comercial es el 5 % de las ventas (5,6 % en 2025). La reinversión neta es pequeña porque el crecimiento es casi todo precio.</w:t>
      </w:r>
    </w:p>
    <w:p>
      <w:pPr>
        <w:keepNext/>
        <w:spacing w:after="100"/>
      </w:pPr>
      <w:r>
        <w:rPr>
          <w:b/>
          <w:bCs/>
        </w:rPr>
        <w:t xml:space="preserve">Coste del capital.</w:t>
      </w:r>
    </w:p>
    <w:p>
      <w:pPr>
        <w:spacing w:after="100"/>
      </w:pPr>
      <w:r>
        <w:t xml:space="preserve">Tasa libre del 5,21 % (bono del Tesoro a 10 años del 13-oct) [29], prima de mercado del 5,5 % y beta de 1,0: la de la acción frente al S&amp;P 500 es de 0,54 (mensual, 5 años) y 0,69 ajustada [25], pero subestima un riesgo que no es de mercado sino del ciclo del margen (volatilidad del 35,8 %), así que usamos la de un refinador medio. Coste de la deuda del 5,5 % antes de impuestos (bonos de MPLX a 4,8-6,2 %) [1] y peso de la deuda a mercado del 19,5 % (32.816 M frente a 136.263 M de capitalización). WACC del 9,47 %.</w:t>
      </w:r>
    </w:p>
    <w:p>
      <w:pPr>
        <w:keepNext/>
        <w:spacing w:after="100"/>
      </w:pPr>
      <w:r>
        <w:rPr>
          <w:b/>
          <w:bCs/>
        </w:rPr>
        <w:t xml:space="preserve">Valor terminal.</w:t>
      </w:r>
    </w:p>
    <w:p>
      <w:pPr>
        <w:spacing w:after="100"/>
      </w:pPr>
      <w:r>
        <w:t xml:space="preserve">Gordon con un 2,0 %: por debajo de la inflación esperada (2,35 % según el breakeven a 10 años [42]) porque la demanda de gasolina de EE. UU. está estancada y bajará a largo plazo; el midstream crece algo más. Equivale a unas 7,5 veces el EBITDA terminal, en línea con lo que el mercado ha pagado por los refinadores a ciclo medio (6-8 veces).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156.877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323,56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511,89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4.909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(reinvierte el 33 %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 frente al 3,3 %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4.909 M, el 5 % del NOPAT, con un capex bruto medio del 2,7 % de las ventas). En un negocio de activos ligeros, el crecimiento medio del 3,3 %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precio: el crudo y los productos se encarecen con la guerra; la carga se mantiene en ≈2,9-3,0 M de barriles al día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precios de los productos bajan al reabrirse Ormuz; algo de volumen por los proyectos de El Paso, Robinson y Garyville.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normales; +30 mbpd de crudo en Garyville desde finales de 2027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Inflación de precios y volumen de MPLX.</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Inflación de precios y volumen de MPLX.</w:t>
            </w:r>
          </w:p>
        </w:tc>
      </w:tr>
    </w:tbl>
    <w:p>
      <w:pPr>
        <w:spacing w:after="160" w:before="0"/>
      </w:pPr>
    </w:p>
    <w:p>
      <w:pPr>
        <w:spacing w:after="100"/>
      </w:pPr>
      <w:r>
        <w:t xml:space="preserve">En parte. La proyección no pide crecimiento que haya que financiar: los ingresos bajan en 2027-2028 y crecen un 2 % después, con una reinversión del 5 % del NOPAT, y el motor da «Sí». La duda es la otra: el beneficio de hoy no es sostenible. El EBITDA de R&amp;M de 24,84 USD por barril del 2T26 es cuatro veces el de 2025 y nace de un choque de oferta (Ormuz, refinerías dañadas, veto ruso), no de un foso [3, 11]. Nuestro caso base ya lo normaliza, pero el margen de ciclo medio que supone (≈9,5 USD por barril) depende del ciclo y no de una ventaja de la empresa: el foso de MPC (escala, crudo barato, captura del 105-112 %) explica que gane más que la media, no que el margen se quede alto. MPLX sí es un negocio sostenible.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 (base: -2,1 %)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 (base: 11,4 %)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9,5 %)</w:t>
            </w:r>
          </w:p>
        </w:tc>
      </w:tr>
    </w:tbl>
    <w:p>
      <w:pPr>
        <w:spacing w:after="160" w:before="0"/>
      </w:pPr>
    </w:p>
    <w:p>
      <w:pPr>
        <w:spacing w:after="100"/>
      </w:pPr>
      <w:r>
        <w:t xml:space="preserve">El DCF da 342,52 USD por acción, un 29,4 % por debajo del precio, con un 61 % del valor en el terminal. Lo que importa es el DCF inverso: para justificar 484,92 USD, con nuestro WACC del 9,47 %, MPC tendría que crecer un 3,7 % al año en 2027-2032e (nosotros proyectamos −2,1 %, porque los precios de los productos se normalizan) o mantener un margen EBITDA del 14,0 % para siempre frente a nuestro 11,4 %. Un 14 % es el margen de 2022 o de 2026, dos años de guerra: el precio descuenta que la crisis actual se convierte en el nivel normal. La rentabilidad implícita en el precio es del 7,8 % anual, por debajo del WACC (9,47 %) y del 8,42 % que pide el mercado con su prima. Con la prima del mercado el valor sube a 391,92 USD, todavía un 19,2 % por debajo del precio. Es una apuesta exigente: hay que creer que el margen de pico dura décadas.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Paz duradera con Irán, Ormuz reabierto a principios de 2027 y refinerías de Oriente Medio y Rusia reparadas: el margen vuelve al de 2024-2025 en 2027 y la exportación de diésel se limita durante unos meses. Ya pasó tras el pico de 2022: el margen de MPC cayó de 23,00 USD/barril en 2023 a 16,01 en 2024.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gradual: 2027 todavía alto y 2028 de ciclo medio, algo por encima de 2024-2025 por los cierres de capacidad en EE. UU.; MPLX crece según su plan.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reparaciones tardan años, Rusia sigue fuera del mercado de productos y los inventarios no se rehacen: el margen se queda en niveles de 2023 hasta 2028 y por encima de lo normal después.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USD) · precio actual 484,9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338,56 USD (-30,2 %).</w:t>
      </w:r>
    </w:p>
    <w:p>
      <w:pPr>
        <w:spacing w:after="100"/>
      </w:pPr>
      <w:r>
        <w:t xml:space="preserve">La asimetría es desfavorable: ni el escenario alcista (483,14 USD) alcanza el precio, y el bajista (186,06) pierde un 61,6 %. Ponderados 25/50/25, los escenarios valen 338,56 USD. A 12 meses la cuenta es parecida: el alcista daría un +11,9 % y el bajista un −58,9 %. Para que comprar hoy salga bien hace falta que el margen de 2026 dure entero varios años más.</w:t>
      </w:r>
    </w:p>
    <w:p>
      <w:pPr>
        <w:pStyle w:val="Heading1"/>
      </w:pPr>
      <w:r>
        <w:t xml:space="preserve">22. Suma de partes</w:t>
      </w:r>
    </w:p>
    <w:p>
      <w:pPr>
        <w:pStyle w:val="Confianza"/>
        <w:spacing w:after="100"/>
      </w:pPr>
      <w:r>
        <w:t xml:space="preserve">Confianza: Media</w:t>
      </w:r>
    </w:p>
    <w:p>
      <w:pPr>
        <w:spacing w:after="100"/>
      </w:pPr>
      <w:r>
        <w:t xml:space="preserve">La suma de partes es el método más limpio para MPC porque separa un negocio cíclico (refino) de uno estable con precio de mercado (MPLX). Da 328,61 USD por acción: 131 USD son las unidades de MPLX y ≈198 USD el refino a ciclo medio. Para justificar el precio de hoy con MPLX a mercado, el refino tendría que valer ≈354 USD por acción, unas 12,5 veces el EBITDA de ciclo medio o 6 veces el de 2026: el mercado paga por el refino como si el pico fuera permanente.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Refino, diésel renovable y corporativo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ciclo medio 2028e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ciclo medio de 2028e: R&amp;M ≈10.450 M (≈9,5 USD por barril con ≈1.100 M de barriles al año), menos 1.500 M de paradas, 150 M de diésel renovable y −850 M de corporativo. 7,0 veces: lo que el mercado ha pagado a los refinadores en años normales (6-8 veces); hoy Valero cotiza a 9,9 veces un EBITDA de los últimos 12 meses inflado por el pico [13].</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MPLX (100 %)</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de mercado de las unidades + deuda neta de MPLX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de mercado de MPLX: ≈1.011 M de unidades a 57,06 USD (57.700 M) más su deuda neta (25.640 M de deuda menos 1.000 M de caja) [3, 4, 25]. El 36 % de terceros se resta en el puente como minoritarios (20.770 M); a MPC le corresponden 647 M de unidades (36.900 M, ≈131 USD por acción).</w:t>
            </w:r>
          </w:p>
        </w:tc>
      </w:tr>
    </w:tbl>
    <w:p>
      <w:pPr>
        <w:spacing w:after="160" w:before="0"/>
      </w:pPr>
    </w:p>
    <w:p>
      <w:pPr>
        <w:spacing w:after="100"/>
      </w:pPr>
      <w:r>
        <w:rPr>
          <w:b/>
          <w:bCs/>
        </w:rPr>
        <w:t xml:space="preserve">Valor por acción por suma de partes:</w:t>
      </w:r>
      <w:r>
        <w:t xml:space="preserve"> 328,61 (-32,2 %); con ±1x en los múltiplos, 253,85 – 403,37.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USD) · precio actual 484,9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337,56 USD (-30,4 % sobre 484,92).</w:t>
      </w:r>
    </w:p>
    <w:p>
      <w:pPr>
        <w:spacing w:after="100"/>
      </w:pPr>
      <w:r>
        <w:t xml:space="preserve">El valor intrínseco (337,56 USD) sale del DCF (50 %), la suma de partes (30 %) y los escenarios (20 %). La suma de partes pesa porque MPLX tiene precio de mercado y el refino se valora mejor a ciclo medio; el DCF recoge el pico de 2026-2027 y la normalización. Los comparables pesan 0: su PER de 3-9 veces está calculado sobre beneficios de pico y aplicado a un BPA de ciclo medio daría un valor sin sentido. Las transacciones tampoco pesan (sin múltiplos publicados). La dispersión es pequeña: DCF 294-405 USD según WACC y crecimiento, suma de partes 254-403, escenarios 186-483; solo la prima del mercado (391,92) y el objetivo de los analistas (442,33) se acercan al precio, y ninguno lo alcanza.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(11.1x) a mitad de camino hacia la mediana de 5 años (12.6x)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spacing w:after="100"/>
      </w:pPr>
      <w:r>
        <w:rPr>
          <w:b/>
          <w:bCs/>
        </w:rPr>
        <w:t xml:space="preserve">Objetivo a 12 meses (ponderado):</w:t>
      </w:r>
      <w:r>
        <w:t xml:space="preserve"> 347,36 USD · rentabilidad -27,6 % (base -32,0 %) · señal Vender.</w:t>
      </w:r>
    </w:p>
    <w:p>
      <w:pPr>
        <w:spacing w:after="100"/>
      </w:pPr>
      <w:r>
        <w:t xml:space="preserve">Para comparar, con la regla v2 (historia al cierre, mismo precio): 9,4x / 11,1x / 13,1x, -29,9 %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(59,0 USD) queda un 9 % por debajo del consenso (64,86) porque suponemos un 4T26 más flojo que el 3T; el de 2027e (43,6) un 30 % por debajo (62,38) y el de 2028e (27,6) un 34 % por debajo (41,96) [26]. La diferencia es de margen y de calendario: el consenso supone que el margen de 2026 dura casi entero en 2027 y que en 2028 sigue un 50 % por encima de lo normal, y además descuenta recompras no anunciadas (su beneficio de 2028, 9.920 M, implica unos 236 M de acciones). Nosotros normalizamos en 2028 y solo contamos la recompra autorizada. Nuestro precio base (325,68) queda un 26,4 % bajo el objetivo medio de 19 analistas (442,33), que a su vez está un 9 % por debajo de la cotización: también los analistas creen que el precio va por delante.</w:t>
      </w:r>
    </w:p>
    <w:p>
      <w:pPr>
        <w:keepNext/>
        <w:spacing w:after="100"/>
      </w:pPr>
      <w:r>
        <w:rPr>
          <w:b/>
          <w:bCs/>
        </w:rPr>
        <w:t xml:space="preserve">Del valor intrínseco al objetivo a 12 meses.</w:t>
      </w:r>
    </w:p>
    <w:p>
      <w:pPr>
        <w:spacing w:after="100"/>
      </w:pPr>
      <w:r>
        <w:t xml:space="preserve">El objetivo a 12 meses (347,36 USD) y el valor intrínseco (337,56) casi coinciden, y los dos quedan muy por debajo del precio (484,92): no hay distancia entre «cuánto vale» y «a cuánto cotizará», sino entre los dos y lo que paga hoy el mercado. Usamos el PER porque MPC gana dinero en todo el ciclo salvo en las crisis, pero sobre un BPA de ciclo medio de 2028e y con la historia del PER limpia de los años de pico y de valle. El BPA base crece desde 2025 (13,22) por la parte estructural del alza (cierres de capacidad en EE. UU., crecimiento de MPLX) y por la recompra autorizada, pero queda por debajo del de los últimos 12 meses (28,84). Para que el precio se sostenga, el margen de 2026 tendría que durar casi entero dos años más.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Probable récord trimestral (consenso ≈25 USD por acción); la pregunta es la guía para el 4T y las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Oct-dic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la prohibición o los límites a la exportación de diésel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del margen de la costa del Golfo, el más alto del sistema.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Reapertura plena de Ormuz y vuelta de las refinerías dañadas de Oriente Medio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del margen hacia 15-20 USD/barril.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o prórroga del veto ruso a la exportación de diésel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o menos oferta de destilados en el Atlántico.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servicio de Blackcomb, BANGL y Titan (MPLX)</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EBITDA del midstream y de la distribución (+12,5 %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Finales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Hidrotratadora de Galveston Bay y optimización de Garyville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mbpd de crudo y más diésel de alto valor.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del margen de refino más rápida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−46 % (escenario bajista: 186,06 frente a 342,52)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MPLX aporta la mitad del EBITDA normal; caja para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 3-2-1 de la costa del Golfo por debajo de 30 USD/barril o margen de R&amp;M de MPC por debajo de 20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Prohibición o límites a la exportación de diésel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(estimación propia: 1,48 M de barriles/día de exportaciones del país a recolocar)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Oposición del secretario de Energía y del sector; sería temporal (90 días).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 Casa Blanca o del Departamento de Energía.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en el pico del ciclo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(6.130 M a 485 USD frente a un valor de 338)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es flexible y se ajusta a la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de recompra en el 3T y 4T26 con el precio por encima de 400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Accidente o parada no programada en una refinería grande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Seguros y sistema de 13 refinerías.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Incendios o paradas en Galveston Bay o Garyville; huracanes en la costa del Golfo.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estructural de la demanda de gasolina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largo plazo (valor terminal)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Flexibilidad hacia diésel y queroseno; exportación.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vehículos eléctricos en EE. UU. por encima del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California: penalización del margen, inventarios mínimos y cap and invest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costa oeste pesa ≈19 % de la carga.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Aplicación de la penalización por margen máximo.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del RFS (RIN)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Exenciones concedidas en 2026; RIN propios del diésel renovable.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los RIN D4/D6 y obligaciones de 2027.</w:t>
            </w:r>
          </w:p>
        </w:tc>
      </w:tr>
    </w:tbl>
    <w:p>
      <w:pPr>
        <w:spacing w:after="160" w:before="0"/>
      </w:pPr>
    </w:p>
    <w:p>
      <w:pPr>
        <w:pStyle w:val="Heading2"/>
      </w:pPr>
      <w:r>
        <w:t xml:space="preserve">Pre-mortem</w:t>
      </w:r>
    </w:p>
    <w:p>
      <w:pPr>
        <w:spacing w:after="100"/>
      </w:pPr>
      <w:r>
        <w:t xml:space="preserve">Octubre de 2029: la acción vale 290 USD y ha perdido un 40 %. Qué pasó: a mediados de 2027 Ormuz llevaba un año abierto y las refinerías de Arabia Saudí, Kuwait y Emiratos volvieron a producir; Rusia levantó el veto a la exportación de diésel; los inventarios se rehicieron y el diferencial 3-2-1 bajó de 65 USD/barril a 18. El margen de R&amp;M de MPC volvió a 16 USD y el EBITDA del refino a 6 USD por barril, como en 2024. El BPA cayó de 59 USD en 2026 a 22 en 2028. MPC había gastado 15.000 M en recompras a 400-500 USD por acción. El mercado volvió a pagar 12-13 veces un beneficio normal. MPLX siguió creciendo, pero solo sostuvo un tercio del valor. La señal que lo habría anticipado: el diferencial del diésel bajando de 100 a 60 USD en otoño de 2026 mientras la acción seguía en máximos, y los propios directivos vendiendo sin comprar.</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+1 %</w:t>
      </w:r>
    </w:p>
    <w:p>
      <w:pPr>
        <w:spacing w:after="100"/>
      </w:pPr>
      <w:r>
        <w:t xml:space="preserve">La IA no sustituye el producto: nadie cambia gasolina, diésel o queroseno por un modelo de lenguaje, y la demanda de energía de los centros de datos favorece al gas que mueve MPLX (Pérmico y Marcellus). Toca los costes: optimización de la mezcla de crudos, mantenimiento predictivo y comercio, donde un punto de captura de margen vale ≈200 M al año con 3 M de barriles diarios; MPC ya presume de una captura del 105-112 % [3]. La IA no cambia la tesis: el valor depende del margen de refino y de cuánto dura. Señal a vigilar: que la captura de margen de los competidores alcance a la de MPC (su ventaja operativa se estrecharía). Riesgo de IA bajo.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el carbono y la seguridad. El RFS le costó 1.330 M en RIN en 2025 [1]. California obliga a inventarios mínimos y castiga márgenes altos, y su cap and invest añade coste a Los Ángeles y Martinez. La seguridad de procesos (incendios y escapes) es el riesgo operativo con más coste potencial. El negocio de diésel renovable no da dinero sin créditos (EBITDA de −110 M en 2025) [1].</w:t>
      </w:r>
    </w:p>
    <w:p>
      <w:pPr>
        <w:pStyle w:val="Heading2"/>
      </w:pPr>
      <w:r>
        <w:t xml:space="preserve">Controversias</w:t>
      </w:r>
    </w:p>
    <w:p>
      <w:pPr>
        <w:spacing w:after="100"/>
      </w:pPr>
      <w:r>
        <w:t xml:space="preserve">Litigios medioambientales habituales del sector y demandas climáticas de estados y municipios contra petroleras, en las que MPC figura como demandada junto a otras; en 2025 cobró 253 M netos por acuerdos judiciales [1]. No consta ninguna sanción grande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ciclo medio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por barril de R&amp;M considera la dirección de ciclo medio después de los cierres de capacidad de 2025-2026?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dato que decide la valoración: entre 6 y 13 USD por barril el BPA de 2028 va de 21 a 41 USD.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¿Seguirá recomprando a 480 USD por acción o guardará caja para el ciclo bajo?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Recomprar en el pico destruye valor si el margen se normaliza.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Exportación de diésel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su diésel exporta la costa del Golfo y qué haría con él si se limita la exportación?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prohibición es el riesgo regulatorio más cercano.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MPLX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¿Contempla vender parte de MPLX o simplificar la estructura (por ejemplo, para una fusión)?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estructura de MPLX frenó la fusión con Phillips 66 y el mercado puede no valorarla entera.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directivos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venden los directivos y nadie compra con la acción en máximos?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13,9 M de ventas sin compras en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¿Volverá a proponer desclasificar el consejo con una campaña para llegar al 80 %?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propuesta tuvo el 99 % de los votos emitidos pero no alcanzó el umbral estatutario.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por los máximos («absolute heater», «¿cuándo 500?»), algunos que recogen beneficios para rotar a otras ideas y avisos de una posible tormenta en la costa del Golfo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alcistas (el auge del refino durará hasta 2027; Rusia fuera del mercado de productos) y dos de rebaja por valoración tras la subida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(debate sobre la prohibición del diésel)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lectores ven la prohibición de exportar diésel como el mayor riesgo a corto plazo para los refinadores de la costa del Golfo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narrativas de la comunidad dan valores razonables muy por debajo del precio (≈300-380 USD) aunque las han ido subiendo [41].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Cuánto dura el margen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analistas ya baja el BPA de 64,86 USD en 2026 a 41,96 en 2028; nosotros a 27,6 (ciclo medio). Los alcistas de los foros extrapolan el margen de hoy.</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Prohibición de exportar diésel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y pendiente: el gobierno la estudió en septiembre y a principios de octubre seguía sobre la mesa [36, 38].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Momento y máximos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está a un 1,6 % de su máximo tras subir un 52,7 % en tres meses: el precio descuenta márgenes altos varios años.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Ciertas (6.130 M disponibles a junio), pero recomprar en el pico rinde menos [4].</w:t>
            </w:r>
          </w:p>
        </w:tc>
      </w:tr>
    </w:tbl>
    <w:p>
      <w:pPr>
        <w:spacing w:after="160" w:before="0"/>
      </w:pPr>
    </w:p>
    <w:p>
      <w:pPr>
        <w:spacing w:after="100"/>
      </w:pPr>
      <w:r>
        <w:t xml:space="preserve">El sentimiento es eufórico entre los particulares (Stocktwits) y más dividido entre los analistas de Seeking Alpha, que empiezan a rebajar por valoración. Es una señal contraria clásica de techo cíclico: nadie en los foros discute el margen de ciclo medio y la conversación se centra en el precio. El único riesgo que los foros añaden y que pesa a corto plazo es la prohibición de exportar diésel. El sentimiento no cambia la tesis, pero refuerza que el precio ya descuenta lo bueno.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24 controles correctos y 5 explicados. Fuentes: 42 (17 primarias); citas distintas en el texto: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Segmentos suman los ingresos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0 frente a ingresos 148.379 (-100,0 %). Si hay eliminaciones entre segmentos, explícalo. Explicación: MPC publica el EBITDA ajustado por segmento pero no los ingresos de terceros de cada uno (las ventas entre segmentos, sobre todo las tarifas de MPLX a R&amp;M, no se separan en las notas de prensa); los segmentos van sin ingresos.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Segmentos suman los ingresos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0 frente a ingresos 138.864 (-100,0 %). Si hay eliminaciones entre segmentos, explícalo. Explicación: MPC publica el EBITDA ajustado por segmento pero no los ingresos de terceros de cada uno (las ventas entre segmentos, sobre todo las tarifas de MPLX a R&amp;M, no se separan en las notas de prensa); los segmentos van sin ingresos.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Segmentos suman los ingresos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0 frente a ingresos 132.699 (-100,0 %). Si hay eliminaciones entre segmentos, explícalo. Explicación: MPC publica el EBITDA ajustado por segmento pero no los ingresos de terceros de cada uno (las ventas entre segmentos, sobre todo las tarifas de MPLX a R&amp;M, no se separan en las notas de prensa); los segmentos van sin ingresos.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5,0 % frente a 5,6 % real: genera una variación de circulante de 1.525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(10,5x → 7,3x): el salto implica un crecimiento del EBITDA que no cuadra con el de las ventas. ¿EBITDA de proveedores distintos, o un cambio de perímetro? Explicación: En MPC el salto de 10,5x a 7,3x es real: el EBITDA de los próximos 12 meses del consenso es el del pico (2T26-2T27) y además ajustado (sin paradas), frente a un LTM contable que todavía incluye el 2S25 normal.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(27,60) supone un 27,8 % anual desde 13,22 (2025): explícalo en valoracion.objetivo_12m.comentario o la confianza es baja. Explicación: El BPA base de 2028e (27,60 USD) está por debajo del de los últimos 12 meses (28,84 USD) y del consenso (41,96): el crecimiento frente a 2025 refleja la parte del pico de 2026-27 que se queda (cierres de refinerías y MPLX) y las recompras ya autorizadas, no una extrapolación del margen.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-29,6 % (-18,4 % con la prima del mercado) y el precio pide 5,8 puntos más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8, 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da el EBITDA ajustado por segmento pero los ingresos con ventas entre segmentos; 2) notas de prensa trimestrales: solo EBITDA; 3) XBRL: ingresos de terceros sin las ventas intersegmento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previo de 3T24-4T25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la empresa: no lo dan; 2) Seeking Alpha (titulares): solo 2T26; 3) prensa: solo 1T26 y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de MPC: no publica sus notas; 2) MSCI y Sustainalytics: de pago; 3) prensa: sin cifras recientes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larga de capacidad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EIA Refinery Capacity Report 2026: da 2025 y 2026; 2) tabla histórica de la EIA: no abierta; 3) prensa sectorial: solo el récord de mayo de 2020 (18,98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EV/EBITDA pagados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las operaciones de MPC y MPLX: sin múltiplo; 2) prensa sectorial: precios por barril de capacidad sin EBITDA; 3) Andeavor: EV de 35.600 M sin EBITDA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los próximos 12 meses y crecimiento esperado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LTM y PER adelantado; 2) MarketScreener: no abre las páginas de comparables; 3) consenso de cada uno: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«Outperform» medio; 2) Stock Analysis: «Buy» sin reparto; 3) prensa: datos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incremental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Motor: capital invertido casi plano (50.000-60.000 M) con NOPAT que va de −2.866 M a 16.759 M: el incremental no tiene sentido en una cíclica; 2) ROIC por segmento: MPC no publica el capital por segmento; 3) cálculo a ciclo medio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auditadas, segmentos, márgenes por barril, sensibilidades, deuda y vencimientos)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Marathon Petroleum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https://www.sec.gov/Archives/edgar/data/1510295/000151029526000009/mpc-20251231.htm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2016-2025, operaciones continuadas, minoritarios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https://data.sec.gov/api/xbrl/companyfacts/CIK0001510295.json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Reports Second-Quarter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https://www.sec.gov/Archives/edgar/data/1510295/000151029526000060/mpcq22026earningsrelease.htm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(balance a 30-jun-2026, participación del 64 % en MPLX, recompras,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https://www.sec.gov/Archives/edgar/data/1510295/000151029526000061/mpc-20260630.htm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Reports First-Quarter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https://www.sec.gov/Archives/edgar/data/1510295/000151029526000039/mpcq12026earningsrelease.htm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Reports Fourth-Quarter and Full-Year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https://www.sec.gov/Archives/edgar/data/1510295/000151029526000003/mpcq42025earningsrelease.htm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Reports Third-Quarter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https://www.sec.gov/Archives/edgar/data/1510295/000151029525000059/mpcq32025earningsrelease.htm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Reports Second-Quarter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https://www.sec.gov/Archives/edgar/data/1510295/000151029525000052/mpcq22025earningsrelease.htm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Q2 Earnings Call Highlights (margen capturado del 112 %, EBITDA por barril por región)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https://www.marketbeat.com/instant-alerts/marathon-petroleum-q2-earnings-call-highlights-2026-08-05/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Refinery Capacity Report 2026 (capacidad operable a 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Energy Information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https://www.eia.gov/petroleum/refinerycapacity/refcap26.pdf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Opinion: Iran war ushers in oil refining golden era. It won't last (Bousso)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Hydrocarbon Processing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https://hydrocarbonprocessing.com/news/2026/08/opinion-iran-war-ushers-in-oil-refining-golden-era-it-won-t-last/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Diesel Margins Top $100 a Barrel to Reach Record High as Supply Crunch Grows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News 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https://energynewsbeat.co/diesel/diesel-margins-top-100-a-barrel-to-reach-record-high-as-supply-crunch-grows/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Valero Energy (VLO):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https://stockanalysis.com/stocks/vlo/statistics/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Phillips 66 (PSX):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https://stockanalysis.com/stocks/psx/statistics/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HF Sinclair (DINO):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https://stockanalysis.com/stocks/dino/statistics/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PBF Energy (PBF):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https://stockanalysis.com/stocks/pbf/statistics/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Trump to consider diesel export restrictions amid political pressure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Commodity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https://www.spglobal.com/energy/en/news-research/latest-news/crude-oil/092226-trump-to-consider-diesel-export-restrictions-amid-political-pressure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Iran war disruptions send US refining margins to multi-year highs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Baird Maritime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https://www.bairdmaritime.com/offshore/refining-processing/iran-war-disruptions-send-us-refining-margins-to-multi-year-highs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comisiones, remuneración,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https://www.sec.gov/Archives/edgar/data/1510295/000151029526000023/mpc-20260316.htm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https://www.sec.gov/Archives/edgar/data/1510295/000151029526000033/mpc-20260429.htm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Elects Maryann T. Mannen as Chairman of the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https://www.sec.gov/Archives/edgar/data/1510295/000151029525000065/mpcex991mpcchairman.htm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Names Maria A. Khoury as Chief Financial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https://www.sec.gov/Archives/edgar/data/1510295/000151029525000070/mpcex991mpcdec12.htm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MPC presentados entre 15-oct-2025 y 15-oct-2026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https://www.sec.gov/cgi-bin/browse-edgar?action=getcompany&amp;CIK=0001510295&amp;type=4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fallecimiento del consejero Abdulaziz F. Alkhayyal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https://www.sec.gov/Archives/edgar/data/1510295/000151029526000055/mpc-20260626.htm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MPC, SPY y XLE (bolsa.mjs) y movimiento del precio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https://finance.yahoo.com/quote/MPC/history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Corporation: finanzas y estimaciones 2026-2028, objetivo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https://www.marketscreener.com/quote/stock/MARATHON-PETROLEUM-CORPOR-8251813/finances/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MPC: previsiones de analistas (19 analistas, objetivo 442,33 USD, BPA 2026 y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https://stockanalysis.com/stocks/mpc/forecast/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MPC: estadísticas (capitalización, valor empresa, posición corta,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https://stockanalysis.com/stocks/mpc/statistics/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del bono del Tesoro a 10 años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Banco de la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Delek US (DK):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 Pacific (PARR):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https://stockanalysis.com/stocks/parr/statistics/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CVR Energy (CVI):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https://stockanalysis.com/stocks/cvi/statistics/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Exclusive: Phillips 66, Marathon held now-scuttled merger talks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Semafor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https://semafor.com/article/08/14/2026/phillips-66-marathon-held-now-scuttled-merger-talks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MPC (Jefferies rebaja a Valero y Marathon el 22-sep; apoyo a la prohibición de exportar diésel; exenciones de la EPA)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https://seekingalpha.com/symbol/MPC/news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White House edges closer to 90-day US diesel export ban despite cabinet pushback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investingLive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https://investinglive.com/commodities/white-house-edges-closer-to-90-day-us-diesel-export-ban-despite-cabinet-pushback/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to Report Third-Quarter Financial Results on November 3,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Corp.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https://finviz.com/news/393371/marathon-petroleum-corp-to-report-third-quarter-financial-results-on-november-3-2026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Trump pushes Treasury for diesel price relief as export ban threat lingers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roic.ai (noticias)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https://www.roic.ai/news/trump-pushes-treasury-for-diesel-price-relief-as-export-ban-threat-lingers-10-05-2026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de mensajes de $MPC (últimos 30, 9-15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https://stocktwits.com/symbol/MPC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lectores de Seeking Alpha sobre MPC (jul-sep 2026: «Crack Spreads And Marathon Petroleum's Explosive Rally», «Further Upside With Refining Boom Likely Set To Last Through 2027», «Why Stock Plummeted After A Massive Beat»)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https://seekingalpha.com/api/sa/combined/MPC.xml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Marathon Petroleum: comunidad y estimaciones de valor razonable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https://www.simplywall.st/stocks/us/energy/nyse-mpc/marathon-petroleum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Breakeven de inflación a 10 años (T10YIE): 2,35 %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Banco de la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https://fred.stlouisfed.org/series/T10YIE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89,8 %</w:t>
      </w:r>
      <w:r>
        <w:t xml:space="preserve"> · Secciones con menos del 60 % de campos cubiertos: </w:t>
      </w:r>
      <w:r>
        <w:rPr>
          <w:b/>
          <w:bCs/>
        </w:rPr>
        <w:t xml:space="preserve">ninguna</w:t>
      </w:r>
      <w:r>
        <w:t xml:space="preserve"> · Generado el 15 oct 2026.</w:t>
      </w:r>
    </w:p>
    <w:p>
      <w:pPr>
        <w:pStyle w:val="Nota"/>
        <w:spacing w:after="100"/>
      </w:pPr>
      <w:r>
        <w:t xml:space="preserve">Línea cotizada: acciones ordinarias en la Bolsa de Nueva York (MPC), única clase. Precio: cierre del 14-oct-2026 (484,92 USD), porque la sesión del 15-oct no había cerrado a la hora del análisis [25]. Cuentas 2020-2025 del XBRL de la SEC en operaciones continuadas (2020 y 2021 sin Speedway, vendida en 2021), comprobadas con el 10-K 2025 y el 10-Q del 2T26 [1, 2, 4]. Las cuentas consolidan MPLX al 100 % aunque MPC tiene el 64 % de sus unidades: los minoritarios del puente son las unidades de MPLX en manos de terceros a precio de mercado (≈364 M de unidades a 57,06 USD = 20.770 M) [4, 25]. US GAAP: arrendamientos operativos dentro del EBITDA y fuera de la deuda. El EBITDA es el contable, después de las paradas programadas; el de la empresa y el del consenso las excluyen. Los segmentos se publican solo con EBITDA ajustado, sin ingresos de terceros. El BPA de 2028e es de ciclo medio (margen normalizado), no una previsión del margen de hoy.</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Marathon Petroleum Corporation (MPC)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484,92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(161,93 – 485,22)</c:v>
                </c:pt>
                <c:pt idx="1">
                  <c:v>Precio objetivo de los analistas (236,00 – 560,00)</c:v>
                </c:pt>
                <c:pt idx="2">
                  <c:v>Comparables: PER NTM (263,88 – 469,57)</c:v>
                </c:pt>
                <c:pt idx="3">
                  <c:v>DCF (WACC y g ± 0,5) (294,23 – 405,48)</c:v>
                </c:pt>
                <c:pt idx="4">
                  <c:v>Escenarios (bajista – alcista) (186,06 – 483,14)</c:v>
                </c:pt>
                <c:pt idx="5">
                  <c:v>Suma de partes (253,85 – 403,37)</c:v>
                </c:pt>
                <c:pt idx="6">
                  <c:v>DCF con la prima implícita del mercado (4,2 %)</c:v>
                </c:pt>
                <c:pt idx="7">
                  <c:v>Precio actual (484,92)</c:v>
                </c:pt>
              </c:strCache>
            </c:strRef>
          </c:cat>
          <c:val>
            <c:numRef>
              <c:f>Hoja1!$B$2:$B$9</c:f>
              <c:numCache>
                <c:formatCode>#,##0</c:formatCode>
                <c:ptCount val="8"/>
                <c:pt idx="0">
                  <c:v>161.93</c:v>
                </c:pt>
                <c:pt idx="1">
                  <c:v>236</c:v>
                </c:pt>
                <c:pt idx="2">
                  <c:v>263.88</c:v>
                </c:pt>
                <c:pt idx="3">
                  <c:v>294.23</c:v>
                </c:pt>
                <c:pt idx="4">
                  <c:v>186.06</c:v>
                </c:pt>
                <c:pt idx="5">
                  <c:v>253.85</c:v>
                </c:pt>
                <c:pt idx="6">
                  <c:v>380.49</c:v>
                </c:pt>
                <c:pt idx="7">
                  <c:v>482.5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(161,93 – 485,22)</c:v>
                </c:pt>
                <c:pt idx="1">
                  <c:v>Precio objetivo de los analistas (236,00 – 560,00)</c:v>
                </c:pt>
                <c:pt idx="2">
                  <c:v>Comparables: PER NTM (263,88 – 469,57)</c:v>
                </c:pt>
                <c:pt idx="3">
                  <c:v>DCF (WACC y g ± 0,5) (294,23 – 405,48)</c:v>
                </c:pt>
                <c:pt idx="4">
                  <c:v>Escenarios (bajista – alcista) (186,06 – 483,14)</c:v>
                </c:pt>
                <c:pt idx="5">
                  <c:v>Suma de partes (253,85 – 403,37)</c:v>
                </c:pt>
                <c:pt idx="6">
                  <c:v>DCF con la prima implícita del mercado (4,2 %)</c:v>
                </c:pt>
                <c:pt idx="7">
                  <c:v>Precio actual (484,92)</c:v>
                </c:pt>
              </c:strCache>
            </c:strRef>
          </c:cat>
          <c:val>
            <c:numRef>
              <c:f>Hoja1!$C$2:$C$9</c:f>
              <c:numCache>
                <c:formatCode>#,##0</c:formatCode>
                <c:ptCount val="8"/>
                <c:pt idx="0">
                  <c:v>323.29</c:v>
                </c:pt>
                <c:pt idx="1">
                  <c:v>324</c:v>
                </c:pt>
                <c:pt idx="2">
                  <c:v>205.69</c:v>
                </c:pt>
                <c:pt idx="3">
                  <c:v>111.25</c:v>
                </c:pt>
                <c:pt idx="4">
                  <c:v>297.08</c:v>
                </c:pt>
                <c:pt idx="5">
                  <c:v>149.52</c:v>
                </c:pt>
                <c:pt idx="6">
                  <c:v>87.74000000000001</c:v>
                </c:pt>
                <c:pt idx="7">
                  <c:v>4.839999999999975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Exportación y otros</c:v>
                </c:pt>
              </c:strCache>
            </c:strRef>
          </c:cat>
          <c:val>
            <c:numRef>
              <c:f>Hoja1!$B$2:$B$3</c:f>
              <c:numCache>
                <c:formatCode>0"%"</c:formatCode>
                <c:ptCount val="2"/>
                <c:pt idx="0">
                  <c:v>88</c:v>
                </c:pt>
                <c:pt idx="1">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barriles por día de capacidad operable (1 de enero))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2026</c:v>
                </c:pt>
              </c:strCache>
            </c:strRef>
          </c:cat>
          <c:val>
            <c:numRef>
              <c:f>Hoja1!$B$2:$B$3</c:f>
              <c:numCache>
                <c:formatCode>#,##0</c:formatCode>
                <c:ptCount val="2"/>
                <c:pt idx="0">
                  <c:v>18450</c:v>
                </c:pt>
                <c:pt idx="1">
                  <c:v>18200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Marathon Petroleum</c:v>
                </c:pt>
                <c:pt idx="1">
                  <c:v>Valero Energy</c:v>
                </c:pt>
                <c:pt idx="2">
                  <c:v>Phillips 66</c:v>
                </c:pt>
                <c:pt idx="3">
                  <c:v>HF Sinclair</c:v>
                </c:pt>
                <c:pt idx="4">
                  <c:v>PBF Energy</c:v>
                </c:pt>
                <c:pt idx="5">
                  <c:v>ExxonMobil (refino de EE. UU.)</c:v>
                </c:pt>
              </c:strCache>
            </c:strRef>
          </c:cat>
          <c:val>
            <c:numRef>
              <c:f>Hoja1!$B$2:$B$7</c:f>
              <c:numCache>
                <c:formatCode>0.0"%"</c:formatCode>
                <c:ptCount val="6"/>
                <c:pt idx="0">
                  <c:v>6.2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2</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69779</c:v>
                </c:pt>
                <c:pt idx="1">
                  <c:v>119983</c:v>
                </c:pt>
                <c:pt idx="2">
                  <c:v>177453</c:v>
                </c:pt>
                <c:pt idx="3">
                  <c:v>148379</c:v>
                </c:pt>
                <c:pt idx="4">
                  <c:v>138864</c:v>
                </c:pt>
                <c:pt idx="5">
                  <c:v>132699</c:v>
                </c:pt>
                <c:pt idx="6">
                  <c:v>179940</c:v>
                </c:pt>
                <c:pt idx="7">
                  <c:v>159967</c:v>
                </c:pt>
                <c:pt idx="8">
                  <c:v>144930</c:v>
                </c:pt>
                <c:pt idx="9">
                  <c:v>147828</c:v>
                </c:pt>
                <c:pt idx="10">
                  <c:v>150785</c:v>
                </c:pt>
                <c:pt idx="11">
                  <c:v>153801</c:v>
                </c:pt>
                <c:pt idx="12">
                  <c:v>156877</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-446</c:v>
                </c:pt>
                <c:pt idx="1">
                  <c:v>7664</c:v>
                </c:pt>
                <c:pt idx="2">
                  <c:v>24684</c:v>
                </c:pt>
                <c:pt idx="3">
                  <c:v>17821</c:v>
                </c:pt>
                <c:pt idx="4">
                  <c:v>10133</c:v>
                </c:pt>
                <c:pt idx="5">
                  <c:v>11542</c:v>
                </c:pt>
                <c:pt idx="6">
                  <c:v>27891</c:v>
                </c:pt>
                <c:pt idx="7">
                  <c:v>21995</c:v>
                </c:pt>
                <c:pt idx="8">
                  <c:v>16450</c:v>
                </c:pt>
                <c:pt idx="9">
                  <c:v>16852</c:v>
                </c:pt>
                <c:pt idx="10">
                  <c:v>17189</c:v>
                </c:pt>
                <c:pt idx="11">
                  <c:v>17533</c:v>
                </c:pt>
                <c:pt idx="12">
                  <c:v>17884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5.8</c:v>
                </c:pt>
                <c:pt idx="1">
                  <c:v>8.3</c:v>
                </c:pt>
                <c:pt idx="2">
                  <c:v>14.5</c:v>
                </c:pt>
                <c:pt idx="3">
                  <c:v>13.4</c:v>
                </c:pt>
                <c:pt idx="4">
                  <c:v>9.1</c:v>
                </c:pt>
                <c:pt idx="5">
                  <c:v>10</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-0.6</c:v>
                </c:pt>
                <c:pt idx="1">
                  <c:v>6.4</c:v>
                </c:pt>
                <c:pt idx="2">
                  <c:v>13.9</c:v>
                </c:pt>
                <c:pt idx="3">
                  <c:v>12</c:v>
                </c:pt>
                <c:pt idx="4">
                  <c:v>7.3</c:v>
                </c:pt>
                <c:pt idx="5">
                  <c:v>8.7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-5.5</c:v>
                </c:pt>
                <c:pt idx="1">
                  <c:v>3.6</c:v>
                </c:pt>
                <c:pt idx="2">
                  <c:v>12.1</c:v>
                </c:pt>
                <c:pt idx="3">
                  <c:v>9.8</c:v>
                </c:pt>
                <c:pt idx="4">
                  <c:v>4.9</c:v>
                </c:pt>
                <c:pt idx="5">
                  <c:v>6.2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-15.8</c:v>
                </c:pt>
                <c:pt idx="1">
                  <c:v>1.1</c:v>
                </c:pt>
                <c:pt idx="2">
                  <c:v>8.1</c:v>
                </c:pt>
                <c:pt idx="3">
                  <c:v>6.5</c:v>
                </c:pt>
                <c:pt idx="4">
                  <c:v>2.5</c:v>
                </c:pt>
                <c:pt idx="5">
                  <c:v>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3">
                  <c:v>-10.9</c:v>
                </c:pt>
                <c:pt idx="4">
                  <c:v>-0.8</c:v>
                </c:pt>
                <c:pt idx="5">
                  <c:v>-1.7</c:v>
                </c:pt>
                <c:pt idx="6">
                  <c:v>8.5</c:v>
                </c:pt>
                <c:pt idx="7">
                  <c:v>53.8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30</c:v>
                </c:pt>
                <c:pt idx="1">
                  <c:v>34</c:v>
                </c:pt>
                <c:pt idx="2">
                  <c:v>28</c:v>
                </c:pt>
                <c:pt idx="3">
                  <c:v>30</c:v>
                </c:pt>
                <c:pt idx="4">
                  <c:v>29</c:v>
                </c:pt>
                <c:pt idx="5">
                  <c:v>28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44</c:v>
                </c:pt>
                <c:pt idx="1">
                  <c:v>27</c:v>
                </c:pt>
                <c:pt idx="2">
                  <c:v>21</c:v>
                </c:pt>
                <c:pt idx="3">
                  <c:v>26</c:v>
                </c:pt>
                <c:pt idx="4">
                  <c:v>28</c:v>
                </c:pt>
                <c:pt idx="5">
                  <c:v>31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43</c:v>
                </c:pt>
                <c:pt idx="1">
                  <c:v>45</c:v>
                </c:pt>
                <c:pt idx="2">
                  <c:v>37</c:v>
                </c:pt>
                <c:pt idx="3">
                  <c:v>39</c:v>
                </c:pt>
                <c:pt idx="4">
                  <c:v>40</c:v>
                </c:pt>
                <c:pt idx="5">
                  <c:v>40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-434</c:v>
                </c:pt>
                <c:pt idx="1">
                  <c:v>2825</c:v>
                </c:pt>
                <c:pt idx="2">
                  <c:v>13862</c:v>
                </c:pt>
                <c:pt idx="3">
                  <c:v>12148</c:v>
                </c:pt>
                <c:pt idx="4">
                  <c:v>6050</c:v>
                </c:pt>
                <c:pt idx="5">
                  <c:v>4659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-11031</c:v>
                </c:pt>
                <c:pt idx="1">
                  <c:v>1290</c:v>
                </c:pt>
                <c:pt idx="2">
                  <c:v>14444</c:v>
                </c:pt>
                <c:pt idx="3">
                  <c:v>9681</c:v>
                </c:pt>
                <c:pt idx="4">
                  <c:v>3445</c:v>
                </c:pt>
                <c:pt idx="5">
                  <c:v>4047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-4.7</c:v>
                </c:pt>
                <c:pt idx="1">
                  <c:v>6.9</c:v>
                </c:pt>
                <c:pt idx="2">
                  <c:v>31.9</c:v>
                </c:pt>
                <c:pt idx="3">
                  <c:v>22.2</c:v>
                </c:pt>
                <c:pt idx="4">
                  <c:v>11.5</c:v>
                </c:pt>
                <c:pt idx="5">
                  <c:v>13.6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9.5</c:v>
                </c:pt>
                <c:pt idx="1">
                  <c:v>9.5</c:v>
                </c:pt>
                <c:pt idx="2">
                  <c:v>9.5</c:v>
                </c:pt>
                <c:pt idx="3">
                  <c:v>9.5</c:v>
                </c:pt>
                <c:pt idx="4">
                  <c:v>9.5</c:v>
                </c:pt>
                <c:pt idx="5">
                  <c:v>9.5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-49.7</c:v>
                </c:pt>
                <c:pt idx="1">
                  <c:v>5.3</c:v>
                </c:pt>
                <c:pt idx="2">
                  <c:v>53.6</c:v>
                </c:pt>
                <c:pt idx="3">
                  <c:v>37.1</c:v>
                </c:pt>
                <c:pt idx="4">
                  <c:v>16.3</c:v>
                </c:pt>
                <c:pt idx="5">
                  <c:v>23.1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-69.89</c:v>
                </c:pt>
                <c:pt idx="1">
                  <c:v>2.64</c:v>
                </c:pt>
                <c:pt idx="2">
                  <c:v>0.73</c:v>
                </c:pt>
                <c:pt idx="3">
                  <c:v>1.23</c:v>
                </c:pt>
                <c:pt idx="4">
                  <c:v>2.4</c:v>
                </c:pt>
                <c:pt idx="5">
                  <c:v>2.53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2263</c:v>
                </c:pt>
                <c:pt idx="1">
                  <c:v>2014</c:v>
                </c:pt>
                <c:pt idx="2">
                  <c:v>1764</c:v>
                </c:pt>
                <c:pt idx="3">
                  <c:v>764</c:v>
                </c:pt>
                <c:pt idx="4">
                  <c:v>2614</c:v>
                </c:pt>
                <c:pt idx="5">
                  <c:v>23600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413</c:v>
                </c:pt>
                <c:pt idx="3">
                  <c:v>246</c:v>
                </c:pt>
                <c:pt idx="4">
                  <c:v>688</c:v>
                </c:pt>
                <c:pt idx="5">
                  <c:v>3316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1510</c:v>
                </c:pt>
                <c:pt idx="1">
                  <c:v>1484</c:v>
                </c:pt>
                <c:pt idx="2">
                  <c:v>1279</c:v>
                </c:pt>
                <c:pt idx="3">
                  <c:v>1261</c:v>
                </c:pt>
                <c:pt idx="4">
                  <c:v>1154</c:v>
                </c:pt>
                <c:pt idx="5">
                  <c:v>1140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4654</c:v>
                </c:pt>
                <c:pt idx="2">
                  <c:v>11922</c:v>
                </c:pt>
                <c:pt idx="3">
                  <c:v>11572</c:v>
                </c:pt>
                <c:pt idx="4">
                  <c:v>9189</c:v>
                </c:pt>
                <c:pt idx="5">
                  <c:v>3488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State Street</c:v>
                </c:pt>
                <c:pt idx="2">
                  <c:v>BlackRock</c:v>
                </c:pt>
                <c:pt idx="3">
                  <c:v>Consejeros y directivos (18)</c:v>
                </c:pt>
              </c:strCache>
            </c:strRef>
          </c:cat>
          <c:val>
            <c:numRef>
              <c:f>Hoja1!$B$2:$B$5</c:f>
              <c:numCache>
                <c:formatCode>0.0"%"</c:formatCode>
                <c:ptCount val="4"/>
                <c:pt idx="0">
                  <c:v>13.2</c:v>
                </c:pt>
                <c:pt idx="1">
                  <c:v>8.5</c:v>
                </c:pt>
                <c:pt idx="2">
                  <c:v>7.1</c:v>
                </c:pt>
                <c:pt idx="3">
                  <c:v>0.17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0.7</c:v>
                </c:pt>
                <c:pt idx="1">
                  <c:v>34.8</c:v>
                </c:pt>
                <c:pt idx="2">
                  <c:v>-8.2</c:v>
                </c:pt>
                <c:pt idx="3">
                  <c:v>6.1</c:v>
                </c:pt>
                <c:pt idx="4">
                  <c:v>-27.4</c:v>
                </c:pt>
                <c:pt idx="5">
                  <c:v>61</c:v>
                </c:pt>
                <c:pt idx="6">
                  <c:v>86.6</c:v>
                </c:pt>
                <c:pt idx="7">
                  <c:v>30.5</c:v>
                </c:pt>
                <c:pt idx="8">
                  <c:v>-4.1</c:v>
                </c:pt>
                <c:pt idx="9">
                  <c:v>19.2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1">
                  <c:v>8.8</c:v>
                </c:pt>
                <c:pt idx="2">
                  <c:v>3.4</c:v>
                </c:pt>
                <c:pt idx="3">
                  <c:v>5</c:v>
                </c:pt>
                <c:pt idx="4">
                  <c:v>7.7</c:v>
                </c:pt>
                <c:pt idx="5">
                  <c:v>7.4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7.4</c:v>
                </c:pt>
                <c:pt idx="1">
                  <c:v>7.4</c:v>
                </c:pt>
                <c:pt idx="2">
                  <c:v>7.4</c:v>
                </c:pt>
                <c:pt idx="3">
                  <c:v>7.4</c:v>
                </c:pt>
                <c:pt idx="4">
                  <c:v>7.4</c:v>
                </c:pt>
                <c:pt idx="5">
                  <c:v>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Marathon Petroleum</c:v>
                </c:pt>
                <c:pt idx="1">
                  <c:v>Valero Energy</c:v>
                </c:pt>
                <c:pt idx="2">
                  <c:v>Phillips 66</c:v>
                </c:pt>
                <c:pt idx="3">
                  <c:v>HF Sinclair</c:v>
                </c:pt>
                <c:pt idx="4">
                  <c:v>PBF Energy</c:v>
                </c:pt>
                <c:pt idx="5">
                  <c:v>Delek US</c:v>
                </c:pt>
                <c:pt idx="6">
                  <c:v>Par Pacific</c:v>
                </c:pt>
                <c:pt idx="7">
                  <c:v>CVR Energy</c:v>
                </c:pt>
              </c:strCache>
            </c:strRef>
          </c:cat>
          <c:val>
            <c:numRef>
              <c:f>Hoja1!$B$2:$B$9</c:f>
              <c:numCache>
                <c:formatCode>0.0"x"</c:formatCode>
                <c:ptCount val="8"/>
                <c:pt idx="0">
                  <c:v>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17282</c:v>
                </c:pt>
                <c:pt idx="1">
                  <c:v>15015</c:v>
                </c:pt>
                <c:pt idx="2">
                  <c:v>10664</c:v>
                </c:pt>
                <c:pt idx="3">
                  <c:v>10173</c:v>
                </c:pt>
                <c:pt idx="4">
                  <c:v>10528</c:v>
                </c:pt>
                <c:pt idx="5">
                  <c:v>10906</c:v>
                </c:pt>
                <c:pt idx="6">
                  <c:v>11281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56133</c:v>
                </c:pt>
                <c:pt idx="1">
                  <c:v>87824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484,92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186.06</c:v>
                </c:pt>
                <c:pt idx="1">
                  <c:v>342.52</c:v>
                </c:pt>
                <c:pt idx="2">
                  <c:v>483.14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484,92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(161,93 – 485,22)</c:v>
                </c:pt>
                <c:pt idx="1">
                  <c:v>Precio objetivo de los analistas (236,00 – 560,00)</c:v>
                </c:pt>
                <c:pt idx="2">
                  <c:v>Comparables: PER NTM (263,88 – 469,57)</c:v>
                </c:pt>
                <c:pt idx="3">
                  <c:v>DCF (WACC y g ± 0,5) (294,23 – 405,48)</c:v>
                </c:pt>
                <c:pt idx="4">
                  <c:v>Escenarios (bajista – alcista) (186,06 – 483,14)</c:v>
                </c:pt>
                <c:pt idx="5">
                  <c:v>Suma de partes (253,85 – 403,37)</c:v>
                </c:pt>
                <c:pt idx="6">
                  <c:v>DCF con la prima implícita del mercado (4,2 %)</c:v>
                </c:pt>
                <c:pt idx="7">
                  <c:v>Precio actual (484,92)</c:v>
                </c:pt>
              </c:strCache>
            </c:strRef>
          </c:cat>
          <c:val>
            <c:numRef>
              <c:f>Hoja1!$B$2:$B$9</c:f>
              <c:numCache>
                <c:formatCode>#,##0</c:formatCode>
                <c:ptCount val="8"/>
                <c:pt idx="0">
                  <c:v>161.93</c:v>
                </c:pt>
                <c:pt idx="1">
                  <c:v>236</c:v>
                </c:pt>
                <c:pt idx="2">
                  <c:v>263.88</c:v>
                </c:pt>
                <c:pt idx="3">
                  <c:v>294.23</c:v>
                </c:pt>
                <c:pt idx="4">
                  <c:v>186.06</c:v>
                </c:pt>
                <c:pt idx="5">
                  <c:v>253.85</c:v>
                </c:pt>
                <c:pt idx="6">
                  <c:v>380.49</c:v>
                </c:pt>
                <c:pt idx="7">
                  <c:v>482.5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(161,93 – 485,22)</c:v>
                </c:pt>
                <c:pt idx="1">
                  <c:v>Precio objetivo de los analistas (236,00 – 560,00)</c:v>
                </c:pt>
                <c:pt idx="2">
                  <c:v>Comparables: PER NTM (263,88 – 469,57)</c:v>
                </c:pt>
                <c:pt idx="3">
                  <c:v>DCF (WACC y g ± 0,5) (294,23 – 405,48)</c:v>
                </c:pt>
                <c:pt idx="4">
                  <c:v>Escenarios (bajista – alcista) (186,06 – 483,14)</c:v>
                </c:pt>
                <c:pt idx="5">
                  <c:v>Suma de partes (253,85 – 403,37)</c:v>
                </c:pt>
                <c:pt idx="6">
                  <c:v>DCF con la prima implícita del mercado (4,2 %)</c:v>
                </c:pt>
                <c:pt idx="7">
                  <c:v>Precio actual (484,92)</c:v>
                </c:pt>
              </c:strCache>
            </c:strRef>
          </c:cat>
          <c:val>
            <c:numRef>
              <c:f>Hoja1!$C$2:$C$9</c:f>
              <c:numCache>
                <c:formatCode>#,##0</c:formatCode>
                <c:ptCount val="8"/>
                <c:pt idx="0">
                  <c:v>323.29</c:v>
                </c:pt>
                <c:pt idx="1">
                  <c:v>324</c:v>
                </c:pt>
                <c:pt idx="2">
                  <c:v>205.69</c:v>
                </c:pt>
                <c:pt idx="3">
                  <c:v>111.25</c:v>
                </c:pt>
                <c:pt idx="4">
                  <c:v>297.08</c:v>
                </c:pt>
                <c:pt idx="5">
                  <c:v>149.52</c:v>
                </c:pt>
                <c:pt idx="6">
                  <c:v>87.74000000000001</c:v>
                </c:pt>
                <c:pt idx="7">
                  <c:v>4.839999999999975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