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Modine Manufacturing Company</w:t>
      </w:r>
    </w:p>
    <w:p>
      <w:pPr>
        <w:spacing w:after="60"/>
        <w:rPr>
          <w:color w:val="52514E"/>
          <w:sz w:val="22"/>
          <w:szCs w:val="22"/>
        </w:rPr>
      </w:pPr>
      <w:r>
        <w:rPr>
          <w:color w:val="52514E"/>
          <w:sz w:val="22"/>
          <w:szCs w:val="22"/>
        </w:rPr>
        <w:t xml:space="preserve">MOD · NYSE · ISIN US6078281002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157,75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204,54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+29,7 % (base +21,2 %)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93,14 USD · mercado 108,25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8.519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Modine Manufacturing Company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 / US6078281002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MidCap 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Productos de construcción / equipos de climatización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Racine (Wisconsin) · 1916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https://www.modine.com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157,75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111,18 – 323,25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8.519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8.815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271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204,54 USD</w:t>
      </w:r>
      <w:r>
        <w:t xml:space="preserve"> frente a 157,75 · Rentabilidad a 12 meses </w:t>
      </w:r>
      <w:r>
        <w:rPr>
          <w:b/>
          <w:bCs/>
        </w:rPr>
        <w:t xml:space="preserve">+29,7 % (base +21,2 %)</w:t>
      </w:r>
      <w:r>
        <w:t xml:space="preserve"> · Valor intrínseco 93,14 USD · con la prima implícita del mercado: 108,25 (-31,4 %) · Alcista / bajista -36,6 % / -74,8 %</w:t>
      </w:r>
    </w:p>
    <w:p>
      <w:pPr>
        <w:spacing w:after="100"/>
      </w:pPr>
      <w:r>
        <w:rPr>
          <w:b/>
        </w:rPr>
        <w:t xml:space="preserve">La recomendación y por qué.</w:t>
      </w:r>
      <w:r>
        <w:t xml:space="preserve"> Mantener, con convicción media, y no comprar. La regla a 12 meses da un objetivo de 204,54 USD (+29,7 % ponderada y +21,2 % en el base, con la regla v2 que elige el selector por tener solo tres años de historia útil), pero el valor intrínseco es de 93,14 USD, un 41,0 % por debajo de los 157,75 USD del cierre del 14-oct: no pasa el filtro de valor real y la regla del valor intrínseco da Vender con el WACC propio y con la prima del mercado. El objetivo medio de los analistas, 302,13 USD, queda fuera de nuestro rango y es en su mayoría anterior a la caída y a la escisión. La convicción es media: subiría si el margen bruto de centros de datos vuelve al 24 % en el 2T o el 3T FY2027, y bajaría si la guía sin Performance Technologies queda por debajo de 450 M de EBITDA ajustado.</w:t>
      </w:r>
    </w:p>
    <w:p>
      <w:pPr>
        <w:spacing w:after="100"/>
      </w:pPr>
      <w:r>
        <w:rPr>
          <w:b/>
        </w:rPr>
        <w:t xml:space="preserve">El negocio.</w:t>
      </w:r>
      <w:r>
        <w:t xml:space="preserve"> Desde el 1-oct Modine es una empresa de refrigeración de centros de datos (≈54 % de las ventas) y climatización comercial: naves, edificios, invernaderos y frío comercial [4, 16]. Las ventas de centros de datos pasaron de 138 M en FY2022 a 1.112 M en FY2026 [2, 5], pero el ROIC del perímetro es del 12,9 %, casi igual al WACC del 12,84 %, y el foso es estrecho: diez clientes son la mitad de las ventas y el margen bruto de centros de datos cayó del 29,8 % al 20,2 % en el 1T FY2027 al arrancar capacidad [2, 3]. Sostenibilidad del crecimiento: «En parte». Las pruebas de reinversión pasan, pero el poder de precios no está demostrado y todo depende de un solo ciclo de inversión.</w:t>
      </w:r>
    </w:p>
    <w:p>
      <w:pPr>
        <w:spacing w:after="100"/>
      </w:pPr>
      <w:r>
        <w:rPr>
          <w:b/>
        </w:rPr>
        <w:t xml:space="preserve">Finanzas.</w:t>
      </w:r>
      <w:r>
        <w:t xml:space="preserve"> La historia es pro forma (FY2024-FY2026) y estimada (FY2022-FY2023) [1, 5]. Deuda neta pro forma de 265 M (0,9 veces el EBITDA) tras amortizar 198,6 M con el cobro de la escisión [1]. El flujo libre del 1T fue negativo por el capex de capacidad [3]. El BPA de FY2026 (1,00 USD) lleva un cargo de pensiones de 116,1 M [1].</w:t>
      </w:r>
    </w:p>
    <w:p>
      <w:pPr>
        <w:spacing w:after="100"/>
      </w:pPr>
      <w:r>
        <w:rPr>
          <w:b/>
        </w:rPr>
        <w:t xml:space="preserve">Equipo y gobierno.</w:t>
      </w:r>
      <w:r>
        <w:t xml:space="preserve"> El equipo que hizo la transformación sigue. Restan 40,4 M USD de ventas de directivos en 12 meses sin una compra [20] y un consejo escalonado [19].</w:t>
      </w:r>
    </w:p>
    <w:p>
      <w:pPr>
        <w:spacing w:after="100"/>
      </w:pPr>
      <w:r>
        <w:rPr>
          <w:b/>
        </w:rPr>
        <w:t xml:space="preserve">Valoración.</w:t>
      </w:r>
      <w:r>
        <w:t xml:space="preserve"> El DCF da 67,51 USD; los comparables por PER, 194,45 USD. El DCF inverso pide un margen EBITDA del 30 % con nuestro crecimiento, frente al 17 % de nuestro caso base y el 23 % de Vertiv; a este precio la rentabilidad implícita es del 7,8 % anual, por debajo del 12,8 % de coste de capital y del 11,0 % del mercado. Nuestro BPA de FY2028e (7,35 USD) está un 28 % por debajo del consenso (10,16 USD) por ventas y margen. El mercado paga crecimiento; nosotros no vemos el margen que lo justifique.</w:t>
      </w:r>
    </w:p>
    <w:p>
      <w:pPr>
        <w:spacing w:after="100"/>
      </w:pPr>
      <w:r>
        <w:rPr>
          <w:b/>
        </w:rPr>
        <w:t xml:space="preserve">Riesgos y catalizadores.</w:t>
      </w:r>
      <w:r>
        <w:t xml:space="preserve"> Un frenazo del capex de IA lleva al bajista (39,80 USD de valor, −74,8 %); el margen de centros de datos que no vuelve resta un 20 %; la concentración de clientes, un 15 % por cliente grande. Catalizadores: resultados del 2T FY2027 hacia el 28-oct con la primera guía sin Performance Technologies y la junta del 13-nov. Los foros están divididos; no añaden riesgos.</w:t>
      </w:r>
    </w:p>
    <w:p>
      <w:pPr>
        <w:spacing w:after="100"/>
      </w:pPr>
      <w:r>
        <w:rPr>
          <w:b/>
        </w:rPr>
        <w:t xml:space="preserve">Qué cambiaría la decisión.</w:t>
      </w:r>
      <w:r>
        <w:t xml:space="preserve"> Comprar por debajo de 93,14 USD con la calidad cumplida (ROIC − WACC ≥ 5 puntos); vender por encima de 227,27 USD. Revisaríamos al alza con un margen EBITDA del perímetro por encima del 18 % dos trimestres seguidos, que subiría el valor intrínseco.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204,54 USD</w:t>
      </w:r>
      <w:r>
        <w:t xml:space="preserve"> (rentabilidad +29,7 % (base +21,2 %)) · Valor intrínseco: 93,14 USD (-41,0 % sobre 157,75) · con la prima implícita del mercado: 108,25 (-31,4 %)</w:t>
      </w:r>
    </w:p>
    <w:p>
      <w:pPr>
        <w:spacing w:after="100"/>
      </w:pPr>
      <w:r>
        <w:t xml:space="preserve">Modine se ha convertido en una empresa de refrigeración de centros de datos y climatización comercial: 2.055 M de ventas pro forma en FY2026, un 22,6 % anual desde FY2022, con centros de datos multiplicados por ocho [1, 2, 5]. Es un proveedor real del cuello de botella térmico de la IA y ha demostrado saber reasignar capital (escisión con 156 M de caja, ROIC incremental del 29,6 %).</w:t>
      </w:r>
    </w:p>
    <w:p>
      <w:pPr>
        <w:spacing w:after="100"/>
      </w:pPr>
      <w:r>
        <w:t xml:space="preserve">El precio (157,75 USD, 8.519 M de capitalización) descuenta mucho más: el DCF inverso pide un margen EBITDA del 30 % sostenido, frente al 13,6 % de FY2026 y al 23 % de Vertiv, y la rentabilidad implícita es del 7,8 % anual frente a un coste de capital del 12,8 %. Por PER (21,5 veces nuestro BPA de FY2028e) parece razonable frente a los comparables (22,9x), pero ese BPA aún no existe y el del 1T muestra márgenes en caída.</w:t>
      </w:r>
    </w:p>
    <w:p>
      <w:pPr>
        <w:spacing w:after="100"/>
      </w:pPr>
      <w:r>
        <w:t xml:space="preserve">Para invertir hay que creer que la inversión en IA sigue creciendo varios años, que Modine recupera y mejora el margen con capacidad abundante en el sector y que mantiene a sus pocos grandes clientes. Nuestro análisis ve un negocio que crece pero que hoy apenas gana su coste de capital, a un precio que exige márgenes de líder.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 × 6,04 = 110,53 · 21,5x × 8,89 = 191,14 · 28,0x × 11,62 = 325,36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29,7 % / 21,2 %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historia adelantada de 3 años: decide la más baja de v3 y v2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302,13 (nuestro base -36,7 %)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 / -74,8 %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12,8 % y 11,0 %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(17,0 % anual proyectado; financiable al ROIC actual: 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93,14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93,14 y 227,27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227,27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93,14 USD con ROIC − WACC ≥ 5 puntos: Comprar.</w:t>
      </w:r>
    </w:p>
    <w:p>
      <w:pPr>
        <w:pStyle w:val="ListParagraph"/>
        <w:numPr>
          <w:ilvl w:val="0"/>
          <w:numId w:val="2"/>
        </w:numPr>
        <w:spacing w:after="60"/>
      </w:pPr>
      <w:r>
        <w:t xml:space="preserve">Precio por encima de 227,27 USD: Vender.</w:t>
      </w:r>
    </w:p>
    <w:p>
      <w:pPr>
        <w:pStyle w:val="ListParagraph"/>
        <w:numPr>
          <w:ilvl w:val="0"/>
          <w:numId w:val="2"/>
        </w:numPr>
        <w:spacing w:after="60"/>
      </w:pPr>
      <w:r>
        <w:t xml:space="preserve">Margen bruto de Data Centers por debajo del 20 % en el 2T FY2027: bajaríamos el caso base.</w:t>
      </w:r>
    </w:p>
    <w:p>
      <w:pPr>
        <w:pStyle w:val="ListParagraph"/>
        <w:numPr>
          <w:ilvl w:val="0"/>
          <w:numId w:val="2"/>
        </w:numPr>
        <w:spacing w:after="60"/>
      </w:pPr>
      <w:r>
        <w:t xml:space="preserve">Guía de FY2028 de centros de datos por debajo de 2.000 M: revisión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BPA se multiplique por más de tres hasta FY2028 (10,16 USD de consenso) y que el sector siga pagando 21-25 veces ese beneficio; los analistas, objetivos de 260-355 USD [22, 23].</w:t>
      </w:r>
    </w:p>
    <w:p>
      <w:pPr>
        <w:keepNext/>
        <w:spacing w:after="100"/>
      </w:pPr>
      <w:r>
        <w:rPr>
          <w:b/>
          <w:bCs/>
        </w:rPr>
        <w:t xml:space="preserve">Lo que creemos nosotros.</w:t>
      </w:r>
    </w:p>
    <w:p>
      <w:pPr>
        <w:spacing w:after="100"/>
      </w:pPr>
      <w:r>
        <w:t xml:space="preserve">El crecimiento es real pero el margen no: con un 17 % de EBITDA, el BPA de FY2028e es de 7,35 USD y el valor descontado al coste de capital es de 67,51-93,14 USD.</w:t>
      </w:r>
    </w:p>
    <w:p>
      <w:pPr>
        <w:keepNext/>
        <w:spacing w:after="100"/>
      </w:pPr>
      <w:r>
        <w:rPr>
          <w:b/>
          <w:bCs/>
        </w:rPr>
        <w:t xml:space="preserve">Por qué podemos tener razón.</w:t>
      </w:r>
    </w:p>
    <w:p>
      <w:pPr>
        <w:spacing w:after="100"/>
      </w:pPr>
      <w:r>
        <w:t xml:space="preserve">El 1T FY2027 ya muestra que la capacidad nueva cuesta margen, la competencia (Vertiv, Schneider, Eaton) invierte a la vez y el cliente concentra el poder de negociación.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57,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Crecimiento de centros de datos</w:t>
      </w:r>
      <w:r>
        <w:t xml:space="preserve"> del 90 % en el 1T FY2027 [3].</w:t>
      </w:r>
    </w:p>
    <w:p>
      <w:pPr>
        <w:pStyle w:val="ListParagraph"/>
        <w:numPr>
          <w:ilvl w:val="0"/>
          <w:numId w:val="2"/>
        </w:numPr>
        <w:spacing w:after="60"/>
      </w:pPr>
      <w:r>
        <w:rPr>
          <w:b/>
        </w:rPr>
        <w:t xml:space="preserve">Escisión cerrada</w:t>
      </w:r>
      <w:r>
        <w:t xml:space="preserve"> con 156 M de caja y deuda neta de 0,9 veces el EBITDA [1, 16].</w:t>
      </w:r>
    </w:p>
    <w:p>
      <w:pPr>
        <w:pStyle w:val="ListParagraph"/>
        <w:numPr>
          <w:ilvl w:val="0"/>
          <w:numId w:val="2"/>
        </w:numPr>
        <w:spacing w:after="60"/>
      </w:pPr>
      <w:r>
        <w:rPr>
          <w:b/>
        </w:rPr>
        <w:t xml:space="preserve">ROIC incremental</w:t>
      </w:r>
      <w:r>
        <w:t xml:space="preserve"> histórico del 29,6 %.</w:t>
      </w:r>
    </w:p>
    <w:p>
      <w:pPr>
        <w:pStyle w:val="ListParagraph"/>
        <w:numPr>
          <w:ilvl w:val="0"/>
          <w:numId w:val="2"/>
        </w:numPr>
        <w:spacing w:after="60"/>
      </w:pPr>
      <w:r>
        <w:rPr>
          <w:b/>
        </w:rPr>
        <w:t xml:space="preserve">PER de 21,5x</w:t>
      </w:r>
      <w:r>
        <w:t xml:space="preserve"> nuestro BPA de FY2028e, en línea con los comparables (22,9x).</w:t>
      </w:r>
    </w:p>
    <w:p>
      <w:pPr>
        <w:pStyle w:val="Heading2"/>
      </w:pPr>
      <w:r>
        <w:t xml:space="preserve">En contra</w:t>
      </w:r>
    </w:p>
    <w:p>
      <w:pPr>
        <w:pStyle w:val="ListParagraph"/>
        <w:numPr>
          <w:ilvl w:val="0"/>
          <w:numId w:val="2"/>
        </w:numPr>
        <w:spacing w:after="60"/>
      </w:pPr>
      <w:r>
        <w:rPr>
          <w:b/>
        </w:rPr>
        <w:t xml:space="preserve">Valor intrínseco de 93,14 USD</w:t>
      </w:r>
      <w:r>
        <w:t xml:space="preserve">, un 41,0 % bajo el precio.</w:t>
      </w:r>
    </w:p>
    <w:p>
      <w:pPr>
        <w:pStyle w:val="ListParagraph"/>
        <w:numPr>
          <w:ilvl w:val="0"/>
          <w:numId w:val="2"/>
        </w:numPr>
        <w:spacing w:after="60"/>
      </w:pPr>
      <w:r>
        <w:rPr>
          <w:b/>
        </w:rPr>
        <w:t xml:space="preserve">ROIC del 12,9 %</w:t>
      </w:r>
      <w:r>
        <w:t xml:space="preserve"> frente a un WACC del 12,84 %.</w:t>
      </w:r>
    </w:p>
    <w:p>
      <w:pPr>
        <w:pStyle w:val="ListParagraph"/>
        <w:numPr>
          <w:ilvl w:val="0"/>
          <w:numId w:val="2"/>
        </w:numPr>
        <w:spacing w:after="60"/>
      </w:pPr>
      <w:r>
        <w:rPr>
          <w:b/>
        </w:rPr>
        <w:t xml:space="preserve">Margen bruto de centros de datos</w:t>
      </w:r>
      <w:r>
        <w:t xml:space="preserve"> del 20,2 %, 9,6 puntos menos [3].</w:t>
      </w:r>
    </w:p>
    <w:p>
      <w:pPr>
        <w:pStyle w:val="ListParagraph"/>
        <w:numPr>
          <w:ilvl w:val="0"/>
          <w:numId w:val="2"/>
        </w:numPr>
        <w:spacing w:after="60"/>
      </w:pPr>
      <w:r>
        <w:rPr>
          <w:b/>
        </w:rPr>
        <w:t xml:space="preserve">Diez clientes</w:t>
      </w:r>
      <w:r>
        <w:t xml:space="preserve"> son el 49 % de las ventas [2].</w:t>
      </w:r>
    </w:p>
    <w:p>
      <w:pPr>
        <w:pStyle w:val="ListParagraph"/>
        <w:numPr>
          <w:ilvl w:val="0"/>
          <w:numId w:val="2"/>
        </w:numPr>
        <w:spacing w:after="60"/>
      </w:pPr>
      <w:r>
        <w:rPr>
          <w:b/>
        </w:rPr>
        <w:t xml:space="preserve">Ventas de directivos</w:t>
      </w:r>
      <w:r>
        <w:t xml:space="preserve"> de 40,4 M USD sin compras [20].</w:t>
      </w:r>
    </w:p>
    <w:p>
      <w:pPr>
        <w:pStyle w:val="Heading2"/>
      </w:pPr>
      <w:r>
        <w:t xml:space="preserve">Qué tiene que pasar para que la tesis funcione</w:t>
      </w:r>
    </w:p>
    <w:p>
      <w:pPr>
        <w:spacing w:after="100"/>
      </w:pPr>
      <w:r>
        <w:t xml:space="preserve">La tesis depende del margen de centros de datos con la capacidad nueva. Si el margen bruto del segmento vuelve al 24 % o más en el 2T-3T FY2027 y la guía sin Performance Technologies da al menos un 16 % de EBITDA ajustado, el valor intrínseco subiría; si se queda en el 20-21 %, el bajista gana peso.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Data Centers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 (1T FY2027)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capacidad nueva rinde.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de Data Centers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del mercado.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centrales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M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80 M tras la escisión</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sobre un perímetro más pequeño.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 de los hiperescaladores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Creciente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Guías planas para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final.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109,5x / 18,6x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 · 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Modine nace en 1916 en Racine (Wisconsin) como fabricante de radiadores y durante un siglo fue sobre todo proveedor de refrigeración para vehículos [2]. En 2016 compró el negocio de intercambiadores de Luvata (≈364 M de pago neto) [6]. Neil Brinker llega como consejero delegado en diciembre de 2020 y aplica el 80/20: simplifica, vende negocios de automoción y vuelca la inversión en centros de datos y climatización comercial [2]. Las ventas de centros de datos pasan de 138 M en FY2022 a 1.112 M en FY2026 [2, 5]. El 1-oct-2026 escinde Performance Technologies (vehículos y maquinaria) y la fusiona con Gentherm; la empresa que queda pasará a llamarse Modexus Solutions si lo aprueba la junta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Racine (Wisconsin)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negocio de intercambiadores de Luvata (≈364 M)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Neil Brinker, consejero delegado (diciembre)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tres negocios de automoción en Alemania (54 M de ventas)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Scott Springfield, unidades de tratamiento de aire (184 M)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L.B. White (111 M), Climate by Design (64 M) y AbsolutAire (11 M)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Gentherm (29-ene) y escisión de Performance Technologies (1-oct); 156 M en caja para la empresa [10,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del cambio de nombre a Modexus Solutions (10-sep), pendiente de junta extraordinaria [17].</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Tras la escisión, Modine (pronto Modexus Solutions) diseña y fabrica equipos para enfriar y climatizar: enfriadoras, unidades de aire y CDU de refrigeración líquida para centros de datos (Data Centers, 1.108 M de ventas en FY2026) y baterías, intercambiadores, calefactores industriales y unidades de tratamiento de aire para edificios, naves, invernaderos y frío comercial (Commercial HVAC, 974 M) [2, 4]. Vende a hiperescaladores y operadores de colocation, a fabricantes de climatización (OEM) y a instaladores y distribuidores. Tiene 28 plantas en Climate Solutions: 17 en América, 9 en Europa y 2 en Asia [2]; el 74 % de las ventas de ese segmento se factura en América [2]. La marca Modine pasa a Gentherm y la empresa la usa con licencia en climatización comercial [16].</w:t>
      </w:r>
    </w:p>
    <w:p>
      <w:pPr>
        <w:pStyle w:val="Heading2"/>
      </w:pPr>
      <w:r>
        <w:t xml:space="preserve">Cómo gana dinero</w:t>
      </w:r>
    </w:p>
    <w:p>
      <w:pPr>
        <w:spacing w:after="100"/>
      </w:pPr>
      <w:r>
        <w:t xml:space="preserve">Vende equipos por proyecto y por pedido, sin ingresos recurrentes relevantes. En centros de datos el margen depende de llenar la capacidad nueva y de la mezcla: en FY2026 dio un 24,7 % bruto y un 17,6 % operativo, pero en el 1T FY2027 bajó al 20,2 % bruto y al 13,3 % operativo por los costes de arrancar plantas y la falta de componentes [3, 4]. Climatización comercial da un 25-26 % bruto y un 13 % operativo, con estacionalidad de invierno en calefacción [4]. Los costes centrales (88,4 M en FY2026, el 4,3 % de las ventas del perímetro) pesan ahora sobre la mitad de ventas que antes [1, 2]. Alto apalancamiento operativo: cada punto de margen bruto en centros de datos son ≈17 M de beneficio operativo con las ventas de FY2027e.</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Data Centers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Commercial HVAC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otros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Data Centers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Commercial HVAC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otros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Concentración alta: los diez primeros clientes son el 49 % de las ventas del grupo de FY2026 y los cinco primeros están en centros de datos, vehículo comercial y maquinaria [2]; sin Performance Technologies el peso de los hiperescaladores en el perímetro es mayor. En agosto de 2026 la prensa informó de que Google sería un cliente de unos 4.000 M en varios años, sin confirmación de la empresa [9]. Poder de precios: el margen bruto del perímetro subió del 18 % en FY2022 al 25 % en FY2026 [1, 5], pero en centros de datos el cliente reparte pedidos y el 1T FY2027 muestra que el coste de la capacidad no se repercute de inmediato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centros de datos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producto, 10-K FY2026 [2]; +90 % en el 1T FY2027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centros de datos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 (1T FY2026)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 (1T FY2027)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capacidad y falta de componentes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Diez primeros clientes / ventas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son de centros de datos, vehículo comercial y maquinaria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 del perímetro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114,9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Climate Solutions + Corporate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que pesa en el beneficio es la refrigeración de centros de datos: enfriadoras, unidades de aire de precisión, sistemas de agua fría y unidades de distribución de refrigerante para la refrigeración líquida, en todo el mundo [11, 12]. Las dos fuentes miden casi el mismo perímetro y difieren un 20 % en el tamaño; se usa la media. La otra mitad del negocio (baterías, intercambiadores y equipos de climatización comercial) es un mercado maduro de crecimiento medio de un dígito, sin cifra pública fiable.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≈16.300-19.800 M USD en 2024 y 40.700-50.900 M en 2030 (16,5-17 % anual) [11, 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media de las dos fuente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los hiperescaladores en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centros de datos de Modine crecieron un 73 % en FY2026 y un 90 % en el 1T FY2027 [2,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Densidad por bastidor y refrigeración líquida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 pagó 22,5 veces el EBITDA por Boyd Thermal, 1.500 M de sus 1.700 M de ventas en refrigeración líquida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Eficiencia energética y refrigerantes de bajo potencial de calentamiento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Modine vende la reducción de agua y energía con controles inteligentes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no residencial y escuelas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espera el mercado escolar plano en FY2027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componentes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Falta de componentes desde el 4T FY2026 que retrasa la producción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Schneider, Trane, Johnson Controls, Carrier y Eaton compiten en el mismo cliente y compran capacidad (Boyd, Motivair) [14,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hiperescaladores compran la mayoría; los diez primeros clientes son el 49 % de las ventas del grupo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Compresores y componentes escasos han frenado la producción desde el 4T FY2026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y la cualificación con el cliente frenan, pero los grandes de climatización entran comprando.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refrigeración líquida directa al chip y por inmersión cambia la mezcla de equipos; Modine vende CDU, pero el valor se desplaza.</w:t>
            </w:r>
          </w:p>
        </w:tc>
      </w:tr>
    </w:tbl>
    <w:p>
      <w:pPr>
        <w:spacing w:after="160" w:before="0"/>
      </w:pPr>
    </w:p>
    <w:p>
      <w:pPr>
        <w:pStyle w:val="Heading2"/>
      </w:pPr>
      <w:r>
        <w:t xml:space="preserve">Ciclo</w:t>
      </w:r>
    </w:p>
    <w:p>
      <w:pPr>
        <w:spacing w:after="100"/>
      </w:pPr>
      <w:r>
        <w:t xml:space="preserve">Los centros de datos están en plena expansión por la IA, con crecimientos del 50-90 % en Modine [3, 10]. En 2008-09 y 2020 la empresa vendía sobre todo a vehículos y cayó con ellos; 2022 fue de subida por precios. El mercado de centros de datos no ha vivido una contracción de la inversión en IA: un frenazo del capex de los hiperescaladores es el riesgo de ciclo. Las caídas de junio-julio y septiembre de 2026 en las acciones de infraestructura de IA lo descuentan en parte [9].</w:t>
      </w:r>
    </w:p>
    <w:p>
      <w:pPr>
        <w:pStyle w:val="Heading2"/>
      </w:pPr>
      <w:r>
        <w:t xml:space="preserve">Regulación</w:t>
      </w:r>
    </w:p>
    <w:p>
      <w:pPr>
        <w:spacing w:after="100"/>
      </w:pPr>
      <w:r>
        <w:t xml:space="preserve">Normas de refrigerantes de bajo potencial de calentamiento en EE. UU. (AIM Act) y en Europa (gases fluorados), que obligan a renovar equipos de climatización; aranceles de EE. UU. sobre acero, aluminio y componentes, que la empresa intenta repercutir [2].</w:t>
      </w:r>
    </w:p>
    <w:p>
      <w:pPr>
        <w:pStyle w:val="Heading2"/>
      </w:pPr>
      <w:r>
        <w:t xml:space="preserve">Tendencias y disrupción</w:t>
      </w:r>
    </w:p>
    <w:p>
      <w:pPr>
        <w:spacing w:after="100"/>
      </w:pPr>
      <w:r>
        <w:t xml:space="preserve">La densidad de los bastidores de IA empuja a la refrigeración líquida; los grandes compran especialistas (Eaton-Boyd, Schneider-Motivair) [14, 15]. Modine gana mientras el cuello de botella sea la capacidad y pierde poder si la refrigeración se estandariza o la diseña el propio hiperescalador.</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Proveedor mediano de refrigeración de centros de datos (≈5,5 % del mercado mundial con 1.112 M de ventas en FY2026 sobre ≈20.000 M en 2025, estimación propia con [11, 12]); en climatización comercial, nicho de baterías, calefacción industrial y unidades de aire en Norteamérica y Europa.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infraestructura térmica y eléctrica de centros de datos; margen EBITDA 23,3 %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22.210</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Enfriadoras para centros de datos y climatización comercial; margen EBITDA 19,4 %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York y Silent-Aire; margen EBITDA 17,3 %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 (Motivair)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Compró el 75 % de Motivair (refrigeración líquida) por 850 M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 (Boyd Thermal)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30.026</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Boyd Thermal por 9.500 M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22.108</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Enfriadoras y climatización comercial; margen EBITDA 14,0 %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AAON (BasX)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AAON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1.932</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Climatización comercial y equipos a medida para centros de datos; margen EBITDA 15,5 % [13].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fabricación de equipos.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Diseños cualificados con cada hiperescalador; pero el cliente reparte pedidos entre varios proveedores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Airedale y Modine en climatización; la marca Modine pasa a Gentherm y la empresa la usa con licencia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80/20 subió el margen EBIT del perímetro del 4,6 % al 11,2 % en cuatro años [15, 9], aún por debajo de Vertiv o Trane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Plantas nuevas en EE. UU. y Reino Unido; la capacidad es hoy la ventaja y el cuello de botella [1].</w:t>
            </w:r>
          </w:p>
        </w:tc>
      </w:tr>
    </w:tbl>
    <w:p>
      <w:pPr>
        <w:spacing w:after="160" w:before="0"/>
      </w:pPr>
    </w:p>
    <w:p>
      <w:pPr>
        <w:pStyle w:val="Heading2"/>
      </w:pPr>
      <w:r>
        <w:t xml:space="preserve">Amenazas</w:t>
      </w:r>
    </w:p>
    <w:p>
      <w:pPr>
        <w:spacing w:after="100"/>
      </w:pPr>
      <w:r>
        <w:t xml:space="preserve">Los grandes (Vertiv, Schneider, Trane, Eaton con Boyd) tienen más escala, servicio y relación con el cliente; la concentración de clientes deja el precio en manos de los hiperescaladores [2]. Probabilidad media de que el margen de centros de datos no vuelva al 25-30 % de FY2025 si la capacidad del sector se pone al día.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spacing w:after="100"/>
      </w:pPr>
      <w:r>
        <w:t xml:space="preserve">Crecimiento anual compuesto FY2022-FY2026: ingresos </w:t>
      </w:r>
      <w:r>
        <w:rPr>
          <w:b/>
          <w:bCs/>
        </w:rPr>
        <w:t xml:space="preserve">22,6 %</w:t>
      </w:r>
      <w:r>
        <w:t xml:space="preserve">, EBITDA </w:t>
      </w:r>
      <w:r>
        <w:rPr>
          <w:b/>
          <w:bCs/>
        </w:rPr>
        <w:t xml:space="preserve">44,1 %</w:t>
      </w:r>
      <w:r>
        <w:t xml:space="preserve">, BPA </w:t>
      </w:r>
      <w:r>
        <w:rPr>
          <w:b/>
          <w:bCs/>
        </w:rPr>
        <w:t xml:space="preserve">27,4 %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perímetro que queda (centros de datos y climatización comercial) ha pasado de 910 M de ventas en FY2022 a 2.055 M en FY2026 [1, 5]: un 22,6 % anual. El motor son los centros de datos: 138 M en FY2022, 294 M en FY2024, 644 M en FY2025 y 1.112 M en FY2026 [2, 5]; Heat Transfer Solutions y HVAC Technologies crecen sobre todo por compras (Scott Springfield, L.B. White, Climate by Design: 119 M de ventas añadidas en FY2026 [2]). El margen EBIT pasa del 4,6 % al 11,2 % con el 80/20 y la mezcla, pero el 1T FY2027 lo baja al 8,6 % (51,2 M sobre 596,3 M [1]): el margen bruto de centros de datos cae del 29,8 % al 20,2 % por los costes de ampliar capacidad y la falta de componentes [3]. Los costes centrales (88,4 M en FY2026 [2]) se quedan enteros en esta empresa, que ahora es la mitad de grande.</w:t>
      </w:r>
    </w:p>
    <w:p>
      <w:pPr>
        <w:pStyle w:val="Heading2"/>
      </w:pPr>
      <w:r>
        <w:t xml:space="preserve">Ajustes y partidas no recurrentes</w:t>
      </w:r>
    </w:p>
    <w:p>
      <w:pPr>
        <w:spacing w:after="100"/>
      </w:pPr>
      <w:r>
        <w:t xml:space="preserve">Cifras publicadas (pro forma de la propia empresa) salvo FY2022-FY2023, que son estimación propia: ventas externas y beneficio operativo del segmento Climate Solutions más Corporate del 10-K FY2024 [5], los intereses del grupo, un tipo impositivo del 24 % y las acciones diluidas del grupo. No recurrentes: plusvalía de 4,0 M en FY2024; deterioro de 4,1 M y pérdida en venta de activos de 3,9 M en FY2026 (dentro del EBIT) [1]; cargo no monetario de 116,1 M por terminar el plan de pensiones de EE. UU. en FY2026, debajo del EBIT [1, 2], que hunde el BPA de FY2026 a 1,00 USD (2,60 sin él, estimación propia con un 26 % de impuesto). El LTM a jun-26 es estimación propia: FY2026 pro forma + 1T FY2027 pro forma − 1T FY2026 de los segmentos reexpresados [4] menos sus costes centrales.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del ejercicio fiscal (abril-marzo): «1T27» es abril-junio de 2026. Ventas de 1T26 a 4T26 = Data Centers + Commercial HVAC reexpresados [4] (sin eliminaciones); 1T27 pro forma [1]. En el 1T FY2027 (29-jul-2026) el grupo vendió 874,1 M (+28 %) con centros de datos +90 % (348,6 M) y climatización comercial +22 % (261,6 M, 19,7 M de compras), pero el margen bruto de centros de datos bajó 9,6 puntos, al 20,2 %, por los costes de la ampliación de capacidad y la falta de componentes que la empresa ya había avisado en mayo [2, 3]. El BPA ajustado (1,53 USD) batió al consenso en 0,26 USD, con ayuda de una ventaja fiscal por las acciones entregadas, y las ventas quedaron 4,6 M por debajo [9]. La dirección mantuvo la guía de FY2027 con Performance Technologies dentro (ventas +20-35 %, EBITDA ajustado 650-680 M) y prometió una guía nueva sin ella tras el cierre [3]. El flujo libre fue de −5,0 M por el capex de capacidad (46,4 M) y la deuda neta subió 70 M por recompras ligadas al plan de remuneración [3]. Lo que más preguntaron los analistas, según los resúmenes publicados: cuándo vuelve el margen de centros de datos y cuánto de la caída es temporal; la dirección habló de mejoras secuenciales desde el 2T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Balance y flujos consolidados con Performance Technologies (escindida el 1-oct-2026); la cuenta es la del perímetro que queda, estimada con el segmento Climate Solutions y Corporate [5].; FY2023: Igual que FY2022: balance y flujos con Performance Technologies, cuenta estimada sin ella [5].; FY2024: Cuenta pro forma sin Performance Technologies [1]; balance y flujos consolidados con ella. Compra de Scott Springfield (184 M, 1-mar-2024): entra en balance, no en la cuenta [2].; FY2025: Cuenta pro forma sin Performance Technologies [1]; balance y flujos consolidados con ella [6].; FY2026: Cuenta pro forma sin Performance Technologies [1]; balance pro forma a 30-jun-2026 sin ella y tras amortizar 198,6 M de deuda con el cobro de la escisión [1]; flujos consolidados con ella [6]. Compras de L.B. White (111 M), Climate by Design (64 M) y AbsolutAire (11 M) [2].).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pro forma es de 265 M, 0,9 veces el EBITDA de FY2026 sin Performance Technologies. El circulante comercial es alto (clientes 432,6 M + existencias 438,9 M − proveedores 386,9 M ≈ 485 M sin el acreedor por la operación, un 22 % de las ventas LTM): la ampliación de centros de datos llena el almacén (existencias del grupo de 506 M a 609 M en un trimestre [3]). Los balances FY2022-FY2025 son consolidados con Performance Technologies, por eso sus ratios no comparan con la cuenta.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FY2022-FY2026: FCF </w:t>
      </w:r>
      <w:r>
        <w:rPr>
          <w:b/>
          <w:bCs/>
        </w:rPr>
        <w:t xml:space="preserve">387</w:t>
      </w:r>
      <w:r>
        <w:t xml:space="preserve">, conversión </w:t>
      </w:r>
      <w:r>
        <w:rPr>
          <w:b/>
          <w:bCs/>
        </w:rPr>
        <w:t xml:space="preserve">128 %</w:t>
      </w:r>
      <w:r>
        <w:t xml:space="preserve"> del beneficio neto; adquisiciones 372, dividendos 0, recompras 65.</w:t>
      </w:r>
    </w:p>
    <w:p>
      <w:pPr>
        <w:spacing w:after="100"/>
      </w:pPr>
      <w:r>
        <w:t xml:space="preserve">Flujos consolidados con Performance Technologies (no hay flujos pro forma) [6]. El flujo operativo pasó de 11,5 M en FY2022 a 249 M en FY2026, y el capex de 40 M a 143 M, de los que 113,4 M fueron de Climate Solutions, sobre todo capacidad para centros de datos [2]. Capex de mantenimiento estimado (propio): cerca de las amortizaciones del perímetro (≈49 M en FY2026), el resto es crecimiento. En el 1T FY2027 el flujo libre fue negativo (−5,0 M) por un capex de 46,4 M [3]. Las compras de FY2024 (186 M) y FY2026 (182 M) son de climatización comercial [2].</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(FY2026). En FY2024 el auditor dio opinión adversa sobre el control interno por una debilidad material en los controles generales de TI de sistemas europeos, sin errores en las cuentas [5].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FY2026: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FY2026: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 calidad contable es aceptable pero con dos reservas. Primera, la historia del perímetro que se valora es pro forma no auditada (FY2024-FY2026) y estimación propia (FY2022-FY2023) [1, 5]. Segunda, el auditor (KPMG) dio en FY2024 opinión adversa sobre el control interno por una debilidad material en los controles de TI de Europa, sin errores en las cuentas [5]; no aparece en FY2026 [2]. El BPA ajustado de la empresa excluye reestructuraciones, costes de compras y de la escisión y el cargo de pensiones; en FY2026 el cargo de 116,1 M fue no monetario [2]. Altman Z 6,40 (sin riesgo), Piotroski 7 de 9 y Beneish −2,77 (sin señal de manipulación): los tres se calculan con balances consolidados de otro perímetro, así que orientan, no deciden. La remuneración en acciones es moderada (el consejero delegado, 6,1 M de 10,2 M) [18].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material de control interno en FY2024 (controles de TI en Europa)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Opinión adversa del auditor sobre el control interno en el 10-K FY2024, sin errores en las cuentas [5]; no consta en el 10-K FY2026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Historia reconstruida (escisión)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cuenta FY2024-FY2026 es pro forma no auditada [1]; FY2022-FY2023 es estimación propia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Cargo de pensiones de 116,1 M y costes de la operación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monetarios o no recurrentes, fuera del EBITDA ajustado de la empresa [2, 3].</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290 M en FY2026 (el 22 % del capital invertido medio); ha subido más de un 5 % en 2 de 4 años: compra única grande. ROIC publicado 12,9 %; sin fondo de comercio, 16,6 %.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29,6 % · </w:t>
      </w:r>
      <w:r>
        <w:rPr>
          <w:b/>
          <w:bCs/>
        </w:rPr>
        <w:t xml:space="preserve">WACC</w:t>
      </w:r>
      <w:r>
        <w:t xml:space="preserve">: 12,8 %.</w:t>
      </w:r>
    </w:p>
    <w:p>
      <w:pPr>
        <w:spacing w:after="100"/>
      </w:pPr>
      <w:r>
        <w:t xml:space="preserve">El ROIC del perímetro es del 12,9 % en FY2026 (16,6 % sin fondo de comercio), con un WACC del 12,84 %: crea muy poco valor sobre su coste de capital, que es alto por la beta (1,45) y por un bono a 10 años del 5,21 % [24]. El capital medio mezcla el balance consolidado de FY2025 con el pro forma de FY2026, de tamaño parecido (1.130 M y 1.168 M). El ROIC incremental histórico (29,6 %) es mucho mejor: el NOPAT subió más que el capital mientras el 80/20 elevaba márgenes. Vertiv y Trane rinden por encima del 20 % sobre el capital, con márgenes EBITDA del 23 % y el 19 % [13]. La tesis necesita que el margen de centros de datos vuelva: con el 17 % de EBITDA del caso base, el ROIC de FY2029e superaría el 20 % (estimación propia), pero el requisito se mide con el último ejercicio real.</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54,1 M y deuda de 319,4 M en el balance pro forma a 30-jun-2026, tras amortizar 198,6 M de la línea de crédito con el cobro de la escisión (156,0 M de distribución y 42,6 M de ajuste de circulante) [1]. Quedan unos 31 M de costes de la operación por pagar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localizado en los documentos leídos.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El plan principal de pensiones de EE. UU. se terminó en FY2026 con un cargo no monetario de 116,1 M [2]: el déficit de pensiones deja de ser una partida relevante del puente. Otros pasivos a largo plazo de 311,3 M en el pro forma [1] (arrendamientos operativos, que en US GAAP no van a la deuda, impuestos y otras provisiones). Quedan 31 M de costes de la operación con Gentherm por pagar [1] (en el puente como otros ajustes) y un ajuste de circulante con Gentherm pendiente de cierre [1]. Garantías y litigios: nota 20 del 10-K, sin importes relevantes [2].</w:t>
      </w:r>
    </w:p>
    <w:p>
      <w:pPr>
        <w:pStyle w:val="Heading1"/>
      </w:pPr>
      <w:r>
        <w:t xml:space="preserve">12. Asignación de capital</w:t>
      </w:r>
    </w:p>
    <w:p>
      <w:pPr>
        <w:pStyle w:val="Confianza"/>
        <w:spacing w:after="100"/>
      </w:pPr>
      <w:r>
        <w:t xml:space="preserve">Confianza: Media</w:t>
      </w:r>
    </w:p>
    <w:p>
      <w:pPr>
        <w:spacing w:after="100"/>
      </w:pPr>
      <w:r>
        <w:t xml:space="preserve">No paga dividendo. Prioridades declaradas: capacidad para centros de datos (capex de 143 M en FY2026 y 46 M solo en el 1T FY2027 [2, 3]), compras selectivas en climatización comercial y recompras puntuales [2]. El cobro de la escisión (198,6 M en total) se usó para amortizar la línea de crédito [1]. En el 1T FY2027 la deuda neta subió 70 M por la compra de acciones a los directivos dentro del plan de remuneración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Luvata Heat Transfer Solutions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Heat Transfer Solutions; el grupo tuvo pérdidas en FY2021 con deterioros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Scott Springfield Manufacturing</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de aire para centros de datos y edificios; integrada en Climate Solutions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L.B. White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Calefacción especial; parte de los 119 M de ventas añadidas en FY2026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Climate by Design International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Deshumidificación y unidades de proceso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Performance Technologies (venta: escisión y fusión con Gentherm)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156 M en caja + 43,6 % de Gentherm para los accionistas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1-oct-2026; valorada en 946,4 M con el precio de Gentherm del 30-sep [16].</w:t>
            </w:r>
          </w:p>
        </w:tc>
      </w:tr>
    </w:tbl>
    <w:p>
      <w:pPr>
        <w:spacing w:after="160" w:before="0"/>
      </w:pPr>
    </w:p>
    <w:p>
      <w:pPr>
        <w:spacing w:after="100"/>
      </w:pPr>
      <w:r>
        <w:t xml:space="preserve">Buena asignación en los últimos cinco años: el capital se ha llevado de un negocio de automoción de margen bajo a centros de datos y climatización, y la escisión cobra caja y deja el negocio de vehículos fuera sin coste fiscal [16]. El ROIC incremental histórico del 29,6 % lo confirma. Dos dudas: el capex crece más rápido que el beneficio (flujo libre negativo en el 1T FY2027 [3]) y las compras de climatización se pagan con deuda sin múltiplo publicado. Las recompras son menores y en parte sirven para retener a directivos.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Neil D. Brinker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operaciones de Advanced Energy Industries [2]. Con él, el 80/20, la salida de automoción y el salto de centros de datos de 138 M a 1.112 M de ventas [2, 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B. Lucareli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más de una década en la empresa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S. McGinnis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Commercial HVAC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Dirigía Climate Solutions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Arthur Laszlo Jr.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Data Centers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frente del nuevo segmento de centros de datos [20].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Marsha C. Williams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Presidenta no ejecutiva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directora financiera de Orbitz Worldwide; exenta del límite de edad para seguir durante la operación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Climate Solutions cerca de 2.000 M de ventas (ene-26)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2.062 M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datos: 2.000 M de ventas (objetivo anterior); en ene-26, superarlo con un 50-70 % anual dos años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1.112 M en FY2026, +90 % en el 1T FY2027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+20-35 % y EBITDA ajustado 650-680 M con Performance Technologies (mantenida el 29-jul-26)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1T con margen de centros de datos 9,6 puntos más bajo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que transformó la empresa sigue (Brinker y Lucareli), con un consejo estable. Resta la venta continuada de acciones: 40,4 M USD en 12 meses sin una sola compra, incluidos el consejero delegado (5,1 M, con plan 10b5-1), el director financiero (4,3 M) y el presidente de climatización comercial (11,2 M) [20]. La credibilidad de la guía se pondrá a prueba con el margen de centros de datos en el 2T FY2027.</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Marsha C. Williams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Presidencia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Neil D. Brinker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Eric D. Ashleman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Bendza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Suresh V. Garimella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Katherine C. Harper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Alan S. Lowe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J. Wilson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A. Wulfsohn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Christine Y. Yan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(FY2026). En FY2024 el auditor dio opinión adversa sobre el control interno por una debilidad material en los controles generales de TI de sistemas europeos, sin errores en las cuentas [5].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39,80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abril de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abril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Directivos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netas de 40,4 M USD en 12 meses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J. Agen (recursos humanos)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 S. McGinnis (Commercial HVAC)</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Neil D. Brinker (consejero delegado,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Eric D. Ashleman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B. Lucareli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Marsha C. Williams (presidenta)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(MIP) de FY2026 depende del margen y del crecimiento del EBITDA ajustado; el largo plazo, del rendimiento medio del flujo de caja sobre el capital invertido y del crecimiento de las ventas [18]. Premia crecer con margen y con retorno de caja, no el crecimiento a cualquier precio. El consejero delegado cobró 10,16 M en FY2026 (12,71 M en FY2025), 256 veces el empleado mediano [18]. El voto consultivo de 2026 salió con un 96,3 % a favor sobre los votos emitidos (3,3 % en contra) [19].</w:t>
      </w:r>
    </w:p>
    <w:p>
      <w:pPr>
        <w:pStyle w:val="Heading2"/>
      </w:pPr>
      <w:r>
        <w:t xml:space="preserve">Operaciones vinculadas, estructura de control y defensas</w:t>
      </w:r>
    </w:p>
    <w:p>
      <w:pPr>
        <w:spacing w:after="100"/>
      </w:pPr>
      <w:r>
        <w:t xml:space="preserve">Sin accionista de control: los dos mayores son gestores indexados (7,2 % y 5,2 %) [18]. Consejo escalonado (mandatos de tres años: los elegidos en 2026 lo son hasta 2029 [19]), una defensa frente a ofertas hostiles. Una acción, un voto.</w:t>
      </w:r>
    </w:p>
    <w:p>
      <w:pPr>
        <w:pStyle w:val="Heading2"/>
      </w:pPr>
      <w:r>
        <w:t xml:space="preserve">Señales de alerta</w:t>
      </w:r>
    </w:p>
    <w:p>
      <w:pPr>
        <w:pStyle w:val="ListParagraph"/>
        <w:numPr>
          <w:ilvl w:val="0"/>
          <w:numId w:val="2"/>
        </w:numPr>
        <w:spacing w:after="60"/>
      </w:pPr>
      <w:r>
        <w:t xml:space="preserve">Ventas de directivos y consejeros de 40,4 M USD en 12 meses sin compras [20] (fechas de la tabla: agregadas por persona; las operaciones se repartieron entre finales de 2025 y junio de 2026).</w:t>
      </w:r>
    </w:p>
    <w:p>
      <w:pPr>
        <w:pStyle w:val="ListParagraph"/>
        <w:numPr>
          <w:ilvl w:val="0"/>
          <w:numId w:val="2"/>
        </w:numPr>
        <w:spacing w:after="60"/>
      </w:pPr>
      <w:r>
        <w:t xml:space="preserve">Debilidad material de control interno en FY2024, ya corregida [5].</w:t>
      </w:r>
    </w:p>
    <w:p>
      <w:pPr>
        <w:pStyle w:val="ListParagraph"/>
        <w:numPr>
          <w:ilvl w:val="0"/>
          <w:numId w:val="2"/>
        </w:numPr>
        <w:spacing w:after="60"/>
      </w:pPr>
      <w:r>
        <w:t xml:space="preserve">La presidenta sigue por encima de la edad de jubilación del consejo por exención expresa [18].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FY2027 con Performance Technologies dentro todo el año (mantenida el 29-jul-2026): ventas +20-35 % y EBITDA ajustado de 650-680 M, con intereses de 24-27 M, impuestos de 130-140 M y amortizaciones de 87-92 M [3]. La empresa dará una guía nueva sin Performance Technologies tras el cierre de la operación (1-oct-2026) [3, 16]. Objetivo de centros de datos: crecer un 50-70 % anual en FY2027 y FY2028 y superar con holgura los 2.000 M de ventas en FY2028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3 analistas (mezcla: incluye Performance Technologies en el 1S)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3 analistas (sin Performance Technologies) [22]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302,13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260,00 – 355,00</w:t>
            </w:r>
          </w:p>
        </w:tc>
      </w:tr>
    </w:tbl>
    <w:p>
      <w:pPr>
        <w:spacing w:after="160" w:before="0"/>
      </w:pPr>
    </w:p>
    <w:p>
      <w:pPr>
        <w:pStyle w:val="Heading2"/>
      </w:pPr>
      <w:r>
        <w:t xml:space="preserve">Revisiones de estimaciones</w:t>
      </w:r>
    </w:p>
    <w:p>
      <w:pPr>
        <w:spacing w:after="100"/>
      </w:pPr>
      <w:r>
        <w:t xml:space="preserve">Recortes: el BPA de FY2027 bajó de 7,80 a 6,51 USD en 90 días y el de FY2028 de 11,33 a 10,16 USD [22], por el margen de centros de datos del 1T y, en parte, por pasar a la base sin Performance Technologies. Los objetivos (media 302 USD, 260-355) son en su mayoría de mayo-junio, con la acción a 250-320 USD [23, 27], y no se han ajustado a los 15 USD por acción que se llevaron los accionistas en acciones de Gentherm. Solo tres analistas tienen estimaciones completas en la fuente gratuita: se usa una sola fuente para el BPA y se contrasta el objetivo con Stock Analysis [23].</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bl>
    <w:p>
      <w:pPr>
        <w:spacing w:after="160" w:before="0"/>
      </w:pPr>
    </w:p>
    <w:p>
      <w:pPr>
        <w:spacing w:after="100"/>
      </w:pPr>
      <w:r>
        <w:t xml:space="preserve">Rentabilidad excepcional en cinco años (67,1 % anual frente al 13 % del S&amp;P 500) por la reconversión a centros de datos, pero con volatilidad del 71,5 % y una caída máxima del 51,6 % en cinco años [21]. En 2026 la acción subió de 120 a 323 USD (máximo del 26-may tras los resultados anuales) y ha devuelto la mitad: el sector de infraestructura de IA corrigió en junio-julio y en septiembre [9], el 1T FY2027 mostró el margen de centros de datos hundido [3] y la escisión restó ≈15 USD por acción en acciones de Gentherm a partir del 2-oct [16]. Posición corta del 5,9 % del capital libre [22].</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-17,1 % / -34,5 % / -36,2 % / -2,3 %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-51,1 % / +25,4 %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29-ene con el anuncio de la escisión de Performance Technologies y el objetivo de crecer un 50-70 % anual en centros de datos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26-may con los resultados de FY2026 (ventas +23 %)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Corrección de las acciones de infraestructura de IA [9], ventas de directivos [20] y caídas del 28 y 29-jul (−9,7 % y −14,4 %) antes de unos resultados con el margen de centros de datos 9,6 puntos más bajo [3]; sin hecho de la empresa identificado los días 28-29.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28-sep (−11,6 %) fue la fecha de registro de la escisión; el 2-oct (−5,8 %) cotizó ya sin Performance Technologies (≈15 USD por acción en acciones de Gentherm) [16, 26]; el 14-oct (−8,6 %) cayó con el Nasdaq (−1,9 %) sin noticia propia encontrada [21].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escisión: los accionistas reciben 0,44619 acciones de Gentherm por acción y la empresa 156 M en caja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el 13-nov-2026 para cambiar el nombre a Modexus Solutions [28]; sin efecto económico.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y consejeros por 40,4 M USD en 12 meses, sin compras; el consejero delegado vendió 5,1 M con plan 10b5-1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 prensa que señala a Google como cliente de unos 4.000 M en centros de datos; la acción subió ese día [9]. Sin confirmación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del BPA de consenso en 90 días (FY2027e de 7,80 a 6,51 USD) [22]; objetivos de 260-355 USD fijados en mayo-junio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 FY2027 hacia el 28-oct (estimación: misma semana que en 2025; sin anuncio aún) y primera guía sin Performance Technologies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51 % desde máximos se explica por tres cosas: la corrección de las acciones de IA, el margen de centros de datos del 1T y los ≈15 USD por acción que salieron con Gentherm; no hay colocación, ampliación ni litigio pendiente. Las ventas de directivos son grandes pero repartidas, varias con plan 10b5-1 y tras una subida de veinte veces en cuatro años: no llegan a «descarta». Nada de esto cambia la conclusión, que la decide la valoración: el precio sigue muy por encima del valor intrínseco. Los resultados cercanos no aplazan nada (regla 11). Fuentes: EDGAR, Seeking Alpha, Quiver, Stocktwits.</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Solo tres cierres sirven (FY2024-FY2026): antes, Modine era otra empresa, un proveedor de automoción que cotizaba a 3-9 veces el beneficio del año siguiente. Con la historia adelantada el PER fue de 27,8x (mar-24), 19,9x (mar-25, con el BPA de FY2026 sin el cargo de pensiones) y 39,8x (mar-26, con nuestro BPA de FY2027e del grupo entero, 5,45 USD); hoy cotiza a 21,5x nuestro BPA de FY2028e. El PER de los últimos doce meses (109,5x) no significa nada: el BPA de FY2026 lleva el cargo de pensiones y el pro forma excluye el beneficio del negocio escindido. El mercado ha pasado de pagar el crecimiento a dudar de él.</w:t>
      </w:r>
    </w:p>
    <w:p>
      <w:pPr>
        <w:pStyle w:val="Heading1"/>
      </w:pPr>
      <w:r>
        <w:t xml:space="preserve">18. Comparables cotizados</w:t>
      </w:r>
    </w:p>
    <w:p>
      <w:pPr>
        <w:pStyle w:val="Confianza"/>
        <w:spacing w:after="100"/>
      </w:pPr>
      <w:r>
        <w:t xml:space="preserve">Confianza: Media</w:t>
      </w:r>
    </w:p>
    <w:p>
      <w:pPr>
        <w:spacing w:after="100"/>
      </w:pPr>
      <w:r>
        <w:t xml:space="preserve">Nueve cotizadas de climatización y de infraestructura térmica y eléctrica de centros de datos de EE. UU. e Irlanda, con datos de Yahoo del 15-oct-2026 [22]: Vertiv (el comparable más directo en centros de datos), nVent, Eaton (refrigeración líquida con Boyd), Trane, Johnson Controls y Carrier (enfriadoras y climatización comercial), Lennox, AAON y SPX (climatización comercial y frío). Fuera Schneider (cotiza en euros y la refrigeración es una parte pequeña) y Daikin (Japón, otro ciclo). El PER de los próximos doce meses usa BPA ajustado de consenso; el de Modine, nuestro BPA, casi igual al ajustado de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Lennox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nVent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SPX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Eaton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155.418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 / 23,6x / 24,9x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 / 22,9x / 23,9x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 / 4,0x / 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bl>
    <w:p>
      <w:pPr>
        <w:spacing w:after="160" w:before="0"/>
      </w:pPr>
    </w:p>
    <w:p>
      <w:pPr>
        <w:spacing w:after="100"/>
      </w:pPr>
      <w:r>
        <w:t xml:space="preserve">Modine queda en la zona de crecimiento alto (≈40 % en los próximos doce meses frente al 6-30 % de los comparables) pero con el margen EBITDA más bajo del grupo (13 % frente a una mediana del 21 %). La mediana del PER de los próximos 12 meses (22,9x) da 194,45 USD; con el EV/EBITDA de los últimos 12 meses, 122,39 USD: el EBITDA actual no sostiene el precio y el PER solo lo hace si se cumple nuestro BPA de FY2028e. Una prima sobre Trane o Lennox se justifica por crecimiento, pero el ROIC (12,9 %) está por debajo del de Vertiv o Trane [13]. Peso del 20 %.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Modine Performance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Gentherm (fusión inversa)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escindido de la propia Modine (vehículos y maquinaria): no es comparable con centros de datos; 6,8 veces con sinergias [10].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Refrigeración líquida para centros de datos (1.500 M de 1.700 M de ventas de 2026); múltiplo sobre EBITDA ajustado estimado de 2026 [14].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Motivair (75 %)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850 M por el 75 %; «un múltiplo medio de un dígito de las ventas previstas de 2025» [15].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Scott Springfield Manufacturing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Modine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Unidades de tratamiento de aire (Canadá)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L.B. White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Modine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Calefacción especial (agricultura y construcción) [2].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Climate by Design International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Deshumidificación por desecante y unidades de proceso [2].</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Los grandes pagan caro la refrigeración líquida: Eaton, 22,5 veces el EBITDA de 2026e por Boyd Thermal [14]; Schneider, un múltiplo medio de un dígito de las ventas por Motivair [15]. La venta de Performance Technologies (8,1 veces el EBITDA ajustado, 6,8 con sinergias [10]) no es comparable. Modine podría ser objetivo (sin accionista de control, capitalización de ≈8.500 M), pero tiene consejo escalonado y la operación tendría que pagar sobre un precio que ya está por encima del valor intrínseco. Peso 0: no hay múltiplos suficientes de operaciones comparables.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+38 %: el 1T creció un 50 % pro forma [1] con centros de datos +90 % y climatización +22 % [3]; la guía del grupo (+20-35 % con Performance Technologies plana) implica +30-55 % para el perímetro [3], y frenamos por la falta de componentes. FY2028e +30 %: centros de datos +40 % (la empresa apunta a 50-70 % [10]) y climatización +8 %. Después, convergencia al 5 % en FY2033e y terminal del 3 %. El consenso de ventas de FY2028e (4.139 M [22]) queda un 12 % por encima de nuestros 3.687 M.</w:t>
      </w:r>
    </w:p>
    <w:p>
      <w:pPr>
        <w:keepNext/>
        <w:spacing w:after="100"/>
      </w:pPr>
      <w:r>
        <w:rPr>
          <w:b/>
          <w:bCs/>
        </w:rPr>
        <w:t xml:space="preserve">Márgenes.</w:t>
      </w:r>
    </w:p>
    <w:p>
      <w:pPr>
        <w:spacing w:after="100"/>
      </w:pPr>
      <w:r>
        <w:t xml:space="preserve">EBITDA del 15,0 % en FY2027e (13,6 % en FY2026 sin no recurrentes; 1T FY2027 deprimido) y del 17-17,5 % desde FY2028e, cuando la capacidad nueva madure: es el 19,6 % del segmento antes de costes centrales que daba la empresa en ene-26 [10] menos ≈2,5 puntos de corporativo. Por debajo del 23 % de Vertiv y del 19 % de Trane [13].</w:t>
      </w:r>
    </w:p>
    <w:p>
      <w:pPr>
        <w:keepNext/>
        <w:spacing w:after="100"/>
      </w:pPr>
      <w:r>
        <w:rPr>
          <w:b/>
          <w:bCs/>
        </w:rPr>
        <w:t xml:space="preserve">Inversión y circulante.</w:t>
      </w:r>
    </w:p>
    <w:p>
      <w:pPr>
        <w:spacing w:after="100"/>
      </w:pPr>
      <w:r>
        <w:t xml:space="preserve">Capex del 5,5 % de las ventas en FY2027e y del 5,0 % en FY2028e (5,6 % en FY2026 [2]), bajando al 3,6 % al final, por encima de la amortización (3,1 %). Circulante del 22 % de las ventas (≈22 % en el pro forma de jun-26 [1]).</w:t>
      </w:r>
    </w:p>
    <w:p>
      <w:pPr>
        <w:keepNext/>
        <w:spacing w:after="100"/>
      </w:pPr>
      <w:r>
        <w:rPr>
          <w:b/>
          <w:bCs/>
        </w:rPr>
        <w:t xml:space="preserve">Coste del capital.</w:t>
      </w:r>
    </w:p>
    <w:p>
      <w:pPr>
        <w:spacing w:after="100"/>
      </w:pPr>
      <w:r>
        <w:t xml:space="preserve">Tasa libre 5,21 % (bono a 10 años de EE. UU., 13-oct [24]); beta 1,45, entre la ajustada semanal de cinco años (1,43) y la ajustada mensual (1,54) [21]; prima de mercado del 5,5 %; deuda al 4 % del valor con un coste del 6,0 %. WACC 12,84 %. Con la prima implícita del mercado (4,2 % [25]) el WACC baja al 11,03 %.</w:t>
      </w:r>
    </w:p>
    <w:p>
      <w:pPr>
        <w:keepNext/>
        <w:spacing w:after="100"/>
      </w:pPr>
      <w:r>
        <w:rPr>
          <w:b/>
          <w:bCs/>
        </w:rPr>
        <w:t xml:space="preserve">Valor terminal.</w:t>
      </w:r>
    </w:p>
    <w:p>
      <w:pPr>
        <w:spacing w:after="100"/>
      </w:pPr>
      <w:r>
        <w:t xml:space="preserve">Gordon con un 3,0 %: crecimiento nominal de EE. UU., por debajo de la tasa libre menos medio punto. El valor terminal es el 65 % del valor; el múltiplo de salida implícito queda por debajo de la mediana de los comparables, coherente con un negocio que deja de crecer al doble del mercado.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 M (38 %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(ROIC 12,9 %)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 frente al 17,0 %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 (histórico: 29,6 %)</w:t>
            </w:r>
          </w:p>
        </w:tc>
      </w:tr>
    </w:tbl>
    <w:p>
      <w:pPr>
        <w:spacing w:after="160" w:before="0"/>
      </w:pPr>
    </w:p>
    <w:p>
      <w:pPr>
        <w:spacing w:after="100"/>
      </w:pPr>
      <w:r>
        <w:t xml:space="preserve">La proyección reinvierte el 38 % del NOPAT. Con el ROIC del último ejercicio (12,9 %), eso financia un crecimiento del 4,8 % anual, frente al 17,0 % de ingresos proyectado. Supone que el capital nuevo rinde un 36,2 %, frente a un ROIC incremental histórico del 29,6 %.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33 puntos (capacidad nueva de centros de datos y climatización comercial), precio 3 (repercusión de aranceles y materiales) y otros 2 (año completo de Climate by Design y L.B. White) [2,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27 puntos (centros de datos +40 %, por debajo del 50-70 % que apunta la empresa [10]) y precio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15 puntos y precio 3: el mercado de refrigeración de centros de datos crece un 16,5-17 % anual hasta 2030 [11, 12].</w:t>
            </w:r>
          </w:p>
        </w:tc>
      </w:tr>
    </w:tbl>
    <w:p>
      <w:pPr>
        <w:spacing w:after="160" w:before="0"/>
      </w:pPr>
    </w:p>
    <w:p>
      <w:pPr>
        <w:spacing w:after="100"/>
      </w:pPr>
      <w:r>
        <w:t xml:space="preserve">Las pruebas del motor pasan: la reinversión de la proyección (38 % del NOPAT) supone que el capital nuevo rinde un 36,2 %, por debajo de 1,25 veces el ROIC incremental histórico (29,6 %), y la cuota de centros de datos pasaría del ≈5,5 % a ≈6 % en 2030 (prueba a mano, mercado final en blanco porque la cifra de ventas del grupo incluye climatización comercial). Pero el juicio es «En parte»: el foso es estrecho, el ROIC actual (12,9 %) apenas cubre el WACC, el poder de precios en centros de datos no se ha demostrado con capacidad abundante (el margen del 1T cayó 9,6 puntos [3]) y el crecimiento depende de pocos clientes y de un solo ciclo de inversión.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17,0 %)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 (base: 17,0 %)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12,8 %)</w:t>
            </w:r>
          </w:p>
        </w:tc>
      </w:tr>
    </w:tbl>
    <w:p>
      <w:pPr>
        <w:spacing w:after="160" w:before="0"/>
      </w:pPr>
    </w:p>
    <w:p>
      <w:pPr>
        <w:spacing w:after="100"/>
      </w:pPr>
      <w:r>
        <w:t xml:space="preserve">El DCF da 67,51 USD por acción, un 57,2 % por debajo del precio, con un 65 % del valor en el terminal. El valor intrínseco ponderado (DCF, comparables y escenarios) es de 93,14 USD (−41,0 %); con la prima implícita del mercado, 108,25 USD. El DCF inverso no encuentra un crecimiento razonable que justifique el precio con nuestro margen: hace falta un margen EBITDA del 30 % sostenido con nuestro crecimiento, casi el doble del 17 % del caso base y por encima del 23 % de Vertiv, el mejor del sector. Dicho de otro modo, a 157,75 USD el comprador obtiene un 7,8 % anual si se cumple nuestro caso base, por debajo del 12,8 % de su coste de capital y del 11,0 % que pide el mercado. El precio descuenta que el auge de los centros de datos dure mucho más que nuestra proyección o que Modine alcance márgenes de líder; las dos cosas son posibles, ninguna está demostrada.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hiperescaladores frenan el capex en 2027 y la capacidad nueva del sector baja precios: el crecimiento se queda 8 puntos por debajo cada año (FY2027e +30 %, FY2028e +22 %) y el margen EBITDA 2,5 puntos (14,5 % desde FY2028e). Le pasó a Modine en el 1T FY2027 con el margen y a Vertiv en 2022.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Centros de datos crece un 55 % en FY2027e y un 40 % en FY2028e, por debajo del 50-70 % de la empresa; el margen se recupera al 17-17,5 % de EBITDA con la capacidad madura.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cumple su objetivo (centros de datos +50-70 % dos años) y llega a márgenes cercanos a los del segmento sin corporativo (19-19,5 % de EBITDA): crecimiento 6 puntos más y margen 2 puntos más.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157,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68,70 USD (-56,5 %).</w:t>
      </w:r>
    </w:p>
    <w:p>
      <w:pPr>
        <w:spacing w:after="100"/>
      </w:pPr>
      <w:r>
        <w:t xml:space="preserve">Asimetría muy desfavorable sobre el valor intrínseco: incluso el alcista (99,99 USD) queda un 36,6 % por debajo del precio, y el bajista (39,80 USD) un 74,8 %. Sobre el objetivo a 12 meses la lectura cambia: el mercado paga múltiplos de crecimiento y, si se cumple nuestro BPA, el precio puede subir aunque la empresa valga menos de lo que cotiza. Esa divergencia es el centro del informe.</w:t>
      </w:r>
    </w:p>
    <w:p>
      <w:pPr>
        <w:pStyle w:val="Heading1"/>
      </w:pPr>
      <w:r>
        <w:t xml:space="preserve">22. Suma de partes</w:t>
      </w:r>
    </w:p>
    <w:p>
      <w:pPr>
        <w:pStyle w:val="Confianza"/>
        <w:spacing w:after="100"/>
      </w:pPr>
      <w:r>
        <w:t xml:space="preserve">Confianza: Media</w:t>
      </w:r>
    </w:p>
    <w:p>
      <w:pPr>
        <w:spacing w:after="100"/>
      </w:pPr>
      <w:r>
        <w:t xml:space="preserve">No aplica: tras la escisión quedan dos segmentos con la misma base de clientes industriales y comerciales, y solo hay resultado reexpresado de un ejercicio; la suma de partes la sustituye el escenario alcista (centros de datos a múltiplo de Vertiv).</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157,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158,54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93,14 USD (-41,0 % sobre 157,75).</w:t>
      </w:r>
    </w:p>
    <w:p>
      <w:pPr>
        <w:spacing w:after="100"/>
      </w:pPr>
      <w:r>
        <w:t xml:space="preserve">Pesos: DCF 60 %, comparables 20 % y escenarios 20 %; transacciones 0 (las de refrigeración líquida son de otro tamaño y con prima de control). El DCF es el método más fiable para una empresa cuyo valor depende de cuánto dure el crecimiento y de qué margen alcance. La dispersión es enorme: de 67,51 USD (DCF) a 194,45 USD (PER de los comparables). El mercado está en el extremo alto: paga el múltiplo de crecimiento de los comparables sobre un BPA que aún no existe.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325,36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+106,3 %</w:t>
            </w:r>
          </w:p>
        </w:tc>
      </w:tr>
    </w:tbl>
    <w:p>
      <w:pPr>
        <w:spacing w:after="160" w:before="0"/>
      </w:pPr>
    </w:p>
    <w:p>
      <w:pPr>
        <w:spacing w:after="100"/>
      </w:pPr>
      <w:r>
        <w:rPr>
          <w:b/>
          <w:bCs/>
        </w:rPr>
        <w:t xml:space="preserve">Objetivo a 12 meses (ponderado):</w:t>
      </w:r>
      <w:r>
        <w:t xml:space="preserve"> 204,54 USD · rentabilidad +29,7 % (base +21,2 %) · señal Mantener.</w:t>
      </w:r>
    </w:p>
    <w:p>
      <w:pPr>
        <w:spacing w:after="100"/>
      </w:pPr>
      <w:r>
        <w:t xml:space="preserve">Para comparar, con la regla v2 (historia al cierre, mismo precio): 18,3x / 21,5x / 28,0x, 29,7 % Mantener; con el tope anterior del base (×1,3, 14-oct mediodía): 41,3 % Mantener; con la v3 sin el selector (tope ×1,1): 38,6 % Mantener. Decide la v2, elegida por el selector de método (historia adelantada de 3 años: decide la más baja de v3 y v2 (v2); METODO-VIGENTE.md).</w:t>
      </w:r>
    </w:p>
    <w:p>
      <w:pPr>
        <w:keepNext/>
        <w:spacing w:after="100"/>
      </w:pPr>
      <w:r>
        <w:rPr>
          <w:b/>
          <w:bCs/>
        </w:rPr>
        <w:t xml:space="preserve">Frente al consenso (solo contraste).</w:t>
      </w:r>
    </w:p>
    <w:p>
      <w:pPr>
        <w:spacing w:after="100"/>
      </w:pPr>
      <w:r>
        <w:t xml:space="preserve">Nuestro BPA de FY2028e (7,35 USD) queda un 28 % por debajo del consenso (10,16 USD, tres analistas [22]): ventas un 11 % menores (3.687 M frente a 4.139 M) por la falta de componentes y un margen EBITDA del 17 % frente a uno implícito cercano al 20 %, que exigiría que centros de datos recupere ya el 25-30 % bruto. El consenso es ajustado (sin reestructuraciones ni costes de la escisión). Nuestro objetivo base (191,14 USD) queda un 37 % por debajo del objetivo medio de los analistas (302,13 USD), fijado en su mayoría en mayo-junio con la acción a 250-320 USD y antes de restar los ≈15 USD de Gentherm.</w:t>
      </w:r>
    </w:p>
    <w:p>
      <w:pPr>
        <w:keepNext/>
        <w:spacing w:after="100"/>
      </w:pPr>
      <w:r>
        <w:rPr>
          <w:b/>
          <w:bCs/>
        </w:rPr>
        <w:t xml:space="preserve">Del valor intrínseco al objetivo a 12 meses.</w:t>
      </w:r>
    </w:p>
    <w:p>
      <w:pPr>
        <w:spacing w:after="100"/>
      </w:pPr>
      <w:r>
        <w:t xml:space="preserve">El objetivo a 12 meses (204,54 USD, +29,7 %; base 191,14 USD, +21,2 %) y el valor intrínseco (93,14 USD) están a más de un 100 % de distancia. El objetivo dice a cuánto puede cotizar si el mercado sigue pagando 21-22 veces un BPA que crece un 49 % anual hasta FY2029e (desde 2,60 USD sin el cargo de pensiones de FY2026); el DCF dice que ese BPA, descontado al 12,84 %, no vale el precio. Para cerrar la distancia haría falta un margen EBITDA del 30 %, un crecimiento largo muy por encima del proyectado o un coste de capital mucho menor. Ningún catalizador con fecha lo resuelve en un año: la tesis de valor es a varios años y hoy no la hay.</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 FY2027 y primera guía sin Performance Technologies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la base de BPA del nuevo perímetro; el margen de centros de datos del 2T dice si el 1T fue puntual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cambio de nombre a Modexus Solutions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económico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completo sin Performance Technologies; capacidad nueva en marcha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ene-feb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Presupuestos de capex de 2027 de los hiperescaladores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Marcan la demanda de FY2028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de centros de datos &gt; 2.000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del capex de IA de los hiperescaladores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(bajista 39,80 frente al base 67,51)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Climatización comercial (≈45 %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Guías de capex de Microsoft, Alphabet, Amazon y Meta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de centros de datos no vuelve al 24-30 % bruto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(2 puntos de margen menos)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Curva de aprendizaje de las plantas nuevas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segmento en el 2T y 3T FY2027 por debajo del 22 %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por cliente grande perdido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Cualificación con varios hiperescaladores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del primer cliente en el 10-K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grupos mayores (Vertiv, Schneider, Eaton con Boyd, Trane)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y plazos de entrega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medio y cuota en los concursos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Falta de componentes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Suministro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Proveedores nuevos cualificados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Comentarios del 2T sobre plazos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centrales sobredimensionados tras la escisión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servicios transitorios con Gentherm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Corporate por encima de 80 M anuales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tecnológico en la refrigeración (directa al chip, inmersión)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Vende CDU de refrigeración líquida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Mezcla de pedidos por tecnología</w:t>
            </w:r>
          </w:p>
        </w:tc>
      </w:tr>
    </w:tbl>
    <w:p>
      <w:pPr>
        <w:spacing w:after="160" w:before="0"/>
      </w:pPr>
    </w:p>
    <w:p>
      <w:pPr>
        <w:pStyle w:val="Heading2"/>
      </w:pPr>
      <w:r>
        <w:t xml:space="preserve">Pre-mortem</w:t>
      </w:r>
    </w:p>
    <w:p>
      <w:pPr>
        <w:spacing w:after="100"/>
      </w:pPr>
      <w:r>
        <w:t xml:space="preserve">Octubre de 2029: la acción vale un 40 % menos. Lo más probable: en 2027 los hiperescaladores frenaron la inversión tras dos años de gasto récord sin el retorno esperado en la IA, y los pedidos de enfriadoras cayeron justo cuando Modine terminaba sus plantas nuevas de EE. UU. y Reino Unido. Con más capacidad que pedidos, el margen bruto de centros de datos no volvió del 20 % del 1T FY2027, los costes centrales que dejó la escisión pesaron más y el capex pagado no rindió su coste de capital. A la vez Vertiv, Schneider y Eaton (con Boyd) bajaron precios para llenar sus fábricas, y un cliente grande repartió su pedido. El BPA de FY2029 quedó en torno a 5-6 USD en vez de 8,9, y el mercado, que ya había pasado de pagar 40 veces a 18, no tuvo motivo para volver a pagar más. La señal temprana: el margen bruto de centros de datos del 2T y del 3T FY2027 por debajo del 22 % y unas guías de capex de los hiperescaladores para 2027 planas.</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Oportunidad · </w:t>
      </w:r>
      <w:r>
        <w:rPr>
          <w:b/>
          <w:bCs/>
        </w:rPr>
        <w:t xml:space="preserve">Efecto en valor (3-5 años):</w:t>
      </w:r>
      <w:r>
        <w:t xml:space="preserve"> +15 % / −40 %</w:t>
      </w:r>
    </w:p>
    <w:p>
      <w:pPr>
        <w:spacing w:after="100"/>
      </w:pPr>
      <w:r>
        <w:t xml:space="preserve">La IA no amenaza con sustituir lo que vende Modine: son equipos físicos de refrigeración que la IA necesita más (los bastidores de IA multiplican el calor por bastidor) y la empresa ya vende CDU de refrigeración líquida [2]. El riesgo es el contrario: dependencia. Centros de datos son ya ≈54 % de las ventas del perímetro [4] y la tesis entera depende de que el capex de IA siga creciendo; un frenazo lleva al escenario bajista (−41 % sobre el valor base). Riesgo de IA para el negocio: bajo como sustitución, alto como concentración en un ciclo. Señal: guías de capex de los hiperescaladores y pedidos de refrigeración líquida.</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eficiencia energética y el consumo de agua de los equipos que vende (la tesis comercial de sus enfriadoras y controles) y los refrigerantes de bajo potencial de calentamiento [2]. La terminación del plan de pensiones de EE. UU. en FY2026 eliminó un pasivo social a cambio de un cargo de 116 M [2].</w:t>
      </w:r>
    </w:p>
    <w:p>
      <w:pPr>
        <w:pStyle w:val="Heading2"/>
      </w:pPr>
      <w:r>
        <w:t xml:space="preserve">Controversias</w:t>
      </w:r>
    </w:p>
    <w:p>
      <w:pPr>
        <w:spacing w:after="100"/>
      </w:pPr>
      <w:r>
        <w:t xml:space="preserve">No se han encontrado sanciones ni litigios relevantes en los documentos leídos (10-K FY2026, nota 20)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bruto de centros de datos espera en el 4T FY2027 y cuánto de la caída del 1T son costes de arranque que desaparecen?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son ≈17 M de beneficio operativo; el caso base pide el 17 % de EBITDA en FY2028.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EBITDA ajustado de FY2027 sin Performance Technologies y qué parte de la guía de 650-680 M aportaba ese negocio?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base que falta para el BPA del nuevo perímetro.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 el primer cliente en el perímetro que queda y qué duración tienen los acuerdos (incluido el de Google publicado en prensa)?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concentración es el mayor riesgo y no se publica sin Performance Technologies.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centrales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cuánto bajarán los 88 M de costes centrales tras la escisión y en qué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4,3 % de las ventas del perímetro.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capex de capacidad queda para llegar a los objetivos de FY2028 y qué ROIC espera de él?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actual (12,9 %) apenas cubre el WACC.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tantas ventas de directivos (40 M en 12 meses) y ninguna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gobierno a vigilar.</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($MOD)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dos días de caídas, unos compran «para la vuelta» (objetivos de 200-300 USD, «el nuevo Micron») y otros miran soportes en 150 y 120 USD; quejas de «manipulación» [29].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Títulos de julio-septiembre: «la caída es un regalo», «un desplome que merece comprarse: riesgos temporales de suministro, margen y ejecución», frente a «una apuesta de alto riesgo a medio plazo»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Stocktwits ($THRM)</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que recibieron acciones de Gentherm comentan que aguantan mejor que Modine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centros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 la duda: margen bruto del 20,2 % frente al 29,8 % un año antes [3]; la empresa promete mejoras secuenciales.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Burbuja o ciclo de inversión en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centros de datos crecen un 90 % [3], pero el precio ya ha caído un 51 % desde máximos [21]: el mercado duda de la duración.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Mecánica de la escisión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de la caída de septiembre-octubre son los ≈15 USD por acción en acciones de Gentherm que se llevaron los accionistas [16], no una pérdida.</w:t>
            </w:r>
          </w:p>
        </w:tc>
      </w:tr>
    </w:tbl>
    <w:p>
      <w:pPr>
        <w:spacing w:after="160" w:before="0"/>
      </w:pPr>
    </w:p>
    <w:p>
      <w:pPr>
        <w:spacing w:after="100"/>
      </w:pPr>
      <w:r>
        <w:t xml:space="preserve">El sentimiento de los particulares está dividido y empeora con el precio: unos ven «una caída para comprar» y otros miran soportes más abajo [29, 30]. No es capitulación: los mensajes siguen esperando 200-300 USD, cerca del objetivo de los analistas, mientras el valor intrínseco del informe es de 93 USD. El foro apunta a lo mismo que el análisis (el margen de centros de datos) y no añade riesgos nuevos.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20 controles correctos y 3 explicados. Fuentes: 31 (17 primarias); citas distintas en el texto: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37,1 %: explica la causa (créditos fiscales, regularizaciones, mezcla de países) y no lo proyectes en el DCF. Explicación: El 37,1 % sale del cargo de 116,1 M por terminar el plan de pensiones, con menos deducción fiscal en el pro forma [1]; el DCF usa un 24 %, el tipo combinado que da la empresa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No hay crecimiento razonable que lleve el DCF al precio con el margen del caso base: el motor da el margen implícito (30 % de EBITDA frente al 17 % del base) y la rentabilidad implícita (7,8 %), que son la lectura del precio.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36,2 % frente a un ROIC de 12,9 % y un incremental histórico de 29,6 %: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22,0 % frente a 23,6 % real: genera una variación de circulante de 139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FY2029e (8,89) supone un 107,2 % anual desde 1,00 (FY2026): explícalo en valoracion.objetivo_12m.comentario o la confianza es baja. Explicación: El BPA real de FY2026 (1,00 USD) lleva el cargo de pensiones de 116,1 M; sin él sería ≈2,60 USD (estimación propia), y el BPA de FY2029e (8,89) supone un 49 % anual, en línea con unas ventas de centros de datos que crecen un 73-90 % [2, 3]. Explicado en el comentario del objetivo.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(competencia): sin cuotas; 2) informes de mercado gratuitos (Arizton, ResearchAndMarkets): cuotas de pago; 3) derivarla de las ventas de los competidores: Vertiv y Schneider no separan refrigeración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margen_ebit_pct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margen EBITDA de grupo); 2) informes anuales: no separan la refrigeración de centros de datos; 3) se da el margen EBITDA del grupo en el comentario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 forma 8-K/A (solo saldo); 2) 10-Q del 1T FY2027: antes de amortizar 198,6 M con el cobro de la escisión; 3) 8-K del cierre: sin calendario nuevo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y 10-K: no citan calificaciones; 2) MSCI y Sustainalytics: de pago; 3) prensa: nada reciente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y BPA por trimestre del perímetro que queda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 forma: solo FY y 1T FY2027; 2) reexpresión de segmentos (ventas, margen bruto y beneficio operativo por segmento, sin costes centrales por trimestre); 3) no se puede repartir el corporativo por trimestre sin inventar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Unaudited Pro Forma Consolidated Financial Information (8-K/A, anexo 99.1): cuenta FY2024-FY2026 y 1T FY2027 sin Performance Technologies; balance pro forma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Modine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https://www.sec.gov/Archives/edgar/data/67347/000110465926114220/mod-ex99d1.htm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FY2026 (ejercicio cerrado el 31-mar-2026): cuentas auditadas, segmentos, amortizaciones y capex por segmento, terminación del plan de pensiones, adquisiciones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Modine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https://www.sec.gov/Archives/edgar/data/67347/000110465926066795/mod-20260331x10k.htm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Reports First Quarter Fiscal 2027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https://www.sec.gov/Archives/edgar/data/67347/000110465926088230/mod-20260729xex99d1.htm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 operating results recast for segment realignment (8-K, anexo 99.1): Data Centers y Commercial HVAC por trimestre de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https://www.sec.gov/Archives/edgar/data/67347/000110465926086644/mod-20260724xex99d1.htm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FY2024: segmentos FY2022-FY2024 (Climate Solutions), amortizaciones y capex por segmento, debilidad material de control interno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https://www.sec.gov/Archives/edgar/data/67347/000114036124027133/ef20026276_10k.htm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XBRL (companyfacts): cuenta, balance y flujos FY2017-FY2026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https://data.sec.gov/api/xbrl/companyfacts/CIK0000067347.json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Reports Fourth Quarter and Fiscal 2026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https://www.sec.gov/Archives/edgar/data/67347/000110465926066291/mod-20260526xex99d1.htm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1T FY2027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https://www.sec.gov/Archives/edgar/data/67347/000110465926088569/mod-20260630x10q.htm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y análisis de MOD (titulares: resultados del 1T, informe sobre Google como cliente de 4.000 M, caída de las acciones de infraestructura de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https://seekingalpha.com/symbol/MOD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Gentherm and Modine's Performance Technologies Business to Combine (8-K, anexo 99.1): objetivos de centros de datos (50-70 % anual dos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https://www.sec.gov/Archives/edgar/data/67347/000110465926008087/mod-20260129xex99d1.htm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Data Center Cooling Market Landscape 2025-2030 (16,32 mil M USD en 2024; 40,72 mil M en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Arizton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https://www.arizton.com/market-reports/data-center-cooling-market-report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Cooling: global market (19,8 mil M USD en 2024; 50,9 mil M en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ResearchAndMarkets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https://www.businesswire.com/news/home/20251106101911/en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 de comparables (Vertiv, Trane, Johnson Controls, Carrier, Lennox, AAON, nVent, SPX, Eaton): ventas y márgenes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Signs Agreement to Acquire Boyd Thermal (9.500 M USD; 22,5 veces el EBITDA ajustado estimado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https://www.businesswire.com/news/home/20251103856036/en/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prend une participation de 75 % dans Motivair pour 850 millions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https://www.optionfinance.fr/info-financiere-en-continu/d/2024-10-17-schneider-electric-prend-une-participation-de-75-dans-motivair-pour-850-millions-deuros.html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Completes Spin-off and Combination of its Performance Technologies Business with Gentherm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https://www.sec.gov/Archives/edgar/data/67347/000110465926112870/tm2626618d1_ex99-1.htm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to Become Modexus Solutions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https://www.sec.gov/Archives/edgar/data/67347/000110465926106727/tm2625001d1_ex99-1.htm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participaciones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https://www.sec.gov/Archives/edgar/data/67347/000110465926082630/mod-20260820xdef14a.htm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del 20-ago-2026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https://www.sec.gov/Archives/edgar/data/67347/000110465926099432/mod-20260820x8k.htm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(15-oct-2025 a 15-oct-2026),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https://www.sec.gov/cgi-bin/browse-edgar?action=getcompany&amp;CIK=0000067347&amp;type=4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MOD, SPY y XLI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https://finance.yahoo.com/quote/MOD/history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 estimaciones de consenso (BPA y ventas FY2027-FY2028, revisiones a 7 y 90 días), precio objetivo y recomendaciones; comparables (quoteSummary)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https://finance.yahoo.com/quote/MOD/analysis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Manufacturing (MOD)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https://stockanalysis.com/stocks/mod/forecast/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Banco de la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Gentherm and Modine Announce Additional Information (record date, ajuste de la ecuación de canje)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https://www.sec.gov/Archives/edgar/data/67347/000110465926108614/tm2625565d1_ex99-1.htm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Manufacturing Slides as Investors Digest Insider Sales and AI Infrastructure Weakness (objetivos de analistas mayo-junio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Quiver Quantitative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https://www.quiverquant.com/news/Modine+Manufacturing+Slides+as+Investors+Digest+Insider+Sales+and+AI+Infrastructure+Weakness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de la junta extraordinaria del 13-nov-2026 (cambio de nombre a Modexus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https://www.sec.gov/Archives/edgar/data/67347/000110465926115309/mod-20261113xdef14a.htm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$MOD (13-15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https://stocktwits.com/symbol/MOD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de autores sobre Modine (jul-sep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https://seekingalpha.com/symbol/MOD/analysis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mensajes de $THRM de accionistas de Modine tras la escisión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https://stocktwits.com/symbol/THRM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88,3 %</w:t>
      </w:r>
      <w:r>
        <w:t xml:space="preserve"> · Secciones con menos del 60 % de campos cubiertos: </w:t>
      </w:r>
      <w:r>
        <w:rPr>
          <w:b/>
          <w:bCs/>
        </w:rPr>
        <w:t xml:space="preserve">ninguna</w:t>
      </w:r>
      <w:r>
        <w:t xml:space="preserve"> · Generado el 15 oct 2026.</w:t>
      </w:r>
    </w:p>
    <w:p>
      <w:pPr>
        <w:pStyle w:val="Nota"/>
        <w:spacing w:after="100"/>
      </w:pPr>
      <w:r>
        <w:t xml:space="preserve">Precio de cierre del miércoles 14-oct-2026 (157,75 USD): el jueves 15-oct, fecha de corte, la sesión de Nueva York no había cerrado (150,14 USD a las 13:00 de Nueva York) [21]. El análisis es de Modine sin Performance Technologies, escindida y fusionada con Gentherm el 1-oct-2026 [16]. La cuenta FY2024-FY2026 es el pro forma del artículo 11 sin Performance Technologies que publicó la empresa (no auditado) [1]; FY2022-FY2023 es estimación propia con el segmento Climate Solutions y Corporate del 10-K FY2024 [5]. Los balances FY2022-FY2025 y todos los flujos son los publicados, con Performance Technologies, porque no hay balances ni flujos pro forma de esos años [6]; el balance FY2026 es el pro forma a 30-jun-2026 [1]. Por eso los ratios de balance de los años anteriores no comparan con la cuenta. Los precios de cierre de los ejercicios anteriores a FY2027 incluyen el valor de Performance Technologies (≈15 USD por acción en acciones de Gentherm al cierre de la operación [16]). El consenso gratuito mezcla perímetros (FY2027e con Performance Technologies en el primer semestre) [22]. Ejercicio de abril a marzo; «FY2026» termina el 31-mar-2026.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Modine Manufacturing Company (MOD)</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157,75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(111,18 – 323,25)</c:v>
                </c:pt>
                <c:pt idx="1">
                  <c:v>Precio objetivo de los analistas (260,00 – 355,00)</c:v>
                </c:pt>
                <c:pt idx="2">
                  <c:v>Comparables: PER NTM (149,44 – 202,94)</c:v>
                </c:pt>
                <c:pt idx="3">
                  <c:v>DCF (WACC y g ± 0,5) (61,25 – 75,15)</c:v>
                </c:pt>
                <c:pt idx="4">
                  <c:v>Escenarios (bajista – alcista) (39,80 – 99,99)</c:v>
                </c:pt>
                <c:pt idx="5">
                  <c:v>DCF con la prima implícita del mercado (4,2 %)</c:v>
                </c:pt>
                <c:pt idx="6">
                  <c:v>Precio actual (157,75)</c:v>
                </c:pt>
              </c:strCache>
            </c:strRef>
          </c:cat>
          <c:val>
            <c:numRef>
              <c:f>Hoja1!$B$2:$B$8</c:f>
              <c:numCache>
                <c:formatCode>#,##0</c:formatCode>
                <c:ptCount val="7"/>
                <c:pt idx="0">
                  <c:v>111.18</c:v>
                </c:pt>
                <c:pt idx="1">
                  <c:v>260</c:v>
                </c:pt>
                <c:pt idx="2">
                  <c:v>149.44</c:v>
                </c:pt>
                <c:pt idx="3">
                  <c:v>61.25</c:v>
                </c:pt>
                <c:pt idx="4">
                  <c:v>39.8</c:v>
                </c:pt>
                <c:pt idx="5">
                  <c:v>80.3</c:v>
                </c:pt>
                <c:pt idx="6">
                  <c:v>156.96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(111,18 – 323,25)</c:v>
                </c:pt>
                <c:pt idx="1">
                  <c:v>Precio objetivo de los analistas (260,00 – 355,00)</c:v>
                </c:pt>
                <c:pt idx="2">
                  <c:v>Comparables: PER NTM (149,44 – 202,94)</c:v>
                </c:pt>
                <c:pt idx="3">
                  <c:v>DCF (WACC y g ± 0,5) (61,25 – 75,15)</c:v>
                </c:pt>
                <c:pt idx="4">
                  <c:v>Escenarios (bajista – alcista) (39,80 – 99,99)</c:v>
                </c:pt>
                <c:pt idx="5">
                  <c:v>DCF con la prima implícita del mercado (4,2 %)</c:v>
                </c:pt>
                <c:pt idx="6">
                  <c:v>Precio actual (157,75)</c:v>
                </c:pt>
              </c:strCache>
            </c:strRef>
          </c:cat>
          <c:val>
            <c:numRef>
              <c:f>Hoja1!$C$2:$C$8</c:f>
              <c:numCache>
                <c:formatCode>#,##0</c:formatCode>
                <c:ptCount val="7"/>
                <c:pt idx="0">
                  <c:v>212.07</c:v>
                </c:pt>
                <c:pt idx="1">
                  <c:v>95</c:v>
                </c:pt>
                <c:pt idx="2">
                  <c:v>53.5</c:v>
                </c:pt>
                <c:pt idx="3">
                  <c:v>13.900000000000006</c:v>
                </c:pt>
                <c:pt idx="4">
                  <c:v>60.19</c:v>
                </c:pt>
                <c:pt idx="5">
                  <c:v>12.850000000000009</c:v>
                </c:pt>
                <c:pt idx="6">
                  <c:v>1.579999999999984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Data Centers</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294.2</c:v>
                </c:pt>
                <c:pt idx="1">
                  <c:v>644.2</c:v>
                </c:pt>
                <c:pt idx="2">
                  <c:v>1108.2</c:v>
                </c:pt>
              </c:numCache>
            </c:numRef>
          </c:val>
        </c:ser>
        <c:ser>
          <c:idx val="1"/>
          <c:order val="1"/>
          <c:tx>
            <c:strRef>
              <c:f>Hoja1!$C$1</c:f>
              <c:strCache>
                <c:ptCount val="1"/>
                <c:pt idx="0">
                  <c:v>Commercial HVAC</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813.9</c:v>
                </c:pt>
                <c:pt idx="1">
                  <c:v>796.4</c:v>
                </c:pt>
                <c:pt idx="2">
                  <c:v>973.8</c:v>
                </c:pt>
              </c:numCache>
            </c:numRef>
          </c:val>
        </c:ser>
        <c:ser>
          <c:idx val="2"/>
          <c:order val="2"/>
          <c:tx>
            <c:strRef>
              <c:f>Hoja1!$D$1</c:f>
              <c:strCache>
                <c:ptCount val="1"/>
                <c:pt idx="0">
                  <c:v>Corporativo, otros y eliminaciones</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54.1</c:v>
                </c:pt>
                <c:pt idx="1">
                  <c:v>0</c:v>
                </c:pt>
                <c:pt idx="2">
                  <c:v>-26.6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Data Centers</c:v>
                </c:pt>
                <c:pt idx="1">
                  <c:v>Commercial HVAC</c:v>
                </c:pt>
                <c:pt idx="2">
                  <c:v>Corporativo, otros y eliminaciones</c:v>
                </c:pt>
              </c:strCache>
            </c:strRef>
          </c:cat>
          <c:val>
            <c:numRef>
              <c:f>Hoja1!$B$2:$B$4</c:f>
              <c:numCache>
                <c:formatCode>General</c:formatCode>
                <c:ptCount val="3"/>
                <c:pt idx="0">
                  <c:v>53.9</c:v>
                </c:pt>
                <c:pt idx="1">
                  <c:v>47.4</c:v>
                </c:pt>
                <c:pt idx="2">
                  <c:v>-1.3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c:v>
                </c:pt>
                <c:pt idx="1">
                  <c:v>Europa</c:v>
                </c:pt>
                <c:pt idx="2">
                  <c:v>Asia</c:v>
                </c:pt>
              </c:strCache>
            </c:strRef>
          </c:cat>
          <c:val>
            <c:numRef>
              <c:f>Hoja1!$B$2:$B$4</c:f>
              <c:numCache>
                <c:formatCode>0"%"</c:formatCode>
                <c:ptCount val="3"/>
                <c:pt idx="0">
                  <c:v>74.5</c:v>
                </c:pt>
                <c:pt idx="1">
                  <c:v>24.3</c:v>
                </c:pt>
                <c:pt idx="2">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(media de las dos fuentes))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2030e</c:v>
                </c:pt>
              </c:strCache>
            </c:strRef>
          </c:cat>
          <c:val>
            <c:numRef>
              <c:f>Hoja1!$B$2:$B$3</c:f>
              <c:numCache>
                <c:formatCode>#,##0</c:formatCode>
                <c:ptCount val="2"/>
                <c:pt idx="0">
                  <c:v>18060</c:v>
                </c:pt>
                <c:pt idx="1">
                  <c:v>45810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5</c:v>
                </c:pt>
                <c:pt idx="2">
                  <c:v>3</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Modine</c:v>
                </c:pt>
                <c:pt idx="1">
                  <c:v>Vertiv</c:v>
                </c:pt>
                <c:pt idx="2">
                  <c:v>Trane Technologies</c:v>
                </c:pt>
                <c:pt idx="3">
                  <c:v>Johnson Controls</c:v>
                </c:pt>
                <c:pt idx="4">
                  <c:v>Schneider Electric (Motivair)</c:v>
                </c:pt>
                <c:pt idx="5">
                  <c:v>Eaton (Boyd Thermal)</c:v>
                </c:pt>
                <c:pt idx="6">
                  <c:v>Carrier</c:v>
                </c:pt>
                <c:pt idx="7">
                  <c:v>AAON (BasX)</c:v>
                </c:pt>
              </c:strCache>
            </c:strRef>
          </c:cat>
          <c:val>
            <c:numRef>
              <c:f>Hoja1!$B$2:$B$9</c:f>
              <c:numCache>
                <c:formatCode>0.0"%"</c:formatCode>
                <c:ptCount val="8"/>
                <c:pt idx="0">
                  <c:v>11.6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2</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strCache>
            </c:strRef>
          </c:cat>
          <c:val>
            <c:numRef>
              <c:f>Hoja1!$B$2:$B$13</c:f>
              <c:numCache>
                <c:formatCode>#,##0</c:formatCode>
                <c:ptCount val="12"/>
                <c:pt idx="0">
                  <c:v>910.1</c:v>
                </c:pt>
                <c:pt idx="1">
                  <c:v>1011.5</c:v>
                </c:pt>
                <c:pt idx="2">
                  <c:v>1162.2</c:v>
                </c:pt>
                <c:pt idx="3">
                  <c:v>1440.6</c:v>
                </c:pt>
                <c:pt idx="4">
                  <c:v>2055.4</c:v>
                </c:pt>
                <c:pt idx="5">
                  <c:v>2836</c:v>
                </c:pt>
                <c:pt idx="6">
                  <c:v>3687</c:v>
                </c:pt>
                <c:pt idx="7">
                  <c:v>4351</c:v>
                </c:pt>
                <c:pt idx="8">
                  <c:v>4873</c:v>
                </c:pt>
                <c:pt idx="9">
                  <c:v>5312</c:v>
                </c:pt>
                <c:pt idx="10">
                  <c:v>5684</c:v>
                </c:pt>
                <c:pt idx="11">
                  <c:v>5968</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strCache>
            </c:strRef>
          </c:cat>
          <c:val>
            <c:numRef>
              <c:f>Hoja1!$C$2:$C$13</c:f>
              <c:numCache>
                <c:formatCode>#,##0</c:formatCode>
                <c:ptCount val="12"/>
                <c:pt idx="0">
                  <c:v>66.7</c:v>
                </c:pt>
                <c:pt idx="1">
                  <c:v>107.5</c:v>
                </c:pt>
                <c:pt idx="2">
                  <c:v>158.1</c:v>
                </c:pt>
                <c:pt idx="3">
                  <c:v>213.6</c:v>
                </c:pt>
                <c:pt idx="4">
                  <c:v>287.6</c:v>
                </c:pt>
                <c:pt idx="5">
                  <c:v>425</c:v>
                </c:pt>
                <c:pt idx="6">
                  <c:v>627</c:v>
                </c:pt>
                <c:pt idx="7">
                  <c:v>761</c:v>
                </c:pt>
                <c:pt idx="8">
                  <c:v>853</c:v>
                </c:pt>
                <c:pt idx="9">
                  <c:v>903</c:v>
                </c:pt>
                <c:pt idx="10">
                  <c:v>966</c:v>
                </c:pt>
                <c:pt idx="11">
                  <c:v>1015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18.3</c:v>
                </c:pt>
                <c:pt idx="1">
                  <c:v>22.1</c:v>
                </c:pt>
                <c:pt idx="2">
                  <c:v>25.7</c:v>
                </c:pt>
                <c:pt idx="3">
                  <c:v>28.1</c:v>
                </c:pt>
                <c:pt idx="4">
                  <c:v>25.3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7.3</c:v>
                </c:pt>
                <c:pt idx="1">
                  <c:v>10.6</c:v>
                </c:pt>
                <c:pt idx="2">
                  <c:v>13.6</c:v>
                </c:pt>
                <c:pt idx="3">
                  <c:v>14.8</c:v>
                </c:pt>
                <c:pt idx="4">
                  <c:v>14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4.6</c:v>
                </c:pt>
                <c:pt idx="1">
                  <c:v>8.4</c:v>
                </c:pt>
                <c:pt idx="2">
                  <c:v>11.2</c:v>
                </c:pt>
                <c:pt idx="3">
                  <c:v>11.4</c:v>
                </c:pt>
                <c:pt idx="4">
                  <c:v>11.6</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2.2</c:v>
                </c:pt>
                <c:pt idx="1">
                  <c:v>4.8</c:v>
                </c:pt>
                <c:pt idx="2">
                  <c:v>6.9</c:v>
                </c:pt>
                <c:pt idx="3">
                  <c:v>6.9</c:v>
                </c:pt>
                <c:pt idx="4">
                  <c:v>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1T26</c:v>
                </c:pt>
                <c:pt idx="1">
                  <c:v>2T26</c:v>
                </c:pt>
                <c:pt idx="2">
                  <c:v>3T26</c:v>
                </c:pt>
                <c:pt idx="3">
                  <c:v>4T26</c:v>
                </c:pt>
                <c:pt idx="4">
                  <c:v>1T27</c:v>
                </c:pt>
              </c:strCache>
            </c:strRef>
          </c:cat>
          <c:val>
            <c:numRef>
              <c:f>Hoja1!$B$2:$B$6</c:f>
              <c:numCache>
                <c:formatCode>0.0"%"</c:formatCode>
                <c:ptCount val="5"/>
                <c:pt idx="4">
                  <c:v>50.1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147</c:v>
                </c:pt>
                <c:pt idx="1">
                  <c:v>144</c:v>
                </c:pt>
                <c:pt idx="2">
                  <c:v>133</c:v>
                </c:pt>
                <c:pt idx="3">
                  <c:v>121</c:v>
                </c:pt>
                <c:pt idx="4">
                  <c:v>77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138</c:v>
                </c:pt>
                <c:pt idx="1">
                  <c:v>151</c:v>
                </c:pt>
                <c:pt idx="2">
                  <c:v>151</c:v>
                </c:pt>
                <c:pt idx="3">
                  <c:v>120</c:v>
                </c:pt>
                <c:pt idx="4">
                  <c:v>104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160</c:v>
                </c:pt>
                <c:pt idx="1">
                  <c:v>154</c:v>
                </c:pt>
                <c:pt idx="2">
                  <c:v>120</c:v>
                </c:pt>
                <c:pt idx="3">
                  <c:v>102</c:v>
                </c:pt>
                <c:pt idx="4">
                  <c:v>92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-29.4</c:v>
                </c:pt>
                <c:pt idx="1">
                  <c:v>56.3</c:v>
                </c:pt>
                <c:pt idx="2">
                  <c:v>126.39999999999999</c:v>
                </c:pt>
                <c:pt idx="3">
                  <c:v>128.70000000000002</c:v>
                </c:pt>
                <c:pt idx="4">
                  <c:v>104.69999999999997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19.9</c:v>
                </c:pt>
                <c:pt idx="1">
                  <c:v>48.7</c:v>
                </c:pt>
                <c:pt idx="2">
                  <c:v>80.4</c:v>
                </c:pt>
                <c:pt idx="3">
                  <c:v>99.1</c:v>
                </c:pt>
                <c:pt idx="4">
                  <c:v>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4.1</c:v>
                </c:pt>
                <c:pt idx="1">
                  <c:v>7.9</c:v>
                </c:pt>
                <c:pt idx="2">
                  <c:v>10.3</c:v>
                </c:pt>
                <c:pt idx="3">
                  <c:v>10.8</c:v>
                </c:pt>
                <c:pt idx="4">
                  <c:v>12.9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12.8</c:v>
                </c:pt>
                <c:pt idx="1">
                  <c:v>12.8</c:v>
                </c:pt>
                <c:pt idx="2">
                  <c:v>12.8</c:v>
                </c:pt>
                <c:pt idx="3">
                  <c:v>12.8</c:v>
                </c:pt>
                <c:pt idx="4">
                  <c:v>12.8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4.4</c:v>
                </c:pt>
                <c:pt idx="1">
                  <c:v>9.3</c:v>
                </c:pt>
                <c:pt idx="2">
                  <c:v>12</c:v>
                </c:pt>
                <c:pt idx="3">
                  <c:v>12</c:v>
                </c:pt>
                <c:pt idx="4">
                  <c:v>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4.66</c:v>
                </c:pt>
                <c:pt idx="1">
                  <c:v>2.47</c:v>
                </c:pt>
                <c:pt idx="2">
                  <c:v>2.23</c:v>
                </c:pt>
                <c:pt idx="3">
                  <c:v>1.1</c:v>
                </c:pt>
                <c:pt idx="4">
                  <c:v>0.92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0</c:v>
                </c:pt>
                <c:pt idx="1">
                  <c:v>0</c:v>
                </c:pt>
                <c:pt idx="2">
                  <c:v>186.2</c:v>
                </c:pt>
                <c:pt idx="3">
                  <c:v>3.4</c:v>
                </c:pt>
                <c:pt idx="4">
                  <c:v>182.4</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0</c:v>
                </c:pt>
                <c:pt idx="1">
                  <c:v>9</c:v>
                </c:pt>
                <c:pt idx="2">
                  <c:v>17.7</c:v>
                </c:pt>
                <c:pt idx="3">
                  <c:v>30.9</c:v>
                </c:pt>
                <c:pt idx="4">
                  <c:v>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BlackRock</c:v>
                </c:pt>
                <c:pt idx="1">
                  <c:v>Vanguard</c:v>
                </c:pt>
                <c:pt idx="2">
                  <c:v>Consejeros y directivos</c:v>
                </c:pt>
              </c:strCache>
            </c:strRef>
          </c:cat>
          <c:val>
            <c:numRef>
              <c:f>Hoja1!$B$2:$B$4</c:f>
              <c:numCache>
                <c:formatCode>0.0"%"</c:formatCode>
                <c:ptCount val="3"/>
                <c:pt idx="0">
                  <c:v>7.24</c:v>
                </c:pt>
                <c:pt idx="1">
                  <c:v>5.2</c:v>
                </c:pt>
                <c:pt idx="2">
                  <c:v>1.92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64.6</c:v>
                </c:pt>
                <c:pt idx="1">
                  <c:v>35.6</c:v>
                </c:pt>
                <c:pt idx="2">
                  <c:v>-46.5</c:v>
                </c:pt>
                <c:pt idx="3">
                  <c:v>-28.8</c:v>
                </c:pt>
                <c:pt idx="4">
                  <c:v>63.1</c:v>
                </c:pt>
                <c:pt idx="5">
                  <c:v>-19.7</c:v>
                </c:pt>
                <c:pt idx="6">
                  <c:v>96.8</c:v>
                </c:pt>
                <c:pt idx="7">
                  <c:v>200.6</c:v>
                </c:pt>
                <c:pt idx="8">
                  <c:v>94.2</c:v>
                </c:pt>
                <c:pt idx="9">
                  <c:v>15.2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0.0"x"</c:formatCode>
                <c:ptCount val="5"/>
                <c:pt idx="0">
                  <c:v>11.9</c:v>
                </c:pt>
                <c:pt idx="1">
                  <c:v>13.9</c:v>
                </c:pt>
                <c:pt idx="2">
                  <c:v>34.4</c:v>
                </c:pt>
                <c:pt idx="3">
                  <c:v>20.5</c:v>
                </c:pt>
                <c:pt idx="4">
                  <c:v>41.5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0.0"x"</c:formatCode>
                <c:ptCount val="5"/>
                <c:pt idx="0">
                  <c:v>34.4</c:v>
                </c:pt>
                <c:pt idx="1">
                  <c:v>34.4</c:v>
                </c:pt>
                <c:pt idx="2">
                  <c:v>34.4</c:v>
                </c:pt>
                <c:pt idx="3">
                  <c:v>34.4</c:v>
                </c:pt>
                <c:pt idx="4">
                  <c:v>34.4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Modine Performance Technologies</c:v>
                </c:pt>
                <c:pt idx="1">
                  <c:v>Boyd Thermal</c:v>
                </c:pt>
                <c:pt idx="2">
                  <c:v>Motivair (75 %)</c:v>
                </c:pt>
                <c:pt idx="3">
                  <c:v>Scott Springfield Manufacturing</c:v>
                </c:pt>
                <c:pt idx="4">
                  <c:v>L.B. White</c:v>
                </c:pt>
                <c:pt idx="5">
                  <c:v>Climate by Design International</c:v>
                </c:pt>
              </c:strCache>
            </c:strRef>
          </c:cat>
          <c:val>
            <c:numRef>
              <c:f>Hoja1!$B$2:$B$7</c:f>
              <c:numCache>
                <c:formatCode>0.0"x"</c:formatCode>
                <c:ptCount val="6"/>
                <c:pt idx="0">
                  <c:v>8.1</c:v>
                </c:pt>
                <c:pt idx="1">
                  <c:v>22.5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FY2027e</c:v>
                </c:pt>
                <c:pt idx="1">
                  <c:v>FY2028e</c:v>
                </c:pt>
                <c:pt idx="2">
                  <c:v>FY2029e</c:v>
                </c:pt>
                <c:pt idx="3">
                  <c:v>FY2030e</c:v>
                </c:pt>
                <c:pt idx="4">
                  <c:v>FY2031e</c:v>
                </c:pt>
                <c:pt idx="5">
                  <c:v>FY2032e</c:v>
                </c:pt>
                <c:pt idx="6">
                  <c:v>FY2033e</c:v>
                </c:pt>
              </c:strCache>
            </c:strRef>
          </c:cat>
          <c:val>
            <c:numRef>
              <c:f>Hoja1!$B$2:$B$8</c:f>
              <c:numCache>
                <c:formatCode>#,##0</c:formatCode>
                <c:ptCount val="7"/>
                <c:pt idx="0">
                  <c:v>43</c:v>
                </c:pt>
                <c:pt idx="1">
                  <c:v>125</c:v>
                </c:pt>
                <c:pt idx="2">
                  <c:v>250</c:v>
                </c:pt>
                <c:pt idx="3">
                  <c:v>360</c:v>
                </c:pt>
                <c:pt idx="4">
                  <c:v>414</c:v>
                </c:pt>
                <c:pt idx="5">
                  <c:v>477</c:v>
                </c:pt>
                <c:pt idx="6">
                  <c:v>538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1360</c:v>
                </c:pt>
                <c:pt idx="1">
                  <c:v>2581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157,75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39.8</c:v>
                </c:pt>
                <c:pt idx="1">
                  <c:v>67.51</c:v>
                </c:pt>
                <c:pt idx="2">
                  <c:v>99.99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157,75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(111,18 – 323,25)</c:v>
                </c:pt>
                <c:pt idx="1">
                  <c:v>Precio objetivo de los analistas (260,00 – 355,00)</c:v>
                </c:pt>
                <c:pt idx="2">
                  <c:v>Comparables: PER NTM (149,44 – 202,94)</c:v>
                </c:pt>
                <c:pt idx="3">
                  <c:v>DCF (WACC y g ± 0,5) (61,25 – 75,15)</c:v>
                </c:pt>
                <c:pt idx="4">
                  <c:v>Escenarios (bajista – alcista) (39,80 – 99,99)</c:v>
                </c:pt>
                <c:pt idx="5">
                  <c:v>DCF con la prima implícita del mercado (4,2 %)</c:v>
                </c:pt>
                <c:pt idx="6">
                  <c:v>Precio actual (157,75)</c:v>
                </c:pt>
              </c:strCache>
            </c:strRef>
          </c:cat>
          <c:val>
            <c:numRef>
              <c:f>Hoja1!$B$2:$B$8</c:f>
              <c:numCache>
                <c:formatCode>#,##0</c:formatCode>
                <c:ptCount val="7"/>
                <c:pt idx="0">
                  <c:v>111.18</c:v>
                </c:pt>
                <c:pt idx="1">
                  <c:v>260</c:v>
                </c:pt>
                <c:pt idx="2">
                  <c:v>149.44</c:v>
                </c:pt>
                <c:pt idx="3">
                  <c:v>61.25</c:v>
                </c:pt>
                <c:pt idx="4">
                  <c:v>39.8</c:v>
                </c:pt>
                <c:pt idx="5">
                  <c:v>80.3</c:v>
                </c:pt>
                <c:pt idx="6">
                  <c:v>156.96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(111,18 – 323,25)</c:v>
                </c:pt>
                <c:pt idx="1">
                  <c:v>Precio objetivo de los analistas (260,00 – 355,00)</c:v>
                </c:pt>
                <c:pt idx="2">
                  <c:v>Comparables: PER NTM (149,44 – 202,94)</c:v>
                </c:pt>
                <c:pt idx="3">
                  <c:v>DCF (WACC y g ± 0,5) (61,25 – 75,15)</c:v>
                </c:pt>
                <c:pt idx="4">
                  <c:v>Escenarios (bajista – alcista) (39,80 – 99,99)</c:v>
                </c:pt>
                <c:pt idx="5">
                  <c:v>DCF con la prima implícita del mercado (4,2 %)</c:v>
                </c:pt>
                <c:pt idx="6">
                  <c:v>Precio actual (157,75)</c:v>
                </c:pt>
              </c:strCache>
            </c:strRef>
          </c:cat>
          <c:val>
            <c:numRef>
              <c:f>Hoja1!$C$2:$C$8</c:f>
              <c:numCache>
                <c:formatCode>#,##0</c:formatCode>
                <c:ptCount val="7"/>
                <c:pt idx="0">
                  <c:v>212.07</c:v>
                </c:pt>
                <c:pt idx="1">
                  <c:v>95</c:v>
                </c:pt>
                <c:pt idx="2">
                  <c:v>53.5</c:v>
                </c:pt>
                <c:pt idx="3">
                  <c:v>13.900000000000006</c:v>
                </c:pt>
                <c:pt idx="4">
                  <c:v>60.19</c:v>
                </c:pt>
                <c:pt idx="5">
                  <c:v>12.850000000000009</c:v>
                </c:pt>
                <c:pt idx="6">
                  <c:v>1.579999999999984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