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Prysmian S.p.A.</w:t>
      </w:r>
    </w:p>
    <w:p>
      <w:pPr>
        <w:spacing w:after="60"/>
        <w:rPr>
          <w:color w:val="52514E"/>
          <w:sz w:val="22"/>
          <w:szCs w:val="22"/>
        </w:rPr>
      </w:pPr>
      <w:r>
        <w:rPr>
          <w:color w:val="52514E"/>
          <w:sz w:val="22"/>
          <w:szCs w:val="22"/>
        </w:rPr>
        <w:t xml:space="preserve">PRY · Euronext Milan (Borsa Italiana) · ISIN IT0004176001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109,80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122,31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+12,2 % (base +12,3 %)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98,03 EUR · mercado 122,94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32.830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Prysmian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PRY / IT0004176001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(cables)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Milán · 1879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www.prysmian.com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79,16 – 157,25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32.830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37.510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147,5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122,31 EUR</w:t>
      </w:r>
      <w:r>
        <w:t xml:space="preserve"> frente a 109,80 · Rentabilidad a 12 meses </w:t>
      </w:r>
      <w:r>
        <w:rPr>
          <w:b/>
          <w:bCs/>
        </w:rPr>
        <w:t xml:space="preserve">+12,2 % (base +12,3 %)</w:t>
      </w:r>
      <w:r>
        <w:t xml:space="preserve"> · Valor intrínseco 98,03 EUR · con la prima implícita del mercado: 122,94 (+12,0 %) · Alcista / bajista +10,8 % / -53,6 %</w:t>
      </w:r>
    </w:p>
    <w:p>
      <w:pPr>
        <w:spacing w:after="100"/>
      </w:pPr>
      <w:r>
        <w:rPr>
          <w:b/>
        </w:rPr>
        <w:t xml:space="preserve">La recomendación y por qué.</w:t>
      </w:r>
      <w:r>
        <w:t xml:space="preserve"> Mantener, con convicción baja. El objetivo a 12 meses es de 122,31 EUR: una rentabilidad ponderada del 12,2 % con el dividendo y del 12,3 % en el caso base, por debajo del 15 % que pide la compra; el valor intrínseco es de 98,03 EUR, un 10,7 % por debajo del precio de 109,80 EUR, y el objetivo medio de los analistas, de 154,56 EUR, queda por encima de todo nuestro rango salvo el alcista [29]. La asimetría a 12 meses es de 1,76 veces (bajista −29,1 %, alcista +53,4 %). La convicción es baja porque la regla del valor intrínseco discrepa (Vender con nuestro WACC, Mantener con la prima del mercado) y la rentabilidad a 12 meses está a menos de 3 puntos de su umbral; subiría con un precio por debajo de 98,03 EUR o con unos objetivos de 2030 que lleven el margen sostenible por encima del 14 %.</w:t>
      </w:r>
    </w:p>
    <w:p>
      <w:pPr>
        <w:spacing w:after="100"/>
      </w:pPr>
      <w:r>
        <w:rPr>
          <w:b/>
        </w:rPr>
        <w:t xml:space="preserve">El negocio.</w:t>
      </w:r>
      <w:r>
        <w:t xml:space="preserve"> Prysmian es el mayor fabricante de cables del mundo y el que más gana con la red eléctrica y los centros de datos: margen EBITDA ajustado del 14,2 % a precios estándar del metal en 2025 y del 14,8 % en el 1S26, con Transmission en el 21,2 % y una cartera de ≈17.000 M [1, 3]. El ROIC (13,0 %) supera al WACC (7,77 %) en 5,2 puntos: pasa el umbral de calidad por poco, y Atkore lo bajará. La calidad de la empresa sí sostiene el crecimiento proyectado (sostenibilidad «Sí»): el capital nuevo rinde un 19,0 % frente al 18,5 % histórico, con el poder de precios demostrado en alta tensión.</w:t>
      </w:r>
    </w:p>
    <w:p>
      <w:pPr>
        <w:spacing w:after="100"/>
      </w:pPr>
      <w:r>
        <w:rPr>
          <w:b/>
        </w:rPr>
        <w:t xml:space="preserve">Finanzas.</w:t>
      </w:r>
      <w:r>
        <w:t xml:space="preserve"> El beneficio de 2025 (1.270 M) lleva 346 M de la venta de YOFC; la caja libre fue de 1.171 M y la guía de 2026 es de 1.650-1.750 M [1, 3]. Con Atkore (3.800 M USD, 9,8 veces el EBITDA), la deuda neta sube a ≈2,4 veces el EBITDA [33].</w:t>
      </w:r>
    </w:p>
    <w:p>
      <w:pPr>
        <w:spacing w:after="100"/>
      </w:pPr>
      <w:r>
        <w:rPr>
          <w:b/>
        </w:rPr>
        <w:t xml:space="preserve">Valoración.</w:t>
      </w:r>
      <w:r>
        <w:t xml:space="preserve"> El DCF da 93,57 EUR; el precio descuenta un crecimiento del 9,4 % anual hasta 2033 frente al 6,8 % de nuestro base, o un margen del 14,1 % frente al 13,0 %. Por PER, cotiza a 19,8 veces nuestro BPA de 2027e, en lo alto de su historia (mediana de 18,8 veces). Nuestro BPA está un 9-10 % por debajo del consenso porque resta pagos en acciones, cupones de los híbridos y el coste de Atkore. Con la prima implícita del mercado, el valor sube a 123,6 EUR: la discrepancia con el mercado es sobre todo de tasa.</w:t>
      </w:r>
    </w:p>
    <w:p>
      <w:pPr>
        <w:spacing w:after="100"/>
      </w:pPr>
      <w:r>
        <w:rPr>
          <w:b/>
        </w:rPr>
        <w:t xml:space="preserve">Riesgos y catalizadores.</w:t>
      </w:r>
      <w:r>
        <w:t xml:space="preserve"> El mayor riesgo es un frenazo del gasto en centros de datos: ≈15-20 % de las ventas dependen ya de ellos y la acción cotiza como un valor de IA (−30 % desde mayo junto a Fujikura y Corning) [41]. Los otros dos: la integración y la deuda de Atkore y que el margen de Transmission vuelva hacia el 15-16 % cuando llegue la capacidad nueva. Catalizadores: cierre de Atkore (19-oct), resultados del 3T26 (29-oct) y el día del inversor del 1S27. El riesgo de IA para el negocio es bajo en sustitución y medio por exposición al ciclo de inversión. La caída reciente no tiene causa propia: veredicto de precio y noticias, «no cambia».</w:t>
      </w:r>
    </w:p>
    <w:p>
      <w:pPr>
        <w:spacing w:after="100"/>
      </w:pPr>
      <w:r>
        <w:rPr>
          <w:b/>
        </w:rPr>
        <w:t xml:space="preserve">Qué cambiaría la decisión.</w:t>
      </w:r>
      <w:r>
        <w:t xml:space="preserve"> Compraríamos por debajo de 98,03 EUR (ahí se cumplen la rentabilidad, el valor real y la calidad, si el ROIC − WACC sigue por encima de 5 puntos tras Atkore). Venderíamos por encima de 136,90 EUR. También cambiaría con un margen de Transmission por debajo del 17 % dos trimestres seguidos o un orgánico de I&amp;C en Norteamérica por debajo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122,31 EUR</w:t>
      </w:r>
      <w:r>
        <w:t xml:space="preserve"> (rentabilidad +12,2 % (base +12,3 %)) · Valor intrínseco: 98,03 EUR (-10,7 % sobre 109,80) · con la prima implícita del mercado: 122,94 (+12,0 %)</w:t>
      </w:r>
    </w:p>
    <w:p>
      <w:pPr>
        <w:spacing w:after="100"/>
      </w:pPr>
      <w:r>
        <w:t xml:space="preserve">Prysmian es el mayor fabricante de cables del mundo (19.650 M de ventas en 2025) y uno de los tres que pueden fabricar e instalar los cables submarinos de alta tensión que necesita la transición energética, con una cartera de ≈17.000 M y un margen del 21 % en ese negocio [1, 3]. Además vende cable de energía y fibra a los centros de datos de EE. UU., donde crece a doble dígito [3].</w:t>
      </w:r>
    </w:p>
    <w:p>
      <w:pPr>
        <w:spacing w:after="100"/>
      </w:pPr>
      <w:r>
        <w:t xml:space="preserve">A 109,80 EUR el mercado descuenta un crecimiento del 9,4 % anual hasta 2033, o un margen del 14,1 %, frente al 6,8 % y el 13,0 % de nuestro base: paga como si el ciclo de redes y centros de datos durase siete años más sin perder margen. Por PER, 19,8 veces el beneficio de 2027e, en lo alto de su historia.</w:t>
      </w:r>
    </w:p>
    <w:p>
      <w:pPr>
        <w:spacing w:after="100"/>
      </w:pPr>
      <w:r>
        <w:t xml:space="preserve">El mercado acierta en la dirección (la demanda de cable de alta tensión y para centros de datos es estructural) y se adelanta en el precio. Para invertir hay que creer que el margen de Transmission se queda por encima del 18 % después de 2028 y que Atkore suma sin diluir el ROIC por debajo del umbral. Con nuestras cifras, el precio de entrada es de 98,03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5,00 = 77,00 · 19,3x × 6,34 = 122,36 · 22,7x × 7,38 = 167,53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154,56 (nuestro base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 -53,6 %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7,8 %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(7,6 % anual proyectado; financiable al ROIC actual: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98,03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98,03 y 136,90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136,90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98,03 EUR: pasaría a Comprar si ROIC − WACC sigue ≥ 5 puntos con Atkore.</w:t>
      </w:r>
    </w:p>
    <w:p>
      <w:pPr>
        <w:pStyle w:val="ListParagraph"/>
        <w:numPr>
          <w:ilvl w:val="0"/>
          <w:numId w:val="2"/>
        </w:numPr>
        <w:spacing w:after="60"/>
      </w:pPr>
      <w:r>
        <w:t xml:space="preserve">Precio por encima de 136,90 EUR: pasaría a Vender.</w:t>
      </w:r>
    </w:p>
    <w:p>
      <w:pPr>
        <w:pStyle w:val="ListParagraph"/>
        <w:numPr>
          <w:ilvl w:val="0"/>
          <w:numId w:val="2"/>
        </w:numPr>
        <w:spacing w:after="60"/>
      </w:pPr>
      <w:r>
        <w:t xml:space="preserve">Margen de Transmission por debajo del 17 % dos trimestres seguidos: rebajaríamos el base y el objetivo.</w:t>
      </w:r>
    </w:p>
    <w:p>
      <w:pPr>
        <w:pStyle w:val="ListParagraph"/>
        <w:numPr>
          <w:ilvl w:val="0"/>
          <w:numId w:val="2"/>
        </w:numPr>
        <w:spacing w:after="60"/>
      </w:pPr>
      <w:r>
        <w:t xml:space="preserve">Orgánico de I&amp;C en Norteamérica por debajo del 5 % en el 3T26 o el 4T26: revisaríamos el escenario de centros de datos.</w:t>
      </w:r>
    </w:p>
    <w:p>
      <w:pPr>
        <w:pStyle w:val="ListParagraph"/>
        <w:numPr>
          <w:ilvl w:val="0"/>
          <w:numId w:val="2"/>
        </w:numPr>
        <w:spacing w:after="60"/>
      </w:pPr>
      <w:r>
        <w:t xml:space="preserve">Objetivos de 2030 con margen sostenible por encima del 14 %: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El mercado (18 analistas, objetivo medio de 154,56 EUR) [29] ve a Prysmian como empresa de «energía y datos» que superará sus objetivos de 2028 y presentará otros más ambiciosos en 2027; paga 19-20 veces el beneficio y espera un BPA de 7,06 EUR en 2028.</w:t>
      </w:r>
    </w:p>
    <w:p>
      <w:pPr>
        <w:keepNext/>
        <w:spacing w:after="100"/>
      </w:pPr>
      <w:r>
        <w:rPr>
          <w:b/>
          <w:bCs/>
        </w:rPr>
        <w:t xml:space="preserve">Lo que creemos nosotros.</w:t>
      </w:r>
    </w:p>
    <w:p>
      <w:pPr>
        <w:spacing w:after="100"/>
      </w:pPr>
      <w:r>
        <w:t xml:space="preserve">Compartimos la dirección del negocio pero no el precio: con los pagos en acciones como coste, los cupones de los híbridos y la deuda de Atkore, el BPA de 2028 es de 6,34 EUR, y el DCF no llega al precio sin suponer márgenes de pico para siempre.</w:t>
      </w:r>
    </w:p>
    <w:p>
      <w:pPr>
        <w:keepNext/>
        <w:spacing w:after="100"/>
      </w:pPr>
      <w:r>
        <w:rPr>
          <w:b/>
          <w:bCs/>
        </w:rPr>
        <w:t xml:space="preserve">Por qué podemos tener razón.</w:t>
      </w:r>
    </w:p>
    <w:p>
      <w:pPr>
        <w:spacing w:after="100"/>
      </w:pPr>
      <w:r>
        <w:t xml:space="preserve">Los márgenes de Transmission y Digital Solutions están en máximos históricos con la capacidad del sector llena; cuando entre la capacidad nueva (NKT, LS Cable, Sumitomo, Corning), es razonable que bajen. Y la compra de Atkore a 9,8 veces aumenta el peso del negocio cíclico.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9,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 en alta tensión</w:t>
      </w:r>
      <w:r>
        <w:t xml:space="preserve">: ≈17.000 M en Transmission más ≈2.000 M adjudicados, con un margen del 21,2 % en el 2T26 [3].</w:t>
      </w:r>
    </w:p>
    <w:p>
      <w:pPr>
        <w:pStyle w:val="ListParagraph"/>
        <w:numPr>
          <w:ilvl w:val="0"/>
          <w:numId w:val="2"/>
        </w:numPr>
        <w:spacing w:after="60"/>
      </w:pPr>
      <w:r>
        <w:rPr>
          <w:b/>
        </w:rPr>
        <w:t xml:space="preserve">Centros de datos</w:t>
      </w:r>
      <w:r>
        <w:t xml:space="preserve">: I&amp;C en Norteamérica +13,4 % orgánico y Digital Solutions +18 % en el 2T26; contrato con Molex de hasta 5.500 M [3, 20].</w:t>
      </w:r>
    </w:p>
    <w:p>
      <w:pPr>
        <w:pStyle w:val="ListParagraph"/>
        <w:numPr>
          <w:ilvl w:val="0"/>
          <w:numId w:val="2"/>
        </w:numPr>
        <w:spacing w:after="60"/>
      </w:pPr>
      <w:r>
        <w:rPr>
          <w:b/>
        </w:rPr>
        <w:t xml:space="preserve">Caja</w:t>
      </w:r>
      <w:r>
        <w:t xml:space="preserve">: guía de caja libre de 1.650-1.750 M en 2026, el 5 % de la capitalización [3].</w:t>
      </w:r>
    </w:p>
    <w:p>
      <w:pPr>
        <w:pStyle w:val="ListParagraph"/>
        <w:numPr>
          <w:ilvl w:val="0"/>
          <w:numId w:val="2"/>
        </w:numPr>
        <w:spacing w:after="60"/>
      </w:pPr>
      <w:r>
        <w:rPr>
          <w:b/>
        </w:rPr>
        <w:t xml:space="preserve">Dirección que cumple</w:t>
      </w:r>
      <w:r>
        <w:t xml:space="preserve">: guía de 2025 cumplida y la de 2026 subida dos veces [1, 3].</w:t>
      </w:r>
    </w:p>
    <w:p>
      <w:pPr>
        <w:pStyle w:val="ListParagraph"/>
        <w:numPr>
          <w:ilvl w:val="0"/>
          <w:numId w:val="2"/>
        </w:numPr>
        <w:spacing w:after="60"/>
      </w:pPr>
      <w:r>
        <w:rPr>
          <w:b/>
        </w:rPr>
        <w:t xml:space="preserve">Compras bien integradas</w:t>
      </w:r>
      <w:r>
        <w:t xml:space="preserve">: Encore Wire a 8,2 veces y Channell duplicaron el margen de sus negocios [1, 36].</w:t>
      </w:r>
    </w:p>
    <w:p>
      <w:pPr>
        <w:pStyle w:val="Heading2"/>
      </w:pPr>
      <w:r>
        <w:t xml:space="preserve">En contra</w:t>
      </w:r>
    </w:p>
    <w:p>
      <w:pPr>
        <w:pStyle w:val="ListParagraph"/>
        <w:numPr>
          <w:ilvl w:val="0"/>
          <w:numId w:val="2"/>
        </w:numPr>
        <w:spacing w:after="60"/>
      </w:pPr>
      <w:r>
        <w:rPr>
          <w:b/>
        </w:rPr>
        <w:t xml:space="preserve">Precio sobre el valor intrínseco</w:t>
      </w:r>
      <w:r>
        <w:t xml:space="preserve">: DCF de 93,57 EUR y valor de 98,03 EUR frente a 109,80 EUR.</w:t>
      </w:r>
    </w:p>
    <w:p>
      <w:pPr>
        <w:pStyle w:val="ListParagraph"/>
        <w:numPr>
          <w:ilvl w:val="0"/>
          <w:numId w:val="2"/>
        </w:numPr>
        <w:spacing w:after="60"/>
      </w:pPr>
      <w:r>
        <w:rPr>
          <w:b/>
        </w:rPr>
        <w:t xml:space="preserve">Margen de pico</w:t>
      </w:r>
      <w:r>
        <w:t xml:space="preserve">: Transmission al 21 % frente al 14,5 % de 2024; la capacidad nueva puede devolverlo abajo [1, 3].</w:t>
      </w:r>
    </w:p>
    <w:p>
      <w:pPr>
        <w:pStyle w:val="ListParagraph"/>
        <w:numPr>
          <w:ilvl w:val="0"/>
          <w:numId w:val="2"/>
        </w:numPr>
        <w:spacing w:after="60"/>
      </w:pPr>
      <w:r>
        <w:rPr>
          <w:b/>
        </w:rPr>
        <w:t xml:space="preserve">Atkore</w:t>
      </w:r>
      <w:r>
        <w:t xml:space="preserve">: 9,8 veces el EBITDA, deuda neta a ≈2,4 veces y ROIC a la baja [33].</w:t>
      </w:r>
    </w:p>
    <w:p>
      <w:pPr>
        <w:pStyle w:val="ListParagraph"/>
        <w:numPr>
          <w:ilvl w:val="0"/>
          <w:numId w:val="2"/>
        </w:numPr>
        <w:spacing w:after="60"/>
      </w:pPr>
      <w:r>
        <w:rPr>
          <w:b/>
        </w:rPr>
        <w:t xml:space="preserve">Calidad justa</w:t>
      </w:r>
      <w:r>
        <w:t xml:space="preserve">: ROIC − WACC de 5,2 puntos, en el límite del umbral de compra.</w:t>
      </w:r>
    </w:p>
    <w:p>
      <w:pPr>
        <w:pStyle w:val="ListParagraph"/>
        <w:numPr>
          <w:ilvl w:val="0"/>
          <w:numId w:val="2"/>
        </w:numPr>
        <w:spacing w:after="60"/>
      </w:pPr>
      <w:r>
        <w:rPr>
          <w:b/>
        </w:rPr>
        <w:t xml:space="preserve">Se mueve como un valor de IA</w:t>
      </w:r>
      <w:r>
        <w:t xml:space="preserve">: volatilidad del 41,8 % y −30 % desde mayo [28].</w:t>
      </w:r>
    </w:p>
    <w:p>
      <w:pPr>
        <w:pStyle w:val="Heading2"/>
      </w:pPr>
      <w:r>
        <w:t xml:space="preserve">Qué tiene que pasar para que la tesis funcione</w:t>
      </w:r>
    </w:p>
    <w:p>
      <w:pPr>
        <w:spacing w:after="100"/>
      </w:pPr>
      <w:r>
        <w:t xml:space="preserve">La tesis depende del margen de Transmission y del crecimiento en centros de datos. Las señales de que se rompe: margen de Transmission por debajo del 17 % dos trimestres seguidos, orgánico de I&amp;C en Norteamérica por debajo del 5 %, y deuda neta por encima de 2,5 veces el EBITDA a fin de 2027. A favor: unos objetivos de 2030 (día del inversor del 1S27) con margen sostenible por encima del 14 %.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Transmission (precios estándar)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aumento del beneficio desde 2024.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I&amp;C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demanda de centros de datos.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Transmission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ventas a 4-5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 antes de Atkore; ≈2,4x después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para el ciclo y para nuevas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Power Grid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Muestra si el metal y la competencia comen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 / 18,9x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Prysmian nace en 2005, cuando Goldman Sachs compra a Pirelli su negocio de cables (Pirelli Cavi e Sistemi, con raíces en 1879) y lo saca a bolsa en Milán en 2007. Desde entonces creció a golpe de compras grandes: Draka (2011) le dio la fibra y los cables de construcción europeos; General Cable (2018), Norteamérica; Encore Wire (2024, ≈3.900 M EUR), el cable de construcción de EE. UU.; y Atkore (2026, 3.800 M USD), las canalizaciones y tubos eléctricos [33, 36]. En abril de 2024 Massimo Battaini relevó a Valerio Battista, consejero delegado desde 2005, con el plan «Accelerating Growth» [1]. El grupo dejó de ser un fabricante de cables para la construcción y pasó a vivir de dos ciclos largos: la red eléctrica (Transmission y Power Grid) y los centros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compra a Pirelli el negocio de cables de energía y telecomunicaciones.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Draka: fibra óptica y cables industriales en Europa.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General Cable: entrada a gran escala en Norteamérica.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Battaini sucede a Battista como consejero delegado; compra de Encore Wire (EV ≈3.900 M EUR, 8,2x EBITDA)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Channell (conectividad), venta de la participación en YOFC (plusvalía de 346 M) y emisión de un híbrido perpetuo de 1.000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con Molex de hasta 5.500 M en diez años para cable óptico dentro de los centros de datos [20]; compra de Atkore (3.800 M USD) financiada en parte con una ampliación de 850 M a 121 EUR [25, 33].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Prysmian es el mayor fabricante de cables del mundo: 19.650 M EUR de ventas en 2025, 34.000 empleados y 109 fábricas en más de 50 países [1]. Vende en cinco negocios. </w:t>
      </w:r>
      <w:r>
        <w:rPr>
          <w:b/>
        </w:rPr>
        <w:t xml:space="preserve">Transmission</w:t>
      </w:r>
      <w:r>
        <w:t xml:space="preserve"> (3.262 M) diseña, fabrica e instala llave en mano cables submarinos y terrestres de alta tensión para interconexiones entre países y parques eólicos marinos, con barcos cableros propios; tiene una cartera de ≈17.000 M [1, 3]. </w:t>
      </w:r>
      <w:r>
        <w:rPr>
          <w:b/>
        </w:rPr>
        <w:t xml:space="preserve">Power Grid</w:t>
      </w:r>
      <w:r>
        <w:t xml:space="preserve"> (3.811 M) vende cables de media y alta tensión y líneas aéreas a las eléctricas. </w:t>
      </w:r>
      <w:r>
        <w:rPr>
          <w:b/>
        </w:rPr>
        <w:t xml:space="preserve">Industrial &amp; Construction</w:t>
      </w:r>
      <w:r>
        <w:t xml:space="preserve"> (7.519 M) hace cable de baja y media tensión para edificios, industria y, cada vez más, centros de datos en EE. UU. </w:t>
      </w:r>
      <w:r>
        <w:rPr>
          <w:b/>
        </w:rPr>
        <w:t xml:space="preserve">Specialties</w:t>
      </w:r>
      <w:r>
        <w:t xml:space="preserve"> (2.983 M) agrupa nichos (ascensores, minería, petróleo y gas). </w:t>
      </w:r>
      <w:r>
        <w:rPr>
          <w:b/>
        </w:rPr>
        <w:t xml:space="preserve">Digital Solutions</w:t>
      </w:r>
      <w:r>
        <w:t xml:space="preserve"> (1.618 M) fabrica fibra y cable óptico y, con Molex, cables para el interior de los centros de datos [2, 20].</w:t>
      </w:r>
    </w:p>
    <w:p>
      <w:pPr>
        <w:pStyle w:val="Heading2"/>
      </w:pPr>
      <w:r>
        <w:t xml:space="preserve">Cómo gana dinero</w:t>
      </w:r>
    </w:p>
    <w:p>
      <w:pPr>
        <w:spacing w:after="100"/>
      </w:pPr>
      <w:r>
        <w:t xml:space="preserve">El cobre y el aluminio son la mayor parte del coste y se repercuten al cliente: las ventas suben y bajan con el metal, pero el margen en euros depende del valor añadido. Por eso la empresa mide el margen a precios estándar del metal (14,2 % en 2025 frente al 12,2 % a precios corrientes) [2]. Transmission gana por proyecto (contratos de 500-2.500 M con anticipos que financian el circulante: pasivos de contratos de 2.325 M) y su margen pasó del 14,5 % al 18,3 % en un año por precio y por llenar fábricas [1]. Los cables de construcción y de red son de volumen y precio: márgenes del 11-14 % que siguen al ciclo de la vivienda, la industria y la inversión de las eléctricas. El apalancamiento operativo es alto: con las ventas orgánicas +5,4 % en 2025, el EBITDA ajustado subió un 24,4 %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Transmission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Power Grid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&amp; Construction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Transmission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Power Grid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&amp; Construction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Specialties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r>
    </w:tbl>
    <w:p>
      <w:pPr>
        <w:spacing w:after="160" w:before="0"/>
      </w:pPr>
    </w:p>
    <w:p>
      <w:pPr>
        <w:pStyle w:val="Heading2"/>
      </w:pPr>
      <w:r>
        <w:t xml:space="preserve">Clientes, recurrencia y poder de precios</w:t>
      </w:r>
    </w:p>
    <w:p>
      <w:pPr>
        <w:spacing w:after="100"/>
      </w:pPr>
      <w:r>
        <w:t xml:space="preserve">Los clientes de Transmission son gestores de red (TenneT, Amprion, National Grid, Terna) y promotores eólicos, con contratos marco de varios años: EGL4 en el Reino Unido (más de 2.300 M) [1], Cook Strait y Italia-Túnez en 2026 [3]. En construcción vende a distribuidores eléctricos; en Digital Solutions, a operadoras e hiperescaladores con contratos largos (Molex: hasta 5.500 M en diez años, con 550 M por adelantado) [20]. La empresa no publica concentración de clientes; ningún cliente parece pasar del 10 % de las ventas. Poder de precios demostrado: el margen de Transmission subió 3,8 puntos en 2025 y el de Digital Solutions 4,4 puntos con el orgánico al +7 % [1], porque la capacidad de cable submarino y de fibra para centros de datos va por detrás de la demanda.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 Transmission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 M EUR (dic-25, con EGL4)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 M EUR (jun-26) + ≈2.000 M adjudicados sin asignar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Cuatro-cinco años de ventas del segmento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a precios estándar del metal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(2025); 14,8 %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pp y +1,0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empujan Transmission (18,3 % → 20,7 %) y Digital Solutions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 M (2025); guía 2026 1.650-1.750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antes de compras, ventas de participadas y antimonopolio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 M (dic-25); 4.079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M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Atkore (≈3.390 M EUR)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ligados a la sostenibilidad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 (2025); 45,9 %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2028: 55 %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cables de energía y telecomunicaciones de todo el mundo, de la baja tensión a los sistemas submarinos de corriente continua, más la fibra óptica. Market Research Future lo cifra en 248.900 M USD en 2025 con un crecimiento del 5,5 % anual hasta 2035 [10]; The Business Research Company da 248.120 M USD en 2025 (237.640 M en 2024, +4,4 %) [11]. Se usa la primera para el final de la proyección (≈339.000 M EUR en 2033e). Dentro, el segmento que más crece y que más margen da es el de alta tensión submarina: los sistemas de cable submarino pasan de 19.950 M USD en 2025 a 33.750 M en 2030 (+11,1 % anual) [12], y el de alta tensión en conjunto, de 49.250 M USD a un crecimiento del 6,9 %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248.900 M USD en 2025 (≈ 222.000 M EUR) [10]; 248.120 M USD según TBRC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(baja tensión) y concentrada (alta tensión submarina)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redes de transporte (interconexiones, eólica marina, refuerzos)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Transmission de ≈17.000 M más ≈2.000 M adjudicados sin asignar [3]; cable submarino +11,1 % anual hasta 2030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(energía dentro y fuera, fibra)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I&amp;C en Norteamérica +13,4 % orgánico en el 2T26 por centros de datos; Digital Solutions +18 % y margen del 23,8 % [3]; contrato con Molex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y aranceles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metal se repercute, pero las primas de metal hundieron el margen de Power Grid al 12,1 % en el 4T25 (15,4 % un año antes)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y producción industrial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Specialties −1,7 % orgánico en 2025 y −4,3 % en el 1S26; EMEA frenó I&amp;C en 2025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de la economía (bombas de calor, vehículo eléctrico, renovables)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ligados a la sostenibilidad del 45,9 % en el 1S26, con objetivo del 55 % en 2028 [2,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baja tensión hay cientos de fabricantes y se compite en precio (márgenes del 9-11 % a precios corrientes); en alta tensión submarina solo Prysmian, Nexans, NKT y algunos asiáticos (LS Cable, Sumitomo) pueden ejecutar los proyectos grandes, con fábricas llenas hasta 2028-2030 [1, 14,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eléctricas y los gestores de red licitan proyectos de miles de millones, pero hoy firman contratos marco y reservan capacidad con años de antelación por falta de oferta (EGL4, Amprion)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y aluminio cotizados: se repercuten con retraso; las primas físicas del metal y los aranceles de EE. UU. golpean de vez en cuando (Power Grid, 4T25)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fábrica de cable submarino de corriente continua y un barco cablero cuestan cientos de millones y años de cualificación; en baja tensión la entrada es fácil.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cable para transportar electricidad; la fibra óptica sigue siendo la base de las redes de datos (la fibra de núcleo hueco es una mejora, y Prysmian la fabrica) [3].</w:t>
            </w:r>
          </w:p>
        </w:tc>
      </w:tr>
    </w:tbl>
    <w:p>
      <w:pPr>
        <w:spacing w:after="160" w:before="0"/>
      </w:pPr>
    </w:p>
    <w:p>
      <w:pPr>
        <w:pStyle w:val="Heading2"/>
      </w:pPr>
      <w:r>
        <w:t xml:space="preserve">Ciclo</w:t>
      </w:r>
    </w:p>
    <w:p>
      <w:pPr>
        <w:spacing w:after="100"/>
      </w:pPr>
      <w:r>
        <w:t xml:space="preserve">La alta tensión vive el mejor ciclo de su historia: carteras de pedidos de 4-5 años de ventas en Prysmian, Nexans y NKT y márgenes récord (Transmission 21,2 % en el 2T26) [3]. La construcción y la industria europeas están débiles (Specialties en negativo) [3]. En 2009 y 2020 el sector cayó con la construcción (Prysmian bajó un 34,7 % en bolsa en 2018 por los problemas de General Cable y el proyecto Western Link) [28], y en 2022 la inflación del metal infló las ventas un 26 % con un orgánico del 14 % [6].</w:t>
      </w:r>
    </w:p>
    <w:p>
      <w:pPr>
        <w:pStyle w:val="Heading2"/>
      </w:pPr>
      <w:r>
        <w:t xml:space="preserve">Regulación</w:t>
      </w:r>
    </w:p>
    <w:p>
      <w:pPr>
        <w:spacing w:after="100"/>
      </w:pPr>
      <w:r>
        <w:t xml:space="preserve">La transición energética europea (REPowerEU, planes de red de TenneT, Amprion y National Grid) y la ley de redes de EE. UU. sostienen la demanda de alta tensión. En EE. UU., los aranceles sobre el cobre y derivados benefician a quien fabrica dentro (Encore Wire, fibra en Carolina del Norte) y una rebaja podría restarle ventaja: la acción llegó a caer un 7,8 % en una sesión por una noticia del Financial Times sobre ese recorte [38]. En Europa sigue abierto el expediente antimonopolio de los cables de alta tensión, cuyo efecto en caja queda fuera de la guía [3].</w:t>
      </w:r>
    </w:p>
    <w:p>
      <w:pPr>
        <w:pStyle w:val="Heading2"/>
      </w:pPr>
      <w:r>
        <w:t xml:space="preserve">Tendencias y disrupción</w:t>
      </w:r>
    </w:p>
    <w:p>
      <w:pPr>
        <w:spacing w:after="100"/>
      </w:pPr>
      <w:r>
        <w:t xml:space="preserve">Tres tendencias favorecen a Prysmian: la corriente continua de alta tensión para llevar renovables lejos, los centros de datos (más cable de energía y de fibra por megavatio) y la fibra de núcleo hueco, que la empresa ya tiene disponible para centros de IA [3]. En contra, la capacidad nueva de los asiáticos (LS Cable, Sumitomo) y de NKT en alta tensión puede bajar los precios a partir de 2028-2030, y la caída de las acciones de fibra en 2026 (Fujikura, Furukawa, Corning) muestra cuánto depende la valoración del gasto en IA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cables de energía y telecomunicaciones (≈19.650 M EUR de ventas frente a ≈222.000 M EUR de mercado); en alta tensión submarina, uno de los tres grandes con Nexans y NKT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Nexans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europeo; alta tensión submarina y redes; margen EBITDA 8,7 % (LTM)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NKT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NKT.CO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HVDC submarino y terrestre; margen EBITDA 19,3 %, caja neta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5802.T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Conglomerado (cableado de automóvil la mayor parte); cables de energía y fibra; margen EBITDA 12,6 %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Furukawa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Fibra óptica, cables de energía y componentes; margen EBITDA 9,0 %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Fujikura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ópticos para centros de datos (cliente principal en EE. UU.); margen EBITDA 21,3 %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Corning (Optical Communications)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fibra y cable óptico para centros de datos; el grupo entero, margen EBITDA 24,1 %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Southwire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principal rival de Encore Wire en cable de construcción en EE. UU.</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la fabricación de cables.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cables de red y de centros de datos se homologan con cada cliente; en Transmission, los contratos marco atan varios años, pero cada proyecto se licita.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cable HVDC de 525 kV y de fibra (núcleo hueco); vitalidad de producto nuevo del 32,1 % de las ventas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volumen de compra de cobre del sector y fábricas en EE. UU. (Encore Wire) con el margen de I&amp;C en el 13,4 % frente al 8,7 % de margen EBITDA de Nexans [A1,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tres-cuatro grupos pueden hacer un proyecto submarino de 2.000 M con barcos propios; la cartera de 17.000 M es la mayor del sector [A3].</w:t>
            </w:r>
          </w:p>
        </w:tc>
      </w:tr>
    </w:tbl>
    <w:p>
      <w:pPr>
        <w:spacing w:after="160" w:before="0"/>
      </w:pPr>
    </w:p>
    <w:p>
      <w:pPr>
        <w:pStyle w:val="Heading2"/>
      </w:pPr>
      <w:r>
        <w:t xml:space="preserve">Amenazas</w:t>
      </w:r>
    </w:p>
    <w:p>
      <w:pPr>
        <w:spacing w:after="100"/>
      </w:pPr>
      <w:r>
        <w:t xml:space="preserve">Tres cosas pueden estrechar el foso. La primera, la capacidad nueva de alta tensión de NKT, LS Cable y Sumitomo a partir de 2027-2028 (probabilidad media), que devolvería el margen de Transmission del 21 % hacia el 15 % de 2024 [3]. La segunda, la competencia en cable óptico para centros de datos con Corning y los japoneses, que hoy ganan más (margen EBITDA del 21-24 %) y tienen más tecnología propia [18, 19]. La tercera, una rebaja de aranceles en EE. UU. que quite ventaja a la producción local de Encore Wire y Atkore (probabilidad baja-media).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11,5 %</w:t>
      </w:r>
      <w:r>
        <w:t xml:space="preserve">, EBITDA </w:t>
      </w:r>
      <w:r>
        <w:rPr>
          <w:b/>
          <w:bCs/>
        </w:rPr>
        <w:t xml:space="preserve">24,1 %</w:t>
      </w:r>
      <w:r>
        <w:t xml:space="preserve">, BPA </w:t>
      </w:r>
      <w:r>
        <w:rPr>
          <w:b/>
          <w:bCs/>
        </w:rPr>
        <w:t xml:space="preserve">38,5 %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12.736 M en 2021 a 19.650 M en 2025, pero gran parte es perímetro y metal: Encore Wire desde julio de 2024 y Channell desde junio de 2025; el orgánico fue de +14,4 % en 2022, −1,1 % en 2023, +0,5 % en 2024 y +5,4 % en 2025 [1, 5, 6]. El margen sí cambió de nivel: el EBITDA ajustado a precios estándar del metal subió del 11,9 % en 2023 al 12,9 % en 2024 y al 14,2 % en 2025 (14,8 % en el 1S26), por Transmission (14,5 % → 18,3 %) y Digital Solutions (12,9 % → 17,3 %) [2, 3]. El beneficio neto de 2025 (1.270 M) lleva 346 M de plusvalía por la venta de YOFC; sin ella, ≈924 M, +27 % sobre 2024 [1]. 2024 y 2025 no son comparables con los años anteriores en balance por las compras.</w:t>
      </w:r>
    </w:p>
    <w:p>
      <w:pPr>
        <w:pStyle w:val="Heading2"/>
      </w:pPr>
      <w:r>
        <w:t xml:space="preserve">Ajustes y partidas no recurrentes</w:t>
      </w:r>
    </w:p>
    <w:p>
      <w:pPr>
        <w:spacing w:after="100"/>
      </w:pPr>
      <w:r>
        <w:t xml:space="preserve">La empresa publica un EBITDA ajustado que excluye reorganizaciones (35 M en 2025, 84 M en 2024), no recurrentes (16 M y 11 M) y otros resultados no operativos (−341 M en 2025 por la plusvalía de YOFC; 78 M en 2024), y también los pagos en acciones (90 M y 58 M) y los derivados de metal [1, 4]. Aquí se usa el EBITDA contable más las tres primeras partidas (no recurrentes en el EBITDA: 49, 101, 143, 173 y −290 M de 2021 a 2025), de modo que los pagos en acciones cuentan como coste. Las reorganizaciones se repiten todos los años (35-84 M): en rigor son coste recurrente, y el margen de este informe las trata como tales en la proyección.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(30-jul) la dirección habló de su «mejor trimestre» (EBITDA ajustado de 730 M, +20,7 %) y subió la guía del año a 2.800-2.900 M de EBITDA y 1.650-1.750 M de caja libre, desde 2.625-2.775 M y 1.300-1.400 M [3]. El mensaje cambió respecto al 1T26 (30-abr), cuando solo confirmó la guía y el mercado castigó el trimestre (Power Grid con el margen en el 12,4 % y 36 M de efecto divisa) [8]: ahora el discurso es el de una empresa de «energía y datos» que adelanta los objetivos de 2028 y convocará un día del inversor en el 1S27 [3]. Las preguntas se centraron en el margen de Power Grid (13,8 %, aún por debajo del 15,6 % de un año antes), en la sostenibilidad del 21 % de Transmission y en el contrato con Molex. Tres días después anunció Atkore, que no figuraba en la guía; la dirección no ha dado todavía cifras del grupo combinado más allá de 22.000 M de ventas y 2.700 M de EBITDA ajustado pro forma de 2025 [33].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Encore Wire (EE. UU.), consolidada desde el 1-jul-2024 (EV ≈3.900 M EUR): la cuenta de 2024 recoge medio año y el balance el año entero.; 2025: Channell Commercial, consolidada desde el 1-jun-2025 (≈1.069 M EUR de salida de caja por compras en 2025); venta de la participación en YOFC (plusvalía de 346 M neta de impuestos).).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neta bajó de 4.296 M a 3.097 M en 2025 por la caja libre (1.171 M), el híbrido (956 M netos) y la venta de YOFC (675 M), pese a pagar Channell (1.069 M) [1]. En el 1S26 subió a 4.079 M por el circulante estacional (−210 M), el dividendo (268 M) y ACSM [3]. Con Atkore (≈3.390 M EUR) menos la ampliación (850 M), la deuda neta ajustada pasará de ≈4.500 M a ≈7.000 M, unas 2,4 veces el EBITDA de 2026e: alta para un fabricante cíclico, pero con caja libre de 1.650-1.750 M al año y vencimientos escalonados (vida media de 3,9 años; 80 % a tipo fijo) [2,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3.674</w:t>
      </w:r>
      <w:r>
        <w:t xml:space="preserve">, conversión </w:t>
      </w:r>
      <w:r>
        <w:rPr>
          <w:b/>
          <w:bCs/>
        </w:rPr>
        <w:t xml:space="preserve">110 %</w:t>
      </w:r>
      <w:r>
        <w:t xml:space="preserve"> del beneficio neto; adquisiciones 5.170, dividendos 888, recompras 374.</w:t>
      </w:r>
    </w:p>
    <w:p>
      <w:pPr>
        <w:spacing w:after="100"/>
      </w:pPr>
      <w:r>
        <w:t xml:space="preserve">El flujo operativo subió de 777 M en 2021 a 2.162 M en 2025, por encima del beneficio todos los años (2,19 veces acumulado), en parte por los anticipos de Transmission: el circulante liberó 465 M en 2024 y 195 M en 2025 [1, 4]. El capex pasó de 283 M a 791 M (3,9-4,6 % de las ventas) por la ampliación de fábricas de cable submarino (Pikkala, Arco Felice) y barcos cableros: la empresa no separa mantenimiento y crecimiento; estimación propia: ≈2,5 % de las ventas de mantenimiento (cerca de la amortización sin deterioros) y el resto, crecimiento. Las compras (Encore Wire 4.126 M en 2024; Channell 952 M en 2025) superan a todo el dividendo pagado en cinco años. En el 1S26 el flujo operativo fue de −10 M por el circulante, como es habitual en el primer semestre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S.p.A. (desde 2025; antes EY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pero tienen tres puntos de juicio. Uno, el EBITDA ajustado deja fuera reorganizaciones que se repiten cada año (35-84 M) y los pagos en acciones (90 M en 2025, el 0,5 % de las ventas): el margen «ajustado» exagera el recurrente en ≈0,6 puntos [1]. Dos, el reconocimiento de ingresos de Transmission es por grado de avance: los márgenes del 20 % dependen de la estimación del coste final de proyectos de varios años, y Western Link (2017-2018) demostró que un fallo cuesta cientos de millones. Tres, en 2025 la plusvalía de YOFC (346 M) va en «otros ingresos» dentro del resultado operativo [1]. El motor da un Altman Z de 3,15 (zona segura, aunque el cambio de perímetro lo hace poco fiable en 2025), un Piotroski de 8 sobre 9 (falla solo porque emite acciones para los planes) y un Beneish de −2,70, no interpretable por el perímetro. El auditor cambió en 2025 de EY a PwC por rotación obligatoria [23].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en proyectos de varios años (Transmission)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20-21 % sobre estimaciones de coste final; un problema de ejecución (Western Link, 2018) se lleva un año de beneficio del segmento.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Reorganizaciones recurrentes fuera del EBITDA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 M en 2024 y 35 M en 2025 [1]; aquí se tratan como coste.</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 de YOFC dentro del resultado operativo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346 M netos de impuestos; se resta en la historia del PER y en el BPA comparable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3.647 M en 2025 (el 37 % del capital invertido medio); ha subido más de un 5 % en 1 de 4 años: compra única grande. ROIC publicado 13,0 %; sin fondo de comercio, 20,4 %.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18,5 % · </w:t>
      </w:r>
      <w:r>
        <w:rPr>
          <w:b/>
          <w:bCs/>
        </w:rPr>
        <w:t xml:space="preserve">WACC</w:t>
      </w:r>
      <w:r>
        <w:t xml:space="preserve">: 7,8 %.</w:t>
      </w:r>
    </w:p>
    <w:p>
      <w:pPr>
        <w:spacing w:after="100"/>
      </w:pPr>
      <w:r>
        <w:t xml:space="preserve">Prysmian crea valor desde 2022: el ROIC del motor pasó del 7,9 % en 2021 al 11,7 % en 2022, 12,8 % en 2023, 13,6 % en 2024 y 13,0 % en 2025, frente a un WACC del 7,77 %, es decir, 5,2 puntos por encima, justo en el umbral de calidad. Lo mueve el margen (NOPAT sobre ventas del 3,2 % al 6,4 %), no la rotación, que bajó con las compras (1,3 a 1,1 veces). Sin fondo de comercio el ROIC es del 20,4 %, lo que dice que el negocio orgánico es bueno y que las compras (el fondo de comercio es el 37 % del capital invertido) diluyen. El ROIC incremental histórico es del 18,5 %. Atkore pesará: pagar 3.390 M por ≈345 M de EBITDA (≈270 M de EBIT antes de sinergias) rinde ≈6 % después de impuestos, y el ROIC del grupo bajará hacia el 11-12 % hasta que lleguen los 150 M USD de sinergias [21, 33]. NKT (36,9 %) y Fujikura (36,2 %) rinden más; Nexans (10,8 %) y Sumitomo (10,7 %), menos [14, 15, 16, 18].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1.246 M y activos financieros líquidos 86 M a 30-jun-2026 [3], más la línea de crédito revolvente sin disponer (importe no desglosado en la nota) [2]; 850 M de la ampliación del 15-sep-2026 para Atkore.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(S&amp;P); el híbrido perpetuo de 1.000 M, «BB» con un 50 % de contenido de capital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El híbrido perpetuo de 1.000 M (cupón del 5,25 %, primera amortización en 2030) va en el patrimonio, pero aquí se trata como deuda en el puente (las agencias lo cuentan al 50 %) [1]. Provisiones para riesgos de 747 M a corto plazo a 30-jun-2026, con las del expediente antimonopolio europeo de los cables de alta tensión, cuya salida de caja la guía excluye [3]. Pasivos por prestaciones a empleados de 271 M [3]. Pasivos de contratos de 2.130 M (anticipos de Transmission) frente a 901 M de activos de contratos: el circulante negativo de los proyectos financia parte del crecimiento y se dará la vuelta si se frenan los pedidos [3]. Atkore se paga con ≈60 % deuda, ≈20 % híbridos y ≈20 % capital (los 850 M de septiembre) [25, 40].</w:t>
      </w:r>
    </w:p>
    <w:p>
      <w:pPr>
        <w:pStyle w:val="Heading1"/>
      </w:pPr>
      <w:r>
        <w:t xml:space="preserve">12. Asignación de capital</w:t>
      </w:r>
    </w:p>
    <w:p>
      <w:pPr>
        <w:spacing w:after="100"/>
      </w:pPr>
      <w:r>
        <w:t xml:space="preserve">Dividendo creciente: 0,60 EUR por 2022, 0,70 por 2023, 0,80 por 2024 y 0,90 por 2025 (≈258 M, un 20 % del beneficio sin la plusvalía de YOFC) [1, 23]. Recompras pequeñas y ligadas a los planes (327 M en 2024; autorización renovada hasta el 10 % del capital) [23]. La prioridad declarada es crecer por compras en Norteamérica y en datos: la junta de 2026 dio al consejo una delegación para ampliar capital hasta un 10 % sin derecho de suscripción para compras, que ya usó en septiembre (850 M) [23, 25]. Objetivo 2028: crecimiento del BPA del 15-19 % anual desde 2024 y caja libre de 1.500-1.700 M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Cable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ampliación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escala en Norteamérica, pero llegó con los problemas de Western Link: la acción cayó un 34,7 % en 2018 [28].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Encore Wire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(préstamos de 5.379 M en 2024) y convertible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rápida: margen de I&amp;C del 12,5 % al 13,4 % en 2025 y caja que redujo la deuda en un año [1, 36].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Channell Commercial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 híbrido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Ayudó a duplicar el EBITDA de Digital Solutions (161 → 268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ACSM y Xtera (instalación submarina y sistemas ópticos submarinos)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Cerradas en 2026; refuerzan Transmission y Digital Solutions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Atkore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deuda, ≈20 % híbridos, ≈20 % capital (850 M a 121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(19-oct-2026); 150 M USD de sinergias en tres años [25, 33, 34].</w:t>
            </w:r>
          </w:p>
        </w:tc>
      </w:tr>
    </w:tbl>
    <w:p>
      <w:pPr>
        <w:spacing w:after="160" w:before="0"/>
      </w:pPr>
    </w:p>
    <w:p>
      <w:pPr>
        <w:spacing w:after="100"/>
      </w:pPr>
      <w:r>
        <w:t xml:space="preserve">La dirección asigna bien el capital orgánico (ROIC incremental del 18,5 %, márgenes al alza) y ha hecho bien las dos últimas compras grandes: Encore Wire a 8,2 veces el EBITDA se integró sin sorpresas y Channell duplicó el margen de Digital Solutions. El riesgo es el ritmo: tres compras en dos años por ≈8.400 M, con la de Atkore a 9,8 veces un EBITDA que en EE. UU. venía de bajar desde el pico de 2022-2023 y pagada en parte con acciones a 121 EUR, cerca de los mínimos del semestre. La dilución es pequeña (7,0 M de acciones, un 2,4 %) [25], y la caja libre acumulada de 2021-2025 (≈3.840 M) se ha ido sobre todo en compras (5.170 M), por encima de dividendos y recompras (≈1.440 M).</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Battaini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el grupo (Pirelli Cavi y Prysmian); dirigió Transmission y Norteamérica antes de suceder a Valerio Battista en abril de 2024. Con él, el margen ajustado pasó del 12,9 % (2024) al 14,2 % (2025) y llegaron Channell, Molex y Atkore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 Francesco Facchini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desde hace más de una década; condujo la financiación de General Cable, Encore Wire y Atkore (60 % deuda, ≈20 % híbridos, ≈20 % capital)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Gori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consejero delegado de Pirelli Tyre; preside el consejo desde la renovación de 2024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Valerio Battista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2005 a 2024: salida a bolsa, compras de Draka (2011) y General Cable (2018)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2.300-2.380 M, elevado a 2.380-2.430 M con el 3T25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2.398 M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(guía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1.171 M, por encima de la guía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2.625-2.775 M y FCF 1.300-1.400 M (feb-26); elevada a 2.800-2.900 M y 1.650-1.750 M (jul-26)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1.331 M (+17,6 %)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la casa, estable y creíble: Battaini y Facchini llevan décadas en el grupo y la sucesión de 2024 se anunció con tiempo. Han cumplido o superado la guía en 2025 (EBITDA 2.398 M frente a 2.380-2.430 M; caja libre por encima) y la subieron dos veces en 2026 [1, 3, 26]. La duda no es de ejecución sino de apetito: con el BPA de 2028 ya casi en el objetivo, la empresa busca crecer por compras, y la renovación del consejo de 2027 con lista del propio consejo (junta del 29-sep-2026) refuerza a la dirección frente a los accionistas [3].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Gori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Valerio Battista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Battaini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 Francesco Facchini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Paolo Amato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Jaska de Bakker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Ines Kolmsee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 Marcegaglia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Tarak Mehta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Keith Palmer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Susannah Stewart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Annalisa Stupenengo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Remuneraciones y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5,00 % al 4,75 % (ago-2025)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3 % desde mar-2025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9,59 M de acciones en feb-2026 [1]; registro Consob 3,001 %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(plan YES)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50 % de la plantilla es accionista (46 % en 2024)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un fijo de 1,3 M EUR [27]; el variable anual se difiere en un 50 % en acciones a tres años y el plan a largo plazo 2026-2028 (unos 1.250 directivos) da acciones por objetivos financieros, de mercado (rentabilidad para el accionista) y de sostenibilidad, más 0,5 acciones adicionales por cada acción diferida para la alta dirección [1]. Premia crecimiento con rentabilidad, no solo tamaño. La junta de 2026 aprobó la política y votó a favor de los pagos de 2025; los porcentajes no se han localizado [23]. El 50 % de los empleados es accionista por el plan YES [1].</w:t>
      </w:r>
    </w:p>
    <w:p>
      <w:pPr>
        <w:pStyle w:val="Heading2"/>
      </w:pPr>
      <w:r>
        <w:t xml:space="preserve">Operaciones vinculadas, estructura de control y defensas</w:t>
      </w:r>
    </w:p>
    <w:p>
      <w:pPr>
        <w:spacing w:after="100"/>
      </w:pPr>
      <w:r>
        <w:t xml:space="preserve">No hay accionista de control: BlackRock (4,75 %) y Fidelity (2,98 %) son los mayores, con un capital libre de ≈97 % [24]. Una acción, un voto, sin voto doble. Dos señales a vigilar: la junta extraordinaria del 29-sep-2026 aprobó que el consejo saliente presente su propia lista en la renovación de 2027, una práctica habitual en Italia en sociedades sin accionista de control que reduce el peso de las listas de los fondos [3]; y la delegación para ampliar capital hasta un 10 % sin derecho de suscripción, ya usada en un 2,4 % [23, 25]. No hay operaciones vinculadas relevantes.</w:t>
      </w:r>
    </w:p>
    <w:p>
      <w:pPr>
        <w:pStyle w:val="Heading2"/>
      </w:pPr>
      <w:r>
        <w:t xml:space="preserve">Señales de alerta</w:t>
      </w:r>
    </w:p>
    <w:p>
      <w:pPr>
        <w:pStyle w:val="ListParagraph"/>
        <w:numPr>
          <w:ilvl w:val="0"/>
          <w:numId w:val="2"/>
        </w:numPr>
        <w:spacing w:after="60"/>
      </w:pPr>
      <w:r>
        <w:t xml:space="preserve">Expediente antimonopolio europeo de los cables de alta tensión: provisiones y salidas de caja fuera de la guía [3].</w:t>
      </w:r>
    </w:p>
    <w:p>
      <w:pPr>
        <w:pStyle w:val="ListParagraph"/>
        <w:numPr>
          <w:ilvl w:val="0"/>
          <w:numId w:val="2"/>
        </w:numPr>
        <w:spacing w:after="60"/>
      </w:pPr>
      <w:r>
        <w:t xml:space="preserve">Lista del consejo para la renovación de 2027 aprobada en la junta extraordinaria del 29-sep-2026 [3].</w:t>
      </w:r>
    </w:p>
    <w:p>
      <w:pPr>
        <w:pStyle w:val="ListParagraph"/>
        <w:numPr>
          <w:ilvl w:val="0"/>
          <w:numId w:val="2"/>
        </w:numPr>
        <w:spacing w:after="60"/>
      </w:pPr>
      <w:r>
        <w:t xml:space="preserve">Cambio de auditor en 2025 (EY → PwC) por rotación obligatoria, sin salvedades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(30-jul-2026): EBITDA ajustado de 2.800-2.900 M (antes 2.625-2.775 M) y caja libre de 1.650-1.750 M (antes 1.300-1.400 M), sin Atkore, con Xtera, al cambio actual y sin efectos antimonopolio [3]. Objetivos 2028 del día del inversor de marzo de 2025: EBITDA ajustado de 2.950-3.150 M, caja libre de 1.500-1.700 M y crecimiento del BPA del 15-19 % anual desde 2024 [2]; la empresa dice que los superará y dará objetivos nuevos en el 1S27 [3]. Atkore: 150 M USD de sinergias en tres años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(18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consenso de MarketScreener (18 analistas) da un BPA de 4,76 EUR en 2026, 6,10 en 2027 y 7,06 en 2028 [29]; no todos incluyen Atkore (la deuda neta prevista de 1.374 M en 2027 no la recoge). Tras el 2T26 las estimaciones de EBITDA subieron (Jefferies +7-10 % por Atkore), pero los objetivos de precio bajaron: Jefferies de 180 a 164 EUR al reducir el múltiplo de 16 a 14 veces por el mayor peso del negocio cíclico y la caída de los valores de fibra [35]; Banca Akros subió de Neutral a Acumular (130 → 138) [34]. El 83 % de las recomendaciones de Bloomberg es «comprar» con un objetivo medio de 160,65 EUR [34]; el reparto 15/3 es estimación sobre los 18 analistas de MarketScreener. El objetivo medio de MarketScreener es de 154,56 EUR [29].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Prysmian ha sido una de las mejores acciones de Europa: +30,5 % anual en cinco años y +47,6 % en tres, frente al +13,3 % y +20,5 % del FTSE MIB [28], porque el mercado pasó a verla como proveedor de la red eléctrica y de los centros de datos. En 2026 subió de 86 a 157 EUR (11-may) y ha devuelto un 30 %: julio (−18 %) por la venta de valores ligados a la IA [41], septiembre por el recorte de Jefferies y la ampliación [25, 35], y octubre (−11,5 % en el mes) con los tipos largos al alza y una nueva caída de los cableros japoneses (Fujikura −12,7 % y Furukawa −13,1 % el 15-oct) [17, 18, 34]. Beta de 0,95 a cinco años y volatilidad del 41,8 %.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 -12,2 % / -8,0 % / +21,3 %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 +35,9 %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37 % en un mes hasta el máximo de 157,25 EUR (11-may) con el ciclo de inversión en centros de datos y redes y los resultados del 1T26 [8,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valores ligados a la IA y a los centros de datos (7-jul: −6,6 %) y debilidad previa al acuerdo con Molex; no hubo noticia propia negativa: los resultados del 30-jul fueron récord y subieron la guía [3, 39,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Sesión siguiente a la ampliación acelerada de 850 M a 121 EUR (10-11 sep), con la liquidación del 15-sep, tras el recorte del objetivo de Jefferies del 1-sep por el mayor peso del negocio cíclico [25,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4,7 % el 7-oct con el bono estadounidense a 30 años en el 5,72 % y el petróleo [34] y del 5,5 % el 14-oct y 3 % el 15-oct junto a los cableros japoneses (−9 % a −13 % el 15-oct); no se ha encontrado noticia propia [16, 17,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Atkore por 3.800 M USD (95 USD por acción, 9,8x EBITDA); aprobada por sus accionistas el 7-oct, cierre previsto el 19-oct [33,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acelerada de 850 M (7,0 M de acciones a 121 EUR, un 2,1 % de descuento), con 90 días de bloqueo; ya liquidada: no queda colocación pendiente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el objetivo de 180 a 164 EUR (mantiene Comprar) por el múltiplo; Banca Akros sube a Acumular (138 EUR); Barclays y Deutsche Bank, 167 EUR [34,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Molex de hasta 5.500 M en diez años, con 550 M por adelantado, para cable óptico dentro de los centros de datos [20,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(consejo el 28-oct); consenso de ventas de 5.870 M y EBITDA ajustado de 781,6 M; se espera otra subida de la guía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que aprueba la lista del consejo para la renovación de 2027; sin accionista de referencia que venda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30 % desde mayo tiene tres causas conocidas, ninguna del negocio: el castigo a todo lo ligado a la IA (los cableros japoneses y Corning cayeron igual o más), la reacción tibia a Atkore (más deuda y más peso cíclico) con el recorte de múltiplo de Jefferies, y los tipos largos. Los resultados del 1S26 fueron récord y la guía subió. No hay hecho pendiente ajeno al análisis que pueda mover el precio más de un 5 %: la ampliación ya está colocada y liquidada, y Atkore cierra el 19-oct con la financiación comprometida. Los resultados del 29-oct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Con el PER adelantado (precio de cierre ÷ BPA del año siguiente), Prysmian cotizó entre 16,3 y 19,7 veces en 2021-2025 (mediana de 18,8) [1, 28]; hoy, a 109,80 EUR, cotiza a 19,8 veces nuestro BPA de 2027e, en la parte alta de su historia pese a haber caído un 30 % desde mayo. El salto de la acción (de 33 a 110 EUR en cinco años) lo explica sobre todo el beneficio, que se ha más que triplicado; el múltiplo apenas ha cambiado. Lo estructural es el peso de Transmission y de los centros de datos, que justificaría una prima; lo que la quita es que, con Atkore, el negocio cíclico de construcción y electrificación vuelve a pesar más.</w:t>
      </w:r>
    </w:p>
    <w:p>
      <w:pPr>
        <w:pStyle w:val="Heading1"/>
      </w:pPr>
      <w:r>
        <w:t xml:space="preserve">18. Comparables cotizados</w:t>
      </w:r>
    </w:p>
    <w:p>
      <w:pPr>
        <w:pStyle w:val="Confianza"/>
        <w:spacing w:after="100"/>
      </w:pPr>
      <w:r>
        <w:t xml:space="preserve">Confianza: Media</w:t>
      </w:r>
    </w:p>
    <w:p>
      <w:pPr>
        <w:spacing w:after="100"/>
      </w:pPr>
      <w:r>
        <w:t xml:space="preserve">Tres cableros europeos y japoneses con alta tensión y fibra (Nexans, NKT, Sumitomo Electric, Furukawa Electric y Fujikura), el líder de la fibra (Corning) y dos fabricantes de material eléctrico de EE. UU. comparables a Atkore y a la parte de electrificación (Hubbell y nVent) [14]. No se incluyen LS Cable (sin datos homogéneos a la fecha) ni Southwire (privada). Los múltiplos son los de Stock Analysis del 15-oct, con el EBITDA de los últimos doce meses del mismo proveedor; el crecimiento es la previsión de ventas a tres años, anualizada, no la de los próximos doce meses: se marca como aproximación.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Prysmian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Nexans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NKT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Fujikura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Furukawa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Corning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nVent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19,0x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 / 22,6x / 24,2x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3,3x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Prysmian cotiza a 18,9 veces el beneficio de los próximos doce meses y 14,6 veces el EBITDA de los últimos doce, por encima de los cableros generalistas (Nexans 15,9 y 8,4 veces; Sumitomo 17,2 y 10,2) y por debajo de los de fibra para centros de datos (Fujikura 23,6 y 25,3; Corning 38,0 y 30,1) y del material eléctrico estadounidense (Hubbell 21,7; nVent 24,1) [14]. Es coherente con su mezcla: dos tercios del negocio son cable de volumen y un tercio, alta tensión y datos. La mediana del PER de los comparables (22,7 veces) está inflada por los de fibra; para Prysmian, una referencia razonable es 18-20 veces, la de su propia historia. Peso del 15 % en la síntesis.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Atkore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Prysmian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3.800 M USD; 9,8x el EBITDA ajustado de 2025 (386 M USD), 7,1x con sinergias [21, 33,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Encore Wire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Prysmian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8,2x EBITDA 2023 (6,3x con sinergias); prima sobre la media de 30 días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Triveneta Cavi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Nexans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 de baja y media tensión; 5,6x EBITDA 2023 antes de sinergias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Channell Commercial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Conectividad y armarios para redes; ≈950 M USD, múltiplo no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(6,9x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43,61 – 61,65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del sector se pagan a 5,6-9,8 veces el EBITDA (La Triveneta 5,6, Encore Wire 8,2, Atkore 9,8) [33, 36, 37], muy por debajo de las 14,6 veces a las que cotiza Prysmian: las transacciones son de cable de volumen y material eléctrico, no de alta tensión, y por eso no se usan en la síntesis (peso 0). Prysmian es comprador, no objetivo: capitalización de 32.830 M, sin accionista de control y con un perímetro que muy pocos podrían financiar. Que compre a 8-10 veces y cotice a 14-15 es lo que hace que cada compra sume en el BPA, pero también que diluya el ROIC.</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crecen un 13,5 % en 2026e (fijo: 11.239 M en el 1S26, orgánico del 7,2 %, más Channell todo el año y el cobre alto) [3], un 17,5 % en 2027e por Atkore (≈2.540 M EUR de ventas, 11,5 puntos) [21, 33] y luego un 7 % en 2028e que baja al 3,5 % en 2033e. El orgánico supuesto (5-6 % en 2027-2029) está por debajo del 7,2 % del 1S26 y cerca del 5,4 % de 2025 [1], apoyado en la cartera de Transmission (≈17.000 M) y en los contratos de centros de datos. El consenso da 24.655 M de ventas en 2027e [29], por debajo de nuestros 26.200 M porque no todos los analistas incluyen Atkore.</w:t>
      </w:r>
    </w:p>
    <w:p>
      <w:pPr>
        <w:keepNext/>
        <w:spacing w:after="100"/>
      </w:pPr>
      <w:r>
        <w:rPr>
          <w:b/>
          <w:bCs/>
        </w:rPr>
        <w:t xml:space="preserve">Márgenes.</w:t>
      </w:r>
    </w:p>
    <w:p>
      <w:pPr>
        <w:spacing w:after="100"/>
      </w:pPr>
      <w:r>
        <w:t xml:space="preserve">El margen EBITDA «recurrente» (después de pagos en acciones y reorganizaciones) pasa del 11,6 % de 2025 al 12,4 % en 2026e (guía de EBITDA ajustado de 2.800-2.900 M menos ≈90 M de pagos en acciones) [3], al 12,9 % en 2027e con Atkore (≈13,5 % de margen) y a un máximo del 13,4 % en 2029-2030e con las sinergias, para bajar al 13,0 % al final por la normalización de Transmission. Es menos que el objetivo implícito de la empresa para 2028 (EBITDA ajustado de 2.950-3.150 M sin Atkore, que ya casi alcanza en 2026) [2] y menos que el 14,1 % que descuenta el precio.</w:t>
      </w:r>
    </w:p>
    <w:p>
      <w:pPr>
        <w:keepNext/>
        <w:spacing w:after="100"/>
      </w:pPr>
      <w:r>
        <w:rPr>
          <w:b/>
          <w:bCs/>
        </w:rPr>
        <w:t xml:space="preserve">Inversión y circulante.</w:t>
      </w:r>
    </w:p>
    <w:p>
      <w:pPr>
        <w:spacing w:after="100"/>
      </w:pPr>
      <w:r>
        <w:t xml:space="preserve">Capex del 4,6 % de las ventas en 2026-2028e (3,9-4,6 % en 2024-2025, más ≈0,6 puntos de altas de derechos de uso por NIIF 16) [1], que baja al 4,0 % al final, por encima de la amortización del 3,2 %. En 2027e se suma la compra de Atkore (3.390 M, 12,9 puntos de las ventas) como inversión, para que el crecimiento comprado tenga su coste en el DCF. Circulante del 6 % de las ventas (4,8 % en 2025 con los anticipos de Transmission; 7,7 % en 2024).</w:t>
      </w:r>
    </w:p>
    <w:p>
      <w:pPr>
        <w:keepNext/>
        <w:spacing w:after="100"/>
      </w:pPr>
      <w:r>
        <w:rPr>
          <w:b/>
          <w:bCs/>
        </w:rPr>
        <w:t xml:space="preserve">Coste del capital.</w:t>
      </w:r>
    </w:p>
    <w:p>
      <w:pPr>
        <w:spacing w:after="100"/>
      </w:pPr>
      <w:r>
        <w:t xml:space="preserve">Tasa libre: Bund a 10 años, 3,45 % el 15-oct-2026 [30]. Beta de 1,0, entre la de cinco años frente al FTSE MIB (0,95) [28] y la de un fabricante cíclico de equipos eléctricos; prima de mercado del 5,5 % y sin prima adicional: vende en todo el mundo y el riesgo de Italia no aplica. Coste de la deuda del 4,0 % (el director financiero cifra por debajo del 4 % la financiación de Atkore) [40] con un peso del 20 % a valor de mercado tras Atkore. WACC del 7,77 %. Con la prima implícita del mercado (4,2 %) [32], el valor central sube a 123,6 EUR.</w:t>
      </w:r>
    </w:p>
    <w:p>
      <w:pPr>
        <w:keepNext/>
        <w:spacing w:after="100"/>
      </w:pPr>
      <w:r>
        <w:rPr>
          <w:b/>
          <w:bCs/>
        </w:rPr>
        <w:t xml:space="preserve">Valor terminal.</w:t>
      </w:r>
    </w:p>
    <w:p>
      <w:pPr>
        <w:spacing w:after="100"/>
      </w:pPr>
      <w:r>
        <w:t xml:space="preserve">Gordon con un 2,5 % de crecimiento: inflación del euro del 2 % más medio punto real, por debajo del Bund menos medio punto (2,95 %). El valor terminal pesa un 79 % del valor. El múltiplo implícito de salida es razonable frente a las 8-10 veces el EBITDA de Nexans y Sumitomo y las 14,6 veces actuales de Prysmian [14].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7.103 M (40 %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(ROIC 13,0 %)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frente al 7,6 %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 (histórico: 18,5 %)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(hoy: 8,9 %)</w:t>
            </w:r>
          </w:p>
        </w:tc>
      </w:tr>
    </w:tbl>
    <w:p>
      <w:pPr>
        <w:spacing w:after="160" w:before="0"/>
      </w:pPr>
    </w:p>
    <w:p>
      <w:pPr>
        <w:spacing w:after="100"/>
      </w:pPr>
      <w:r>
        <w:t xml:space="preserve">La proyección reinvierte el 40 % del NOPAT. Con el ROIC del último ejercicio (13,0 %), eso financia un crecimiento del 5,1 % anual, frente al 7,6 % de ingresos proyectado. Supone que el capital nuevo rinde un 19,0 %, frente a un ROIC incremental histórico del 18,5 %; la cuota de mercado pasaría al 10,4 % desde el 8,9 %.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puntos (orgánico del 7,2 % en el 1S26) [3], precio 1 punto y 5,5 puntos de perímetro (Channell todo el año, ACSM y Xtera) y del cobre, menos la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Atkore aporta 11,5 puntos (≈2.540 M EUR) [21]; orgánico del 6 % con la cartera de Transmission y centros de datos.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6,5 %: volumen 5 puntos y precio 1,5; medio punto de ventas cruzadas con Atkore.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puntos y precio 1,5: el ciclo de redes sigue, con menos ayuda de precio en Transmission.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y precio 1,5: convergencia hacia el crecimiento del mercado (5,5 %) [10].</w:t>
            </w:r>
          </w:p>
        </w:tc>
      </w:tr>
    </w:tbl>
    <w:p>
      <w:pPr>
        <w:spacing w:after="160" w:before="0"/>
      </w:pPr>
    </w:p>
    <w:p>
      <w:pPr>
        <w:spacing w:after="100"/>
      </w:pPr>
      <w:r>
        <w:t xml:space="preserve">Sí. La proyección reinvierte el 40 % del NOPAT (con la compra de Atkore dentro) y supone que el capital nuevo rinde un 19,0 %, frente a un ROIC incremental histórico del 18,5 %: en línea. El crecimiento financiable al ROIC actual (5,1 %) queda por debajo del 7,6 % proyectado, pero la diferencia la cubren los anticipos de Transmission (circulante negativo) y el poder de precios demostrado (margen de Transmission +3,8 puntos en 2025) [1]. La cuota de mercado sube del 8,9 % al 10,4 % en 2033e, sobre todo por Atkore. El crecimiento proyectado sin compras (5-6 %) está por debajo del histórico orgánico y del mercado de alta tensión (6,9-11,1 %) [12, 13].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(base: 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7,8 %)</w:t>
            </w:r>
          </w:p>
        </w:tc>
      </w:tr>
    </w:tbl>
    <w:p>
      <w:pPr>
        <w:spacing w:after="160" w:before="0"/>
      </w:pPr>
    </w:p>
    <w:p>
      <w:pPr>
        <w:spacing w:after="100"/>
      </w:pPr>
      <w:r>
        <w:t xml:space="preserve">El DCF da 93,57 EUR por acción, un 14,8 % por debajo del precio, con el valor terminal en el 79 % del valor. El DCF inverso dice que, a 109,80 EUR, el mercado descuenta un crecimiento del 9,4 % anual en 2027-2033e (frente al 6,8 % de nuestro caso base) o un margen del 14,1 % (frente al 13,0 %), con una rentabilidad implícita del 7,1 %, algo por debajo de nuestro WACC del 7,77 %. Es exigente pero no absurdo: equivale a que Prysmian mantenga el orgánico del 7 % del 1S26 durante siete años más, con Atkore dentro, o a que el margen de Transmission y de centros de datos no vuelva a la media. Con la prima implícita del mercado (4,2 %), el valor sube a 123,6 EUR: la diferencia entre comprar y no comprar es sobre todo de tasa de descuento. La sensibilidad es alta: con un WACC del 6,8 % y un 2,5 % de terminal, el valor es de 122,17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la IA se frena en 2027 y la construcción en EE. UU. cae: el crecimiento queda 2 puntos por debajo cada año y el margen 1,5 puntos (11,7 % en 2028e, el nivel de 2023-2024). WACC medio punto más alto y terminal del 2 %. Ya le pasó: en 2018-2019 el margen se hundió con General Cable y Western Link.</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Atkore se integra, Transmission convierte su cartera con márgenes del 20 % que bajan poco a poco y los centros de datos mantienen el orgánico en el 5-6 %.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contratos con hiperescaladores y las sinergias de Atkore llegan antes: 2 puntos más de crecimiento y 1 punto más de margen (14,2 % en 2028e), en línea con los objetivos que la empresa presentará en 2027.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109,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89,94 EUR (-18,1 %).</w:t>
      </w:r>
    </w:p>
    <w:p>
      <w:pPr>
        <w:spacing w:after="100"/>
      </w:pPr>
      <w:r>
        <w:t xml:space="preserve">La asimetría del DCF es desfavorable: el bajista vale 50,98 EUR (−53,6 %) y el alcista 121,62 EUR (+10,8 %), porque el valor terminal pesa un 79 % y un punto de margen mueve mucho a una empresa con un 13 % de margen. A 12 meses, con la regla de múltiplos, la asimetría es mejor (1,76 veces: el bajista pierde un 29,1 % y el alcista gana un 53,4 %), porque el mercado paga hoy el PER de su historia. La lectura: a 109,80 EUR se paga bien un crecimiento que la empresa está logrando, sin margen de seguridad si el ciclo se da la vuelta.</w:t>
      </w:r>
    </w:p>
    <w:p>
      <w:pPr>
        <w:pStyle w:val="Heading1"/>
      </w:pPr>
      <w:r>
        <w:t xml:space="preserve">22. Suma de partes</w:t>
      </w:r>
    </w:p>
    <w:p>
      <w:pPr>
        <w:pStyle w:val="Confianza"/>
        <w:spacing w:after="100"/>
      </w:pPr>
      <w:r>
        <w:t xml:space="preserve">Confianza: Media</w:t>
      </w:r>
    </w:p>
    <w:p>
      <w:pPr>
        <w:spacing w:after="100"/>
      </w:pPr>
      <w:r>
        <w:t xml:space="preserve">No se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109,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98,03 EUR (-10,7 % sobre 109,80).</w:t>
      </w:r>
    </w:p>
    <w:p>
      <w:pPr>
        <w:spacing w:after="100"/>
      </w:pPr>
      <w:r>
        <w:t xml:space="preserve">El DCF (50 %) es el método más fiable porque recoge la deuda de Atkore y la inversión que exige el crecimiento; los escenarios (35 %) añaden el riesgo de ciclo, y los comparables por PER (15 %) aportan la lectura de mercado, inflada por los de fibra. Las transacciones (5,6-9,8 veces el EBITDA) no se usan: son de cable de volumen. La síntesis da un valor intrínseco de 98,03 EUR (−10,7 %). La dispersión es grande: de 50,98 EUR en el bajista a 131,77 EUR por PER de comparables y 123,6 EUR con la prima del mercado. Que el precio esté por encima del DCF y dentro del rango de comparables dice que el mercado valora Prysmian como empresa de «energía y datos» y no como cablero.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(19.8x) a mitad de camino hacia abajo, hacia la mediana de 5 años (18.8x)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+53,4 %</w:t>
            </w:r>
          </w:p>
        </w:tc>
      </w:tr>
    </w:tbl>
    <w:p>
      <w:pPr>
        <w:spacing w:after="160" w:before="0"/>
      </w:pPr>
    </w:p>
    <w:p>
      <w:pPr>
        <w:spacing w:after="100"/>
      </w:pPr>
      <w:r>
        <w:rPr>
          <w:b/>
          <w:bCs/>
        </w:rPr>
        <w:t xml:space="preserve">Objetivo a 12 meses (ponderado):</w:t>
      </w:r>
      <w:r>
        <w:t xml:space="preserve"> 122,31 EUR · rentabilidad +12,2 % (base +12,3 %) · señal Mantener.</w:t>
      </w:r>
    </w:p>
    <w:p>
      <w:pPr>
        <w:spacing w:after="100"/>
      </w:pPr>
      <w:r>
        <w:t xml:space="preserve">Para comparar, con la regla v2 (historia al cierre, mismo precio): 18,2x / 19,8x / 24,2x, 19,4 %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(5,55) está un 9 % por debajo del consenso (6,10) y el de 2028e (6,34) un 10 % por debajo (7,06) [29]: restamos los pagos en acciones y las reorganizaciones (≈0,6 % de las ventas), los cupones de los dos híbridos (≈90 M) y el coste financiero de Atkore, y contamos 299 M de acciones con la ampliación. El objetivo medio de los analistas (154,56 EUR) supone además un PER de ≈22 veces el BPA de 2028, la mediana de comparables con fibra, frente a las 19,3 veces de la regla, que parte del PER actual hacia la historia de la empresa. No acercamos la cifra: la diferencia está en la base del BPA y en el múltiplo.</w:t>
      </w:r>
    </w:p>
    <w:p>
      <w:pPr>
        <w:keepNext/>
        <w:spacing w:after="100"/>
      </w:pPr>
      <w:r>
        <w:rPr>
          <w:b/>
          <w:bCs/>
        </w:rPr>
        <w:t xml:space="preserve">Del valor intrínseco al objetivo a 12 meses.</w:t>
      </w:r>
    </w:p>
    <w:p>
      <w:pPr>
        <w:spacing w:after="100"/>
      </w:pPr>
      <w:r>
        <w:t xml:space="preserve">El objetivo ponderado a 12 meses (122,31 EUR, +12,2 % con el dividendo) está un 25 % por encima del valor intrínseco (98,03 EUR): el mercado paga hoy un PER de su historia por un BPA que crece un 15-20 % al año con Atkore, mientras que el DCF descuenta que ese crecimiento se normaliza y que el margen vuelve al 13 %. Para cerrar la distancia hacia el DCF bastaría una caída del múltiplo de 19,3 a 16 veces (el mínimo de cinco años); para cerrarla hacia arriba, que los objetivos de 2030 del día del inversor (1S27) eleven el margen sostenible al 14-15 %. La tesis de compra es a más de un año y depende de esos objetivos.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Atkore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≈2.540 M de ventas y ≈345 M de EBITDA al año; deuda neta +2.500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EBITDA ajustado de 781,6 M [34]; posible nueva subida de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con Atkore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grupo combinado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 objetivos nuevos a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apunta a un EBITDA de más de 5.000 M en 2030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renovación del consejo con lista propia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 la dirección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Adjudicaciones de Transmission (TenneT, Amprion, Grecia, Italia)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Mantener la cartera por encima de 17.000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centros de datos 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50,98 EUR de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Transmission (contratos firmados a 4-5 años) no depende de la IA; Molex con pago adelantado.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I&amp;C en Norteamérica y de Digital Solutions por debajo del 5 %; recortes de capex de los hiperescaladores.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deuda de Atkore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(sinergias a la mitad y 0,5 pp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Encore Wire salió bien; financiación comprometida y 20 % en capital ya colocado.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por encima de 2,5 veces a fin de 2027; margen de Atkore bajo 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a la normalidad del margen de Transmission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(margen del segmento del 21 % al 16 %)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17.000 M con precios fijados; capacidad del sector llena hasta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Transmission bajo el 17 % dos trimestres seguidos; pedidos nuevos con menos margen.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construcción y la industria (EE. UU.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peso de red y datos que en 2008-2009.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I&amp;C negativo; Specialties por debajo de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proyectos submarinos (fallo de cable o retraso)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un proyecto grande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Barcos propios y experiencia de décadas.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de proyectos; retrasos en EGL2, EGL4 o SOFIA.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precio del cobre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metal se repercute; 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aranceles sobre derivados del cobre; primas físicas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o indemnizaciones antimonopolio (cables de alta tensión)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en parte (provisiones de 747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en reclamaciones de daños.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del múltiplo de todo lo ligado a la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−15 % (PER de 19,3 a 16,3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múltiplo actual ya está en su mediana histórica.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Caídas de Corning, Fujikura y Vertiv; PER de Prysmian por debajo de 17 veces.</w:t>
            </w:r>
          </w:p>
        </w:tc>
      </w:tr>
    </w:tbl>
    <w:p>
      <w:pPr>
        <w:spacing w:after="160" w:before="0"/>
      </w:pPr>
    </w:p>
    <w:p>
      <w:pPr>
        <w:pStyle w:val="Heading2"/>
      </w:pPr>
      <w:r>
        <w:t xml:space="preserve">Pre-mortem</w:t>
      </w:r>
    </w:p>
    <w:p>
      <w:pPr>
        <w:spacing w:after="100"/>
      </w:pPr>
      <w:r>
        <w:t xml:space="preserve">Octubre de 2029: la acción vale 66 EUR. La historia empezó en 2027, cuando dos hiperescaladores recortaron su capex por primera vez en seis años: el cable de baja tensión para centros de datos de EE. UU., que había llevado a I&amp;C al +13 % orgánico, cayó a cero, y Digital Solutions perdió la mitad del margen al llegar la capacidad nueva de fibra de Corning y de los japoneses. A la vez, Atkore, comprada a 9,8 veces un EBITDA de pico, vio caer sus ventas con la construcción no residencial, y las sinergias se quedaron en la mitad. La deuda neta, que tenía que bajar de 2,4 a 1,5 veces el EBITDA, se quedó en 2,5 veces. Transmission aguantó con su cartera, pero las licitaciones de 2028 se adjudicaron con márgenes del 15 % por la capacidad nueva de NKT y LS Cable. El mercado, que pagaba 19-20 veces por una empresa de «energía y datos», volvió a pagar las 13-14 de un cablero cíclico sobre un BPA de 4,9. Las señales que lo habrían anticipado: el orgánico de I&amp;C en Norteamérica por debajo del 5 % y el margen de Power Grid sin recuperar el 15 %.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Oportunidad · </w:t>
      </w:r>
      <w:r>
        <w:rPr>
          <w:b/>
          <w:bCs/>
        </w:rPr>
        <w:t xml:space="preserve">Efecto en valor (3-5 años):</w:t>
      </w:r>
      <w:r>
        <w:t xml:space="preserve"> +5 % (demanda de cable y fibra) con riesgo de −15 % si se frena el ciclo de inversión en IA</w:t>
      </w:r>
    </w:p>
    <w:p>
      <w:pPr>
        <w:spacing w:after="100"/>
      </w:pPr>
      <w:r>
        <w:t xml:space="preserve">La IA no sustituye nada de lo que vende Prysmian: un centro de datos necesita cable de energía, fibra y conexión a la red, y la red necesita más alta tensión. Es una oportunidad directa: el +13,4 % orgánico de I&amp;C en Norteamérica y el +18 % de Digital Solutions en el 2T26 vienen de centros de datos, y Molex le da hasta 5.500 M en diez años [3, 20]. Calculamos que ≈15-20 % de las ventas dependen ya de centros de datos (estimación propia: I&amp;C en Norteamérica y la mitad de Digital Solutions). El riesgo no es de sustitución sino de ciclo y de múltiplo: si el capex de los hiperescaladores se frena, cae ese 15-20 % y el mercado deja de pagar la prima «IA» (la caída del 30 % desde mayo ya lo muestra). Señal: orgánico de I&amp;C en Norteamérica y de Digital Solutions por debajo del 5 %. Riesgo de IA para el negocio: bajo en sustitución, medio por exposición al ciclo.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tres cosas. Las emisiones: alcance 1 y 2 un 42,0 % por debajo de 2019 en los últimos doce meses, y alcance 3 un 59,7 % en 2025 [1, 3]. La circularidad: el 25,0 % del material comprable es reciclado (cobre de EGL2) [3]. Y los ingresos ligados a la sostenibilidad (45,9 %, objetivo del 55 % en 2028), que son el argumento de venta frente a las eléctricas europeas y que la taxonomía europea reconoce en buena parte de Transmission y Power Grid [2, 3].</w:t>
      </w:r>
    </w:p>
    <w:p>
      <w:pPr>
        <w:pStyle w:val="Heading2"/>
      </w:pPr>
      <w:r>
        <w:t xml:space="preserve">Controversias</w:t>
      </w:r>
    </w:p>
    <w:p>
      <w:pPr>
        <w:spacing w:after="100"/>
      </w:pPr>
      <w:r>
        <w:t xml:space="preserve">El expediente antimonopolio europeo de los cables de alta tensión (cártel sancionado en 2014, con reclamaciones de daños abiertas) sigue con provisiones y efectos de caja fuera de la guía [3]. No se han encontrado otras sanciones ni incidentes graves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Atkore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EBITDA de Atkore en 2026 y cuánto de los 150 M USD de sinergias llegará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Pagar 9,8 veces solo tiene sentido con las sinergias; cada 50 M USD mueven el BPA de 2028 un 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Transmission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margen están los pedidos firmados en 2026 frente al 21 %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la cartera nueva dice si el 21 % es el nuevo nivel o el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depende de centros de datos y con cuántos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sensibilidad principal al ciclo de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Power Grid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margen de Power Grid al 15 % y qué parte del deterioro es la prima del metal?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15,4 % al 13,1 % en un año con ventas al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deuda neta sobre EBITDA quieren a fin de 2027 y habrá más híbridos?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Atkore la deuda pasa de ≈1,5 a ≈2,4 veces; los híbridos tienen un cupón del 5,25 %.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mínimo garantiza el contrato con Molex y qué inversión exige?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5.500 M son un máximo («hasta»).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Antimonopolio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queda por pagar de las reclamaciones de daños de los cables de alta tensión?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excluye de la guía de caja.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julio a octubre dominan las tesis alcistas («AI's next bottleneck runs through power and fiber», «Atkore adds another growth leg», «separate power from data»); la nota discordante, «It is time to trim», es de abril tras subir un 300 %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(PRYMY,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escaso: compras por recomendaciones de boletines y extrañeza por lo poco seguida que está en EE. UU.; ninguna crítica de fondo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italiana con comentarios (Il Sole 24 Ore)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Atkore se recibió con frialdad por la financiación (60 % deuda, 20 % híbridos, 20 % capital) y por el mayor peso del negocio más cíclico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Risparmioggi (portal de pequeños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la caída de un 31 % en un mes como rotación hacia otros sectores y no como deterioro de las cuentas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Prysmian como apuesta por la IA y la red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(I&amp;C Norteamérica +13,4 %, Digital Solutions +18 % en el 2T26) [3], pero también explican por qué cae cuando cae el sector de la IA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Atkore y más peso cíclico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dilución es pequeña (2,4 %) [25], pero la deuda neta sube a ≈2,4 veces el EBITDA y el ROIC baja: la preocupación es razonable.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Empresa poco seguida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para el ADR; en Europa la siguen 18 analistas [29].</w:t>
            </w:r>
          </w:p>
        </w:tc>
      </w:tr>
    </w:tbl>
    <w:p>
      <w:pPr>
        <w:spacing w:after="160" w:before="0"/>
      </w:pPr>
    </w:p>
    <w:p>
      <w:pPr>
        <w:spacing w:after="100"/>
      </w:pPr>
      <w:r>
        <w:t xml:space="preserve">El sentimiento de los particulares es alcista y poco crítico (Seeking Alpha y Stocktwits), mientras que la prensa y los analistas italianos se enfriaron con Atkore y con el recorte de múltiplos [40, 42, 43]. No hay euforia ni capitulación: el tono se ha moderado con la caída del 30 % desde mayo. Lo que aporta es que la acción se mueve como un valor «IA», no como un cablero, y eso explica más volatilidad (41,8 %) que la de su negocio.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45 (19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19,0 % frente a un ROIC de 13,0 % y un incremental histórico de 18,5 %: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10,4 % en 2033e frente al 8,9 %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4,8 % real: genera una variación de circulante de 400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9,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2025 y del 1S26 (no desglosan por región); 2) presentación FY25 (solo cifras por segmento); 3) búsqueda del informe anual integrado 2025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 las notas de prensa 2021-2025 (no separa el principal de arrendamientos); 2) conciliación de la deuda neta (solo el aumento por NIIF 16: 115 M en 2024 y 255 M en 2025); 3) XBRL ESEF (sin concepto)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las altas de derechos de uso se suman al capex del DCF</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margen EBITDA); 2) MarketScreener (páginas de comparables sin datos o de otra empresa); 3) informes anuales de Nexans y NKT (no leídos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sectoriales gratuitos (dan tamaño, no cuotas); 2) QYResearch (de pago); 3) suma de ingresos de los cinco grandes: perímetros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de 2026 (dice «voto favorevole» sin porcentajes); 2) búsqueda del acta («rendiconto sintetico delle votazioni»); 3) prensa italiana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(total devengado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Política de remuneración (solo el fijo de 1,3 M); 2) búsqueda de la Sección II de la Relación de remuneraciones 2026; 3) agregadores (Simply Wall St da 2,14 M sin año: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«internal dealing» Prysmian 2026; 2) eMarket Storage (no filtrado por tipo);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insiders_sin_operaciones = false (no comprobado)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 la Consob; 2) agregadores (Stock Analysis no lo da para Milán);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po_min y po_max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2) Economia Italia (Barclays y Deutsche Bank 167, Akros 138, Jefferies 164); 3) Investing (no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reparto comprar/mantener derivado del 83 % de «comprar» de Bloomberg</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anteriores a 2005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2022-2026 (solo hitos recientes); 2) web corporativa (perfil);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historia se da desde la salida de Pirelli (2005)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presentación FY25 (solo KPI propios); 2) búsqueda en la web de MSCI y Sustainalytics (requieren registro);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Prysmian S.p.A.: Full year 2025 results (nota de prensa con cuenta, balance, flujos y conciliación del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https://www.emarketstorage.it/sites/default/files/comunicati/2026-02/20260226_177863.pdf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2025 Integrated Results (presentación: segmentos, ingresos a precios estándar del metal, vencimientos de la deuda, objetivos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https://www.emarketstorage.it/sites/default/files/comunicati/2026-02/20260226_177865.pdf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Results as of 30 June 2026 (nota de prensa, balance a 30-jun-2026, flujos del semestre, guía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https://www.emarketstorage.it/sites/default/files/comunicati/2026-07/20260730_187445.pdf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FY 2024 results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https://www.emarketstorage.it/sites/default/files/comunicati/2025-02/20250227_161138.pdf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results at 31 December 2023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https://emarketstorage.it/sites/default/files/comunicati/2024-02/20240229_142659.pdf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at 31 December 2022 (nota de prensa con estados financieros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https://www.emarketstorage.it/sites/default/files/comunicati/2023-06/20230309_126454.pdf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financieros anuales ESEF 2021-2024 (XBRL: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starts the year with organic growth, margin expansion and strong free cash flow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https://www.prysmian.com/en/media/press-releases/prysmian-starts-the-year-with-organic-growth-margin-expansion-and-strong-free-cash-flow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&amp; 9M25 Integrated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https://www.prysmian.com/en/media/press-releases/q3-9m25-integrated-results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Wire and Cable Market (tamaño 2025: 248.900 M USD; TCAC 5,5 % hasta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https://www.marketresearchfuture.com/reports/wire-and-cable-market-25173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Wires And Cables Global Market Report (237.640 M USD en 2024 y 248.120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https://cn.gii.tw/report/tbrc1678645-wires-cables-global-market-report.html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Submarine Cable System Market (19.950 M USD en 2025 → 33.750 M USD en 2030, TCAC 11,1 %)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https://www.marketsandmarkets.com/PressReleases/submarine-cable-system.asp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High Voltage Cable Market (49.250 M USD en 2025; TCAC 6,9 % 2026-2033)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SkyQuest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https://cn.gii.tw/report/sky1814218-high-voltage-cable-market-size-share-growth.html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Nexans: estadísticas (ingresos, EBITDA,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https://stockanalysis.com/quote/epa/NEX/statistics/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NKT: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https://stockanalysis.com/quote/cph/NKT/statistics/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Sumitomo Electric: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https://stockanalysis.com/quote/tyo/5802/statistics/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Furukawa Electric: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https://stockanalysis.com/quote/tyo/5801/statistics/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Fujikura: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https://stockanalysis.com/quote/tyo/5803/statistics/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Corning: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https://stockanalysis.com/stocks/glw/statistics/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inks up to €5.5B deal with Molex for data center optical cables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https://seekingalpha.com/symbol/PRYMY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to acquire Atkore to become a fully fledged electrical solutions provider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https://www.prysmian.com/en/media/press-releases/prysmian-to-acquire-atkore-to-become-a-fully-fledged-electrical-solutions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Organi sociali (consejo, comités y colegio sindical)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https://www.prysmian.com/it/la-societa/governance/organi-sociali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Assemblea degli Azionisti (16-abr-2026)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https://www.emarketstorage.it/sites/default/files/comunicati/2026-04/20260416_182195.pdf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 Azionariato (participaciones significativas)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https://www.consob.it/web/consob-and-its-activities/w/prysmian-spa-azionariato-1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Increase Pricing Press Release (7.024.793 acciones nuevas a 121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https://www.prysmian.com/sites/www.prysmian.com/files/media/documents/Capital%20Increase%20Pricing%20Press%20Release%20ENG.pdf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Italy's Prysmian raises annual outlook after Q3 core profit jumps nearly 20%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https://www.stockopedia.com/share-prices/prysmian-sp-a-BIT:PRY/news/italy-apos-s-prysmian-raises-annual-outlook-after-q3-core-profit-jumps-nearly-20-019e69f1-5d58-7110-96d5-c86966d1c1b0/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Politica di Remunerazione (fijo del consejero delegado 1,3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https://www.prysmian.com/index%2ephp/it/la-societa/governance/remunerazioni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PRY.MI, FTSE MIB y EXH4.DE (precio, betas,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https://finance.yahoo.com/quote/PRY.MI/history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finanzas y consenso (estimaciones 2026-2028, 18 analistas, objetivo medio 154,56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https://www.marketscreener.com/quote/stock/PRYSMIAN-S-P-A-252187/finances/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 3,45 %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1,1208; JPY 177,06; DKK 7,4750)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to buy Atkore for $95 per share in $3.8 billion deal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KFGO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https://kfgo.com/2026/08/03/prysmian-to-buy-atkore-for-95-per-share-in-3-8-billion-deal/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Prysmian, 8 ottobre: quanto costa davvero Atkore (cierre previsto el 19-oct, 9,8x EBITDA, objetivos de Barclays, Deutsche Bank y Banca Akros, 3T el 29-oct)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https://finanza.economia-italia.com/azioni-prysmian-8-ottobre-2026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falls as Jefferies cuts its target price to 164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https://en.ilsole24ore.com/art/prysmian-falls-as-jefferies-cuts-its-target-price-to-164-euros-AJSK7I0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 Acquisizione di Encore Wire per EV di 3,9 mld (8,2x / 6,3x EV/EBITDA pre/post sinergie)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https://www.websim.it/notizie/blue-chip/italia/prysmian-acquisizione-di-encore-wire-per-ev-di-39bn-82x-63x-ev-ebitda-23-pre-post-sinergie-20240415051509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Nexans completes acquisition of La Triveneta Cavi (EV ≈520 M; 5,6x EBITDA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https://www.nexans.com/regulated-informations/nexans-completes-acquisition-of-la-triveneta-cavi/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Jefferies e Citi vedono ancora upside dopo il +64% nel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https://www.milanofinanza.it/news/prysmian-jefferies-e-citi-vedono-ancora-upside-dopo-il-64-nel-2026-la-scommessa-sulla-fibra-per-gli-202607071043389744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+2,8 % tra i migliori del FTSE MIB dopo accordo con Molex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https://www.teleborsa.it/AMP/News/2026/07/21/prysmian-2-8percent-tra-i-migliori-del-ftse-mib-in-scia-a-giudizi-positivi-degli-analisti-dopo-accordo-con-molex-75.html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Prysmian's market decline met with a lukewarm response to the Atkore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https://en.ilsole24ore.com/art/prysmians-market-decline-met-with-a-lukewarm-response-to-the-atkore-deal-AJ24cad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Piazza Affari in calo: Prysmian (7-jul-2026, ventas en valores ligados a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https://www.teleborsa.it/News/2026/07/07/piazza-affari-in-calo-prysmian-133_TLB-1LINER.html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Prysmian S.p.A. (PRYMY): análisis y noticias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https://seekingalpha.com/api/sa/combined/PRYMY.xml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PRYMY stream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https://api.stocktwits.com/api/2/streams/symbol/PRYMY.json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Prysmian alla prova trimestrale: bene utili e guidance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Risparmioggi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https://www.risparmioggi.it/azioni-di-prysmian-alla-prova-trimestrale-bene-utili-e-guidance-2026/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Atkore Inc. to be Acquired by Prysmian for $95.00 per Share in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Atkore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https://investors.atkore.com/investors/news/news-details/2026/Atkore-Inc--to-be-Acquired-by-Prysmian-for-95-00-per-Share-in-Cash/default.aspx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87,6 %</w:t>
      </w:r>
      <w:r>
        <w:t xml:space="preserve"> · Secciones con menos del 60 % de campos cubiertos: </w:t>
      </w:r>
      <w:r>
        <w:rPr>
          <w:b/>
          <w:bCs/>
        </w:rPr>
        <w:t xml:space="preserve">gobierno, rentabilidad</w:t>
      </w:r>
      <w:r>
        <w:t xml:space="preserve"> · Generado el 15 oct 2026.</w:t>
      </w:r>
    </w:p>
    <w:p>
      <w:pPr>
        <w:pStyle w:val="Nota"/>
        <w:spacing w:after="100"/>
      </w:pPr>
      <w:r>
        <w:t xml:space="preserve">Cotiza solo en Euronext Milan (en EE. UU. hay un ADR sin patrocinar, PRYMY). Las cuentas 2021-2023 salen de las notas de prensa anuales y del XBRL ESEF; 2024 se toma reexpresado (asignación del precio de Encore Wire) de la nota de 2025 [1]; el informe anual integrado 2025 completo no se ha leído (sí la nota de prensa con los estados financieros). Los segmentos actuales existen desde 2025, con 2024 reexpresado: no hay serie más larga. Las ventas van a precios corrientes del metal; la empresa da los márgenes a precios estándar (cobre a 5.500 EUR/t), más altos [2]. El «EBITDA» de este informe es EBIT + amortizaciones + partidas no recurrentes = EBITDA ajustado de la empresa menos pagos en acciones y derivados de metal (2025: 2.284 M frente a 2.398 M). Los arrendamientos NIIF 16 van dentro de la deuda financiera (no se publican por separado en las notas). Atkore (cierre previsto el 19-oct-2026, 3.800 M USD = 3.390 M EUR al cambio del BCE de 1,1208 [31]) se trata como inversión de 2027e en el DCF. Comparables de Japón, Dinamarca y EE. UU. convertidos al euro con el cambio del BCE del 15-oct [31].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Prysmian S.p.A. (PRY)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109,80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(79,16 – 157,25)</c:v>
                </c:pt>
                <c:pt idx="1">
                  <c:v>Comparables: PER NTM (110,53 – 140,49)</c:v>
                </c:pt>
                <c:pt idx="2">
                  <c:v>DCF (WACC y g ± 0,5) (76,62 – 118,38)</c:v>
                </c:pt>
                <c:pt idx="3">
                  <c:v>Escenarios (bajista – alcista) (50,98 – 121,62)</c:v>
                </c:pt>
                <c:pt idx="4">
                  <c:v>DCF con la prima implícita del mercado (4,2 %)</c:v>
                </c:pt>
                <c:pt idx="5">
                  <c:v>Precio actual (109,80)</c:v>
                </c:pt>
              </c:strCache>
            </c:strRef>
          </c:cat>
          <c:val>
            <c:numRef>
              <c:f>Hoja1!$B$2:$B$7</c:f>
              <c:numCache>
                <c:formatCode>#,##0</c:formatCode>
                <c:ptCount val="6"/>
                <c:pt idx="0">
                  <c:v>79.16</c:v>
                </c:pt>
                <c:pt idx="1">
                  <c:v>110.53</c:v>
                </c:pt>
                <c:pt idx="2">
                  <c:v>76.62</c:v>
                </c:pt>
                <c:pt idx="3">
                  <c:v>50.98</c:v>
                </c:pt>
                <c:pt idx="4">
                  <c:v>107.5</c:v>
                </c:pt>
                <c:pt idx="5">
                  <c:v>109.25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(79,16 – 157,25)</c:v>
                </c:pt>
                <c:pt idx="1">
                  <c:v>Comparables: PER NTM (110,53 – 140,49)</c:v>
                </c:pt>
                <c:pt idx="2">
                  <c:v>DCF (WACC y g ± 0,5) (76,62 – 118,38)</c:v>
                </c:pt>
                <c:pt idx="3">
                  <c:v>Escenarios (bajista – alcista) (50,98 – 121,62)</c:v>
                </c:pt>
                <c:pt idx="4">
                  <c:v>DCF con la prima implícita del mercado (4,2 %)</c:v>
                </c:pt>
                <c:pt idx="5">
                  <c:v>Precio actual (109,80)</c:v>
                </c:pt>
              </c:strCache>
            </c:strRef>
          </c:cat>
          <c:val>
            <c:numRef>
              <c:f>Hoja1!$C$2:$C$7</c:f>
              <c:numCache>
                <c:formatCode>#,##0</c:formatCode>
                <c:ptCount val="6"/>
                <c:pt idx="0">
                  <c:v>78.09</c:v>
                </c:pt>
                <c:pt idx="1">
                  <c:v>29.960000000000008</c:v>
                </c:pt>
                <c:pt idx="2">
                  <c:v>41.75999999999999</c:v>
                </c:pt>
                <c:pt idx="3">
                  <c:v>70.64000000000001</c:v>
                </c:pt>
                <c:pt idx="4">
                  <c:v>36.55000000000001</c:v>
                </c:pt>
                <c:pt idx="5">
                  <c:v>1.0999999999999943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Transmission</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2481</c:v>
                </c:pt>
                <c:pt idx="1">
                  <c:v>3262</c:v>
                </c:pt>
              </c:numCache>
            </c:numRef>
          </c:val>
        </c:ser>
        <c:ser>
          <c:idx val="1"/>
          <c:order val="1"/>
          <c:tx>
            <c:strRef>
              <c:f>Hoja1!$C$1</c:f>
              <c:strCache>
                <c:ptCount val="1"/>
                <c:pt idx="0">
                  <c:v>Power Grid</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3544</c:v>
                </c:pt>
                <c:pt idx="1">
                  <c:v>3811</c:v>
                </c:pt>
              </c:numCache>
            </c:numRef>
          </c:val>
        </c:ser>
        <c:ser>
          <c:idx val="2"/>
          <c:order val="2"/>
          <c:tx>
            <c:strRef>
              <c:f>Hoja1!$D$1</c:f>
              <c:strCache>
                <c:ptCount val="1"/>
                <c:pt idx="0">
                  <c:v>Industrial &amp; Construction</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6151</c:v>
                </c:pt>
                <c:pt idx="1">
                  <c:v>7519</c:v>
                </c:pt>
              </c:numCache>
            </c:numRef>
          </c:val>
        </c:ser>
        <c:ser>
          <c:idx val="3"/>
          <c:order val="3"/>
          <c:tx>
            <c:strRef>
              <c:f>Hoja1!$E$1</c:f>
              <c:strCache>
                <c:ptCount val="1"/>
                <c:pt idx="0">
                  <c:v>Specialties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3052</c:v>
                </c:pt>
                <c:pt idx="1">
                  <c:v>2983</c:v>
                </c:pt>
              </c:numCache>
            </c:numRef>
          </c:val>
        </c:ser>
        <c:ser>
          <c:idx val="4"/>
          <c:order val="4"/>
          <c:tx>
            <c:strRef>
              <c:f>Hoja1!$F$1</c:f>
              <c:strCache>
                <c:ptCount val="1"/>
                <c:pt idx="0">
                  <c:v>Digital Solutions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1306</c:v>
                </c:pt>
                <c:pt idx="1">
                  <c:v>1618</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492</c:v>
                </c:pt>
                <c:pt idx="1">
                  <c:v>457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Transmission</c:v>
                </c:pt>
                <c:pt idx="1">
                  <c:v>Power Grid</c:v>
                </c:pt>
                <c:pt idx="2">
                  <c:v>Industrial &amp; Construction</c:v>
                </c:pt>
                <c:pt idx="3">
                  <c:v>Specialties</c:v>
                </c:pt>
                <c:pt idx="4">
                  <c:v>Digital Solutions</c:v>
                </c:pt>
                <c:pt idx="5">
                  <c:v>Otros</c:v>
                </c:pt>
              </c:strCache>
            </c:strRef>
          </c:cat>
          <c:val>
            <c:numRef>
              <c:f>Hoja1!$B$2:$B$7</c:f>
              <c:numCache>
                <c:formatCode>General</c:formatCode>
                <c:ptCount val="6"/>
                <c:pt idx="0">
                  <c:v>16.6</c:v>
                </c:pt>
                <c:pt idx="1">
                  <c:v>19.4</c:v>
                </c:pt>
                <c:pt idx="2">
                  <c:v>38.3</c:v>
                </c:pt>
                <c:pt idx="3">
                  <c:v>15.2</c:v>
                </c:pt>
                <c:pt idx="4">
                  <c:v>8.2</c:v>
                </c:pt>
                <c:pt idx="5">
                  <c:v>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2030e</c:v>
                </c:pt>
              </c:strCache>
            </c:strRef>
          </c:cat>
          <c:val>
            <c:numRef>
              <c:f>Hoja1!$B$2:$B$4</c:f>
              <c:numCache>
                <c:formatCode>#,##0</c:formatCode>
                <c:ptCount val="3"/>
                <c:pt idx="0">
                  <c:v>237640</c:v>
                </c:pt>
                <c:pt idx="1">
                  <c:v>248120</c:v>
                </c:pt>
                <c:pt idx="2">
                  <c:v>325300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Prysmian</c:v>
                </c:pt>
                <c:pt idx="1">
                  <c:v>Nexans</c:v>
                </c:pt>
                <c:pt idx="2">
                  <c:v>NKT</c:v>
                </c:pt>
                <c:pt idx="3">
                  <c:v>Sumitomo Electric</c:v>
                </c:pt>
                <c:pt idx="4">
                  <c:v>Furukawa Electric</c:v>
                </c:pt>
                <c:pt idx="5">
                  <c:v>Fujikura</c:v>
                </c:pt>
                <c:pt idx="6">
                  <c:v>Corning (Optical Communications)</c:v>
                </c:pt>
                <c:pt idx="7">
                  <c:v>Southwire</c:v>
                </c:pt>
              </c:strCache>
            </c:strRef>
          </c:cat>
          <c:val>
            <c:numRef>
              <c:f>Hoja1!$B$2:$B$9</c:f>
              <c:numCache>
                <c:formatCode>0.0"%"</c:formatCode>
                <c:ptCount val="8"/>
                <c:pt idx="0">
                  <c:v>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12736</c:v>
                </c:pt>
                <c:pt idx="1">
                  <c:v>16067</c:v>
                </c:pt>
                <c:pt idx="2">
                  <c:v>15354</c:v>
                </c:pt>
                <c:pt idx="3">
                  <c:v>17026</c:v>
                </c:pt>
                <c:pt idx="4">
                  <c:v>19650</c:v>
                </c:pt>
                <c:pt idx="5">
                  <c:v>22303</c:v>
                </c:pt>
                <c:pt idx="6">
                  <c:v>26206</c:v>
                </c:pt>
                <c:pt idx="7">
                  <c:v>28040</c:v>
                </c:pt>
                <c:pt idx="8">
                  <c:v>29723</c:v>
                </c:pt>
                <c:pt idx="9">
                  <c:v>31209</c:v>
                </c:pt>
                <c:pt idx="10">
                  <c:v>32613</c:v>
                </c:pt>
                <c:pt idx="11">
                  <c:v>33918</c:v>
                </c:pt>
                <c:pt idx="12">
                  <c:v>35105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956</c:v>
                </c:pt>
                <c:pt idx="1">
                  <c:v>1306</c:v>
                </c:pt>
                <c:pt idx="2">
                  <c:v>1544</c:v>
                </c:pt>
                <c:pt idx="3">
                  <c:v>1847</c:v>
                </c:pt>
                <c:pt idx="4">
                  <c:v>2265</c:v>
                </c:pt>
                <c:pt idx="5">
                  <c:v>2766</c:v>
                </c:pt>
                <c:pt idx="6">
                  <c:v>3381</c:v>
                </c:pt>
                <c:pt idx="7">
                  <c:v>3701</c:v>
                </c:pt>
                <c:pt idx="8">
                  <c:v>3983</c:v>
                </c:pt>
                <c:pt idx="9">
                  <c:v>4182</c:v>
                </c:pt>
                <c:pt idx="10">
                  <c:v>4305</c:v>
                </c:pt>
                <c:pt idx="11">
                  <c:v>4409</c:v>
                </c:pt>
                <c:pt idx="12">
                  <c:v>4564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31.9</c:v>
                </c:pt>
                <c:pt idx="1">
                  <c:v>33.9</c:v>
                </c:pt>
                <c:pt idx="2">
                  <c:v>37.1</c:v>
                </c:pt>
                <c:pt idx="3">
                  <c:v>36.9</c:v>
                </c:pt>
                <c:pt idx="4">
                  <c:v>38.2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7.5</c:v>
                </c:pt>
                <c:pt idx="1">
                  <c:v>8.1</c:v>
                </c:pt>
                <c:pt idx="2">
                  <c:v>10.1</c:v>
                </c:pt>
                <c:pt idx="3">
                  <c:v>10.8</c:v>
                </c:pt>
                <c:pt idx="4">
                  <c:v>11.5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4.9</c:v>
                </c:pt>
                <c:pt idx="1">
                  <c:v>5.6</c:v>
                </c:pt>
                <c:pt idx="2">
                  <c:v>6.3</c:v>
                </c:pt>
                <c:pt idx="3">
                  <c:v>7.9</c:v>
                </c:pt>
                <c:pt idx="4">
                  <c:v>8.2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2.4</c:v>
                </c:pt>
                <c:pt idx="1">
                  <c:v>3.1</c:v>
                </c:pt>
                <c:pt idx="2">
                  <c:v>3.4</c:v>
                </c:pt>
                <c:pt idx="3">
                  <c:v>4.3</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10.7</c:v>
                </c:pt>
                <c:pt idx="5">
                  <c:v>6.5</c:v>
                </c:pt>
                <c:pt idx="6">
                  <c:v>9.4</c:v>
                </c:pt>
                <c:pt idx="7">
                  <c:v>23.3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9.2</c:v>
                </c:pt>
                <c:pt idx="5">
                  <c:v>4.3</c:v>
                </c:pt>
                <c:pt idx="6">
                  <c:v>5</c:v>
                </c:pt>
                <c:pt idx="7">
                  <c:v>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46</c:v>
                </c:pt>
                <c:pt idx="1">
                  <c:v>44</c:v>
                </c:pt>
                <c:pt idx="2">
                  <c:v>47</c:v>
                </c:pt>
                <c:pt idx="3">
                  <c:v>52</c:v>
                </c:pt>
                <c:pt idx="4">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64</c:v>
                </c:pt>
                <c:pt idx="1">
                  <c:v>55</c:v>
                </c:pt>
                <c:pt idx="2">
                  <c:v>60</c:v>
                </c:pt>
                <c:pt idx="3">
                  <c:v>69</c:v>
                </c:pt>
                <c:pt idx="4">
                  <c:v>64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80</c:v>
                </c:pt>
                <c:pt idx="1">
                  <c:v>67</c:v>
                </c:pt>
                <c:pt idx="2">
                  <c:v>58</c:v>
                </c:pt>
                <c:pt idx="3">
                  <c:v>59</c:v>
                </c:pt>
                <c:pt idx="4">
                  <c:v>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390</c:v>
                </c:pt>
                <c:pt idx="1">
                  <c:v>496</c:v>
                </c:pt>
                <c:pt idx="2">
                  <c:v>652</c:v>
                </c:pt>
                <c:pt idx="3">
                  <c:v>998</c:v>
                </c:pt>
                <c:pt idx="4">
                  <c:v>1138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308</c:v>
                </c:pt>
                <c:pt idx="1">
                  <c:v>504</c:v>
                </c:pt>
                <c:pt idx="2">
                  <c:v>529</c:v>
                </c:pt>
                <c:pt idx="3">
                  <c:v>729</c:v>
                </c:pt>
                <c:pt idx="4">
                  <c:v>1270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7.9</c:v>
                </c:pt>
                <c:pt idx="1">
                  <c:v>11.7</c:v>
                </c:pt>
                <c:pt idx="2">
                  <c:v>12.8</c:v>
                </c:pt>
                <c:pt idx="3">
                  <c:v>13.6</c:v>
                </c:pt>
                <c:pt idx="4">
                  <c:v>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7.8</c:v>
                </c:pt>
                <c:pt idx="1">
                  <c:v>7.8</c:v>
                </c:pt>
                <c:pt idx="2">
                  <c:v>7.8</c:v>
                </c:pt>
                <c:pt idx="3">
                  <c:v>7.8</c:v>
                </c:pt>
                <c:pt idx="4">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10.6</c:v>
                </c:pt>
                <c:pt idx="1">
                  <c:v>15.5</c:v>
                </c:pt>
                <c:pt idx="2">
                  <c:v>14.4</c:v>
                </c:pt>
                <c:pt idx="3">
                  <c:v>16.4</c:v>
                </c:pt>
                <c:pt idx="4">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2.12</c:v>
                </c:pt>
                <c:pt idx="1">
                  <c:v>1.36</c:v>
                </c:pt>
                <c:pt idx="2">
                  <c:v>0.88</c:v>
                </c:pt>
                <c:pt idx="3">
                  <c:v>2.37</c:v>
                </c:pt>
                <c:pt idx="4">
                  <c:v>1.41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198</c:v>
                </c:pt>
                <c:pt idx="1">
                  <c:v>345</c:v>
                </c:pt>
                <c:pt idx="2">
                  <c:v>1200</c:v>
                </c:pt>
                <c:pt idx="3">
                  <c:v>650</c:v>
                </c:pt>
                <c:pt idx="4">
                  <c:v>1465</c:v>
                </c:pt>
                <c:pt idx="5">
                  <c:v>850</c:v>
                </c:pt>
                <c:pt idx="6">
                  <c:v>1200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c:v>
                </c:pt>
                <c:pt idx="1">
                  <c:v>7</c:v>
                </c:pt>
                <c:pt idx="2">
                  <c:v>0</c:v>
                </c:pt>
                <c:pt idx="3">
                  <c:v>4126</c:v>
                </c:pt>
                <c:pt idx="4">
                  <c:v>952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134</c:v>
                </c:pt>
                <c:pt idx="1">
                  <c:v>148</c:v>
                </c:pt>
                <c:pt idx="2">
                  <c:v>165</c:v>
                </c:pt>
                <c:pt idx="3">
                  <c:v>202</c:v>
                </c:pt>
                <c:pt idx="4">
                  <c:v>239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327</c:v>
                </c:pt>
                <c:pt idx="4">
                  <c:v>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Ejecutivo</c:v>
                </c:pt>
              </c:strCache>
            </c:strRef>
          </c:cat>
          <c:val>
            <c:numRef>
              <c:f>Hoja1!$B$2:$B$4</c:f>
              <c:numCache>
                <c:formatCode>0</c:formatCode>
                <c:ptCount val="3"/>
                <c:pt idx="0">
                  <c:v>9</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FMR LLC (Fidelity)</c:v>
                </c:pt>
                <c:pt idx="2">
                  <c:v>Autocartera</c:v>
                </c:pt>
                <c:pt idx="3">
                  <c:v>Empleados (plan YES)</c:v>
                </c:pt>
              </c:strCache>
            </c:strRef>
          </c:cat>
          <c:val>
            <c:numRef>
              <c:f>Hoja1!$B$2:$B$5</c:f>
              <c:numCache>
                <c:formatCode>0.0"%"</c:formatCode>
                <c:ptCount val="4"/>
                <c:pt idx="0">
                  <c:v>4.75</c:v>
                </c:pt>
                <c:pt idx="1">
                  <c:v>2.98</c:v>
                </c:pt>
                <c:pt idx="2">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13.3</c:v>
                </c:pt>
                <c:pt idx="2">
                  <c:v>-34.7</c:v>
                </c:pt>
                <c:pt idx="3">
                  <c:v>30.5</c:v>
                </c:pt>
                <c:pt idx="4">
                  <c:v>37.3</c:v>
                </c:pt>
                <c:pt idx="5">
                  <c:v>15.9</c:v>
                </c:pt>
                <c:pt idx="6">
                  <c:v>6.6</c:v>
                </c:pt>
                <c:pt idx="7">
                  <c:v>20.7</c:v>
                </c:pt>
                <c:pt idx="8">
                  <c:v>51.9</c:v>
                </c:pt>
                <c:pt idx="9">
                  <c:v>42.6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Prysmian</c:v>
                </c:pt>
                <c:pt idx="1">
                  <c:v>Nexans</c:v>
                </c:pt>
                <c:pt idx="2">
                  <c:v>NKT</c:v>
                </c:pt>
                <c:pt idx="3">
                  <c:v>Fujikura</c:v>
                </c:pt>
                <c:pt idx="4">
                  <c:v>Sumitomo Electric</c:v>
                </c:pt>
                <c:pt idx="5">
                  <c:v>Furukawa Electric</c:v>
                </c:pt>
                <c:pt idx="6">
                  <c:v>Corning</c:v>
                </c:pt>
                <c:pt idx="7">
                  <c:v>Hubbell</c:v>
                </c:pt>
                <c:pt idx="8">
                  <c:v>nVent</c:v>
                </c:pt>
              </c:strCache>
            </c:strRef>
          </c:cat>
          <c:val>
            <c:numRef>
              <c:f>Hoja1!$B$2:$B$10</c:f>
              <c:numCache>
                <c:formatCode>0.0"x"</c:formatCode>
                <c:ptCount val="9"/>
                <c:pt idx="0">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Atkore (EE. UU.)</c:v>
                </c:pt>
                <c:pt idx="1">
                  <c:v>Encore Wire (EE. UU.)</c:v>
                </c:pt>
                <c:pt idx="2">
                  <c:v>La Triveneta Cavi (Italia)</c:v>
                </c:pt>
                <c:pt idx="3">
                  <c:v>Channell Commercial (EE. UU.)</c:v>
                </c:pt>
              </c:strCache>
            </c:strRef>
          </c:cat>
          <c:val>
            <c:numRef>
              <c:f>Hoja1!$B$2:$B$5</c:f>
              <c:numCache>
                <c:formatCode>0.0"x"</c:formatCode>
                <c:ptCount val="4"/>
                <c:pt idx="0">
                  <c:v>9.8</c:v>
                </c:pt>
                <c:pt idx="1">
                  <c:v>8.2</c:v>
                </c:pt>
                <c:pt idx="2">
                  <c:v>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847</c:v>
                </c:pt>
                <c:pt idx="1">
                  <c:v>-2050</c:v>
                </c:pt>
                <c:pt idx="2">
                  <c:v>1628</c:v>
                </c:pt>
                <c:pt idx="3">
                  <c:v>1876</c:v>
                </c:pt>
                <c:pt idx="4">
                  <c:v>1987</c:v>
                </c:pt>
                <c:pt idx="5">
                  <c:v>2133</c:v>
                </c:pt>
                <c:pt idx="6">
                  <c:v>2177</c:v>
                </c:pt>
                <c:pt idx="7">
                  <c:v>2263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6989</c:v>
                </c:pt>
                <c:pt idx="1">
                  <c:v>25667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109,80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50.98</c:v>
                </c:pt>
                <c:pt idx="1">
                  <c:v>93.57</c:v>
                </c:pt>
                <c:pt idx="2">
                  <c:v>121.62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109,80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(79,16 – 157,25)</c:v>
                </c:pt>
                <c:pt idx="1">
                  <c:v>Comparables: PER NTM (110,53 – 140,49)</c:v>
                </c:pt>
                <c:pt idx="2">
                  <c:v>DCF (WACC y g ± 0,5) (76,62 – 118,38)</c:v>
                </c:pt>
                <c:pt idx="3">
                  <c:v>Escenarios (bajista – alcista) (50,98 – 121,62)</c:v>
                </c:pt>
                <c:pt idx="4">
                  <c:v>DCF con la prima implícita del mercado (4,2 %)</c:v>
                </c:pt>
                <c:pt idx="5">
                  <c:v>Precio actual (109,80)</c:v>
                </c:pt>
              </c:strCache>
            </c:strRef>
          </c:cat>
          <c:val>
            <c:numRef>
              <c:f>Hoja1!$B$2:$B$7</c:f>
              <c:numCache>
                <c:formatCode>#,##0</c:formatCode>
                <c:ptCount val="6"/>
                <c:pt idx="0">
                  <c:v>79.16</c:v>
                </c:pt>
                <c:pt idx="1">
                  <c:v>110.53</c:v>
                </c:pt>
                <c:pt idx="2">
                  <c:v>76.62</c:v>
                </c:pt>
                <c:pt idx="3">
                  <c:v>50.98</c:v>
                </c:pt>
                <c:pt idx="4">
                  <c:v>107.5</c:v>
                </c:pt>
                <c:pt idx="5">
                  <c:v>109.25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(79,16 – 157,25)</c:v>
                </c:pt>
                <c:pt idx="1">
                  <c:v>Comparables: PER NTM (110,53 – 140,49)</c:v>
                </c:pt>
                <c:pt idx="2">
                  <c:v>DCF (WACC y g ± 0,5) (76,62 – 118,38)</c:v>
                </c:pt>
                <c:pt idx="3">
                  <c:v>Escenarios (bajista – alcista) (50,98 – 121,62)</c:v>
                </c:pt>
                <c:pt idx="4">
                  <c:v>DCF con la prima implícita del mercado (4,2 %)</c:v>
                </c:pt>
                <c:pt idx="5">
                  <c:v>Precio actual (109,80)</c:v>
                </c:pt>
              </c:strCache>
            </c:strRef>
          </c:cat>
          <c:val>
            <c:numRef>
              <c:f>Hoja1!$C$2:$C$7</c:f>
              <c:numCache>
                <c:formatCode>#,##0</c:formatCode>
                <c:ptCount val="6"/>
                <c:pt idx="0">
                  <c:v>78.09</c:v>
                </c:pt>
                <c:pt idx="1">
                  <c:v>29.960000000000008</c:v>
                </c:pt>
                <c:pt idx="2">
                  <c:v>41.75999999999999</c:v>
                </c:pt>
                <c:pt idx="3">
                  <c:v>70.64000000000001</c:v>
                </c:pt>
                <c:pt idx="4">
                  <c:v>36.55000000000001</c:v>
                </c:pt>
                <c:pt idx="5">
                  <c:v>1.0999999999999943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