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TotalEnergies SE</w:t>
      </w:r>
    </w:p>
    <w:p>
      <w:pPr>
        <w:spacing w:after="60"/>
        <w:rPr>
          <w:color w:val="52514E"/>
          <w:sz w:val="22"/>
          <w:szCs w:val="22"/>
        </w:rPr>
      </w:pPr>
      <w:r>
        <w:rPr>
          <w:color w:val="52514E"/>
          <w:sz w:val="22"/>
          <w:szCs w:val="22"/>
        </w:rPr>
        <w:t xml:space="preserve">TTE · Euronext París (también NYSE desde el 8-dic-2025) · ISIN FR0000120271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89,90 USD (80,21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63,48 USD (56,64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-25,1 % (base -18,7 %)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70,02 USD (62,47 EUR) · mercado 77,29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200.477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5,2x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TotalEnergies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TTE / FR0000120271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(también NYSE desde el 8-dic-2025)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Courbevoie (París) · 1924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totalenergies.com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89,90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57,71 – 91,18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200.477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273 M EUR/día (3,6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63,48 USD (56,64 EUR)</w:t>
      </w:r>
      <w:r>
        <w:t xml:space="preserve"> frente a 89,90 (80,21 EUR) · Rentabilidad a 12 meses </w:t>
      </w:r>
      <w:r>
        <w:rPr>
          <w:b/>
          <w:bCs/>
        </w:rPr>
        <w:t xml:space="preserve">-25,1 % (base -18,7 %)</w:t>
      </w:r>
      <w:r>
        <w:t xml:space="preserve"> · Valor intrínseco 70,02 USD (62,47 EUR) · con la prima implícita del mercado: 77,29 (68,96 EUR) (-14,0 %) · Alcista / bajista -3,5 % / -58,4 %</w:t>
      </w:r>
    </w:p>
    <w:p>
      <w:pPr>
        <w:spacing w:after="100"/>
      </w:pPr>
      <w:r>
        <w:rPr>
          <w:b/>
        </w:rPr>
        <w:t xml:space="preserve">La recomendación y por qué.</w:t>
      </w:r>
      <w:r>
        <w:t xml:space="preserve"> Vender, con convicción media. El objetivo a 12 meses es de 63,48 USD (56,64 EUR) y el valor intrínseco de 70,02 USD (62,47 EUR), frente a un precio de 89,90 USD (80,21 EUR, cierre del 15-oct-2026); el objetivo medio de los analistas, 98,73 USD, queda por encima de nuestro alcista. La rentabilidad a 12 meses es del −25,1 % ponderada y del −18,7 % en el base, con dividendo. La razón: el precio cotiza el beneficio de la crisis de Ormuz como si fuera a durar, y la curva de futuros y la historia dicen que no. El motor sugiere convicción baja porque, con la prima de riesgo del mercado, el valor intrínseco da un −9,8 %, al borde del umbral de Vender; nos apartamos porque decide la regla a 12 meses, a 15 puntos de su umbral. No es alta porque el momento de la normalización no tiene fecha: si el Brent se queda por encima de 90 USD en 2027 la tesis se retrasa; la subiría un acuerdo sobre Ormuz o un Brent por debajo de 80 USD durante un mes.</w:t>
      </w:r>
    </w:p>
    <w:p>
      <w:pPr>
        <w:spacing w:after="100"/>
      </w:pPr>
      <w:r>
        <w:rPr>
          <w:b/>
        </w:rPr>
        <w:t xml:space="preserve">El negocio.</w:t>
      </w:r>
      <w:r>
        <w:t xml:space="preserve"> Una de las mejores petroleras integradas: coste de 5 USD/b, producción +3,9 % en 2025, ROACE del 13,9 % y gearing del 13,1 % [5, 6]. Pero es una productora de materias primas: el ROIC del informe (8,4 %) no supera al WACC del 9,39 % y el ROACE de la empresa lo supera en 4,5 puntos, por debajo de los 5 que pedimos. La sostenibilidad del crecimiento es «Sí» porque la proyección casi no crece (volumen +2-3 % al año con proyectos ya aprobados); lo que no es sostenible es el beneficio de 2026.</w:t>
      </w:r>
    </w:p>
    <w:p>
      <w:pPr>
        <w:spacing w:after="100"/>
      </w:pPr>
      <w:r>
        <w:rPr>
          <w:b/>
        </w:rPr>
        <w:t xml:space="preserve">Sector y ciclo.</w:t>
      </w:r>
      <w:r>
        <w:t xml:space="preserve"> Estamos en un pico por choque de oferta: Brent de 106 USD, margen de refino europeo de 12,4 USD/b en el 1S26 (×2,9) y gasóleo en máximos [5, 21]. El futuro de diciembre de 2028 está en 78,3 USD. Tras el pico de 2022 el beneficio cayó un 36 % en tres años.</w:t>
      </w:r>
    </w:p>
    <w:p>
      <w:pPr>
        <w:spacing w:after="100"/>
      </w:pPr>
      <w:r>
        <w:rPr>
          <w:b/>
        </w:rPr>
        <w:t xml:space="preserve">Finanzas.</w:t>
      </w:r>
      <w:r>
        <w:t xml:space="preserve"> En los doce meses a junio ganó 17.837 M (13.127 M en 2025) y el BPA de consenso de 2026 es de 12,07 USD [10]. El balance es fuerte y la retribución, generosa: dividendo +5 % al año hasta 2030 y recompras de 2.500 M en el 4T26 [23]. Las partidas especiales restan unos 2.500 M al año al beneficio NIIF [6].</w:t>
      </w:r>
    </w:p>
    <w:p>
      <w:pPr>
        <w:spacing w:after="100"/>
      </w:pPr>
      <w:r>
        <w:rPr>
          <w:b/>
        </w:rPr>
        <w:t xml:space="preserve">Valoración.</w:t>
      </w:r>
      <w:r>
        <w:t xml:space="preserve"> El DCF da 61,73 USD y descuenta que el precio pide un crecimiento del 4,6 % anual frente al −0,3 % de nuestro base: el mercado supone un Brent de 85-90 USD sostenido. Los comparables, a 8,1 veces el beneficio de los próximos doce meses, la valoran más alto (97-128 USD), pero sobre beneficios de pico. La regla de múltiplos pone 9,7 veces sobre nuestro BPA de 2028e de 7,14 USD, un 26 % por debajo del consenso (9,59), sobre todo por la base (NIIF frente a ajustado), el precio del crudo y las recompras no anunciadas.</w:t>
      </w:r>
    </w:p>
    <w:p>
      <w:pPr>
        <w:spacing w:after="100"/>
      </w:pPr>
      <w:r>
        <w:rPr>
          <w:b/>
        </w:rPr>
        <w:t xml:space="preserve">Riesgos y catalizadores.</w:t>
      </w:r>
      <w:r>
        <w:t xml:space="preserve"> El riesgo de la tesis es que la crisis deje un suelo de precios alto (escenario alcista: 86,79 USD, aún −3,5 %). Lo que juega a favor de la tesis: la reapertura de Ormuz, la ola de GNL de 2027 y los impuestos extraordinarios en Europa. Resultados del 3T26 el 29-oct, que serán récord y ya se esperan [26]. Los foros son optimistas y no hablan de normalización.</w:t>
      </w:r>
    </w:p>
    <w:p>
      <w:pPr>
        <w:spacing w:after="100"/>
      </w:pPr>
      <w:r>
        <w:rPr>
          <w:b/>
        </w:rPr>
        <w:t xml:space="preserve">Qué cambiaría la decisión.</w:t>
      </w:r>
      <w:r>
        <w:t xml:space="preserve"> Comprar por debajo de 58,53 USD (52,22 EUR); mantener entre 58,53 y 74,79 USD (52,22 y 66,73 EUR); vender por encima de 74,79 USD (66,73 EUR). Cambiaríamos si el Brent de diciembre de 2028 sube por encima de 85 USD, si la empresa demuestra un margen de refino estructural por encima de 9 USD/b o si el ROACE se mantiene por encima del 14,5 % con el Brent por debajo de 80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63,48 USD (56,64 EUR)</w:t>
      </w:r>
      <w:r>
        <w:t xml:space="preserve"> (rentabilidad -25,1 % (base -18,7 %)) · Valor intrínseco: 70,02 USD (62,47 EUR) (-22,1 % sobre 89,90) · con la prima implícita del mercado: 77,29 (68,96 EUR) (-14,0 %)</w:t>
      </w:r>
    </w:p>
    <w:p>
      <w:pPr>
        <w:spacing w:after="100"/>
      </w:pPr>
      <w:r>
        <w:t xml:space="preserve">TotalEnergies es una de las petroleras integradas mejor gestionadas del mundo: coste de producción de 5 USD/b, segundo operador privado de GNL, crecimiento de la producción del 3-4 % al año y el mayor ROACE de las grandes europeas (13,9 %) con un gearing del 13,1 % [5, 6]. Ganó 13.127 M en 2025 y 11.248 M solo en el 1S26, gracias al conflicto de Oriente Medio y al cierre parcial de Ormuz.</w:t>
      </w:r>
    </w:p>
    <w:p>
      <w:pPr>
        <w:spacing w:after="100"/>
      </w:pPr>
      <w:r>
        <w:t xml:space="preserve">El precio de 89,90 USD (80,21 EUR) descuenta, según el DCF inverso, un crecimiento del 4,6 % anual en los próximos años frente al −0,3 % de nuestro caso base: supone que el Brent y los márgenes de refino se quedan cerca de los niveles de la crisis. A 7,4 veces el BPA de consenso de 2026 parece barata, pero a 10,7 veces nuestro BPA de 2027 y 12,6 veces el de 2028 está por encima de su historia (mediana de 7,2 veces con el BPA del año siguiente).</w:t>
      </w:r>
    </w:p>
    <w:p>
      <w:pPr>
        <w:spacing w:after="100"/>
      </w:pPr>
      <w:r>
        <w:t xml:space="preserve">El mercado acierta en la calidad y se equivoca en la duración: la curva de futuros ya pone el Brent en 78 USD a finales de 2028 [21] y tras el pico de 2022 el beneficio cayó un 36 % en tres años. Para invertir hay que creer que el choque de oferta deja un suelo de 85-90 USD durante años; nosotros no lo creemos.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 USD (56,64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5,61 = 32,54 · 9,7x × 7,14 = 69,26 · 9,7x × 8,54 = 82,84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 / -18,7 %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98,73 (nuestro base -29,8 %)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70,02 USD (62,47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(EUR al tipo de 1,1208 USD por EUR)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89,90 USD (80,21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 -58,4 %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9,4 %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77,29 USD (68,96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(-9,8 %)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58,53 (52,22 EUR)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58,53 y 74,79 (52,22 y 66,73 EUR)</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74,79 (66,73 EUR)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74,79 USD (66,73 EUR): pasaría a Mantener; por debajo de 58,53 USD (52,22 EUR), a Comprar si la calidad lo permitiera.</w:t>
      </w:r>
    </w:p>
    <w:p>
      <w:pPr>
        <w:pStyle w:val="ListParagraph"/>
        <w:numPr>
          <w:ilvl w:val="0"/>
          <w:numId w:val="2"/>
        </w:numPr>
        <w:spacing w:after="60"/>
      </w:pPr>
      <w:r>
        <w:t xml:space="preserve">Futuro del Brent de diciembre de 2028 por encima de 85 USD durante un mes: revisaríamos el base al alza.</w:t>
      </w:r>
    </w:p>
    <w:p>
      <w:pPr>
        <w:pStyle w:val="ListParagraph"/>
        <w:numPr>
          <w:ilvl w:val="0"/>
          <w:numId w:val="2"/>
        </w:numPr>
        <w:spacing w:after="60"/>
      </w:pPr>
      <w:r>
        <w:t xml:space="preserve">Margen de refino europeo por encima de 9 USD/b en el 2T27, con Ormuz abierto: el refino sería estructural.</w:t>
      </w:r>
    </w:p>
    <w:p>
      <w:pPr>
        <w:pStyle w:val="ListParagraph"/>
        <w:numPr>
          <w:ilvl w:val="0"/>
          <w:numId w:val="2"/>
        </w:numPr>
        <w:spacing w:after="60"/>
      </w:pPr>
      <w:r>
        <w:t xml:space="preserve">ROACE por encima del 14,5 % con el Brent por debajo de 80 USD: pasaría el requisito de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de 2028 en torno a 9,6 USD por acción (consenso ajustado), un 39 % por encima del de 2025, porque el Brent y el refino se quedan altos y las recompras siguen; con ese beneficio la acción cotiza a 9,4 veces, barata frente a ExxonMobil y Chevron.</w:t>
      </w:r>
    </w:p>
    <w:p>
      <w:pPr>
        <w:keepNext/>
        <w:spacing w:after="100"/>
      </w:pPr>
      <w:r>
        <w:rPr>
          <w:b/>
          <w:bCs/>
        </w:rPr>
        <w:t xml:space="preserve">Lo que creemos nosotros.</w:t>
      </w:r>
    </w:p>
    <w:p>
      <w:pPr>
        <w:spacing w:after="100"/>
      </w:pPr>
      <w:r>
        <w:t xml:space="preserve">Un BPA NIIF de 7,14 USD en 2028, entre el de 2024 y el de 2025 más el crecimiento de los proyectos, con el Brent a 75-80 USD y el refino a 6-7 USD/b; a 9,7 veces da 69 USD, un 19 % por debajo del precio, más un 4,5 % de dividendo.</w:t>
      </w:r>
    </w:p>
    <w:p>
      <w:pPr>
        <w:keepNext/>
        <w:spacing w:after="100"/>
      </w:pPr>
      <w:r>
        <w:rPr>
          <w:b/>
          <w:bCs/>
        </w:rPr>
        <w:t xml:space="preserve">Por qué podemos tener razón.</w:t>
      </w:r>
    </w:p>
    <w:p>
      <w:pPr>
        <w:spacing w:after="100"/>
      </w:pPr>
      <w:r>
        <w:t xml:space="preserve">Los choques de oferta se corrigen con más oferta y menos demanda: 2008, 2014 y 2022. La propia empresa planifica con 60-70 USD [22] y la curva de futuros ya baja 28 USD en dos años [21].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Coste bajo y crecimiento</w:t>
      </w:r>
      <w:r>
        <w:t xml:space="preserve">: 5 USD/b de coste operativo y +3 % de producción al año hasta 2030 [6, 23].</w:t>
      </w:r>
    </w:p>
    <w:p>
      <w:pPr>
        <w:pStyle w:val="ListParagraph"/>
        <w:numPr>
          <w:ilvl w:val="0"/>
          <w:numId w:val="2"/>
        </w:numPr>
        <w:spacing w:after="60"/>
      </w:pPr>
      <w:r>
        <w:rPr>
          <w:b/>
        </w:rPr>
        <w:t xml:space="preserve">Balance</w:t>
      </w:r>
      <w:r>
        <w:t xml:space="preserve">: gearing del 13,1 % y objetivo por debajo del 10 % a final de 2026 [5, 23].</w:t>
      </w:r>
    </w:p>
    <w:p>
      <w:pPr>
        <w:pStyle w:val="ListParagraph"/>
        <w:numPr>
          <w:ilvl w:val="0"/>
          <w:numId w:val="2"/>
        </w:numPr>
        <w:spacing w:after="60"/>
      </w:pPr>
      <w:r>
        <w:rPr>
          <w:b/>
        </w:rPr>
        <w:t xml:space="preserve">Retribución</w:t>
      </w:r>
      <w:r>
        <w:t xml:space="preserve">: dividendo +5 % al año hasta 2030 y recompras de 2.500 M en el 4T26 [23].</w:t>
      </w:r>
    </w:p>
    <w:p>
      <w:pPr>
        <w:pStyle w:val="ListParagraph"/>
        <w:numPr>
          <w:ilvl w:val="0"/>
          <w:numId w:val="2"/>
        </w:numPr>
        <w:spacing w:after="60"/>
      </w:pPr>
      <w:r>
        <w:rPr>
          <w:b/>
        </w:rPr>
        <w:t xml:space="preserve">Mejor ROACE de las grandes</w:t>
      </w:r>
      <w:r>
        <w:t xml:space="preserve">: 13,9 % en los doce meses a junio de 2026 [5].</w:t>
      </w:r>
    </w:p>
    <w:p>
      <w:pPr>
        <w:pStyle w:val="ListParagraph"/>
        <w:numPr>
          <w:ilvl w:val="0"/>
          <w:numId w:val="2"/>
        </w:numPr>
        <w:spacing w:after="60"/>
      </w:pPr>
      <w:r>
        <w:rPr>
          <w:b/>
        </w:rPr>
        <w:t xml:space="preserve">Electricidad y GNL</w:t>
      </w:r>
      <w:r>
        <w:t xml:space="preserve">: contratos con Google para centros de datos y demanda de gas sostenida [6].</w:t>
      </w:r>
    </w:p>
    <w:p>
      <w:pPr>
        <w:pStyle w:val="Heading2"/>
      </w:pPr>
      <w:r>
        <w:t xml:space="preserve">En contra</w:t>
      </w:r>
    </w:p>
    <w:p>
      <w:pPr>
        <w:pStyle w:val="ListParagraph"/>
        <w:numPr>
          <w:ilvl w:val="0"/>
          <w:numId w:val="2"/>
        </w:numPr>
        <w:spacing w:after="60"/>
      </w:pPr>
      <w:r>
        <w:rPr>
          <w:b/>
        </w:rPr>
        <w:t xml:space="preserve">Beneficio de pico</w:t>
      </w:r>
      <w:r>
        <w:t xml:space="preserve">: el BPA de consenso de 2026 (12,07 USD) duplica el de 2025 (5,78) [10].</w:t>
      </w:r>
    </w:p>
    <w:p>
      <w:pPr>
        <w:pStyle w:val="ListParagraph"/>
        <w:numPr>
          <w:ilvl w:val="0"/>
          <w:numId w:val="2"/>
        </w:numPr>
        <w:spacing w:after="60"/>
      </w:pPr>
      <w:r>
        <w:rPr>
          <w:b/>
        </w:rPr>
        <w:t xml:space="preserve">Curva de futuros</w:t>
      </w:r>
      <w:r>
        <w:t xml:space="preserve">: el Brent de diciembre de 2028 cotiza a 78,3 USD frente a 106 hoy [21].</w:t>
      </w:r>
    </w:p>
    <w:p>
      <w:pPr>
        <w:pStyle w:val="ListParagraph"/>
        <w:numPr>
          <w:ilvl w:val="0"/>
          <w:numId w:val="2"/>
        </w:numPr>
        <w:spacing w:after="60"/>
      </w:pPr>
      <w:r>
        <w:rPr>
          <w:b/>
        </w:rPr>
        <w:t xml:space="preserve">DCF inverso exigente</w:t>
      </w:r>
      <w:r>
        <w:t xml:space="preserve">: el precio pide un 4,6 % de crecimiento anual frente al −0,3 % del base.</w:t>
      </w:r>
    </w:p>
    <w:p>
      <w:pPr>
        <w:pStyle w:val="ListParagraph"/>
        <w:numPr>
          <w:ilvl w:val="0"/>
          <w:numId w:val="2"/>
        </w:numPr>
        <w:spacing w:after="60"/>
      </w:pPr>
      <w:r>
        <w:rPr>
          <w:b/>
        </w:rPr>
        <w:t xml:space="preserve">Recompra en el pico</w:t>
      </w:r>
      <w:r>
        <w:t xml:space="preserve">: de 750 M en el 1T26 a 2.500 M en el 4T26 con la acción en máximos [22, 23].</w:t>
      </w:r>
    </w:p>
    <w:p>
      <w:pPr>
        <w:pStyle w:val="ListParagraph"/>
        <w:numPr>
          <w:ilvl w:val="0"/>
          <w:numId w:val="2"/>
        </w:numPr>
        <w:spacing w:after="60"/>
      </w:pPr>
      <w:r>
        <w:rPr>
          <w:b/>
        </w:rPr>
        <w:t xml:space="preserve">Riesgo político</w:t>
      </w:r>
      <w:r>
        <w:t xml:space="preserve">: rebajas de precios en Francia y posibles impuestos extraordinarios [26].</w:t>
      </w:r>
    </w:p>
    <w:p>
      <w:pPr>
        <w:pStyle w:val="Heading2"/>
      </w:pPr>
      <w:r>
        <w:t xml:space="preserve">Qué tiene que pasar para que la tesis funcione</w:t>
      </w:r>
    </w:p>
    <w:p>
      <w:pPr>
        <w:spacing w:after="100"/>
      </w:pPr>
      <w:r>
        <w:t xml:space="preserve">La tesis depende de que el precio del crudo y los márgenes de refino vuelvan a niveles de 2024-2025 en 2027-2028. La señal de que no se cumple: un futuro del Brent de diciembre de 2028 por encima de 85 USD, un margen de refino europeo por encima de 9 USD/b durante dos trimestres después de reabrirse Ormuz o la producción de Catar sin volver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(futuro dic-2028)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normalización que supone la tesis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europeo (ERM)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USD/b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USD/b con Ormuz abierto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estructural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hidrocarburos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 kbep/d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kbep/d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Oriente Medio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a lo largo del ciclo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 M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que la empresa cree del precio [23].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 / 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TotalEnergies nace en 1924 como Compagnie Française des Pétroles, creada por el Estado francés para explotar la participación de Francia en el petróleo de Irak. Se convierte en Total en los años noventa, compra Petrofina (1999) y Elf Aquitaine (2000) y forma una de las cinco grandes del sector. Desde 2014 la dirige Patrick Pouyanné, que la reorientó hacia el gas natural licuado (compra del GNL de Engie en 2018 y de Anadarko en Mozambique) y la electricidad, y la rebautizó TotalEnergies en 2021. Salió de Rusia tras 2022 con fuertes deterioros. En diciembre de 2025 sus acciones ordinarias empezaron a cotizar en la Bolsa de Nueva York, sustituyendo a los ADR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Compagnie Française des Pétroles.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Petrofina y fusión con Elf Aquitaine.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Pouyanné, consejero delegado; presidente desde 2015.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GNL de Engie: segundo operador privado de GNL del mundo.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TotalEnergies; estrategia de electricidad.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Rusia; deterioros y BPA récord por la guerra de Ucrania.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directa en la Bolsa de Nueva York (8-dic-2025)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Conflicto en Oriente Medio desde el 28-feb: parada de Catar, Irak y Emiratos; compra del 50 % de la generación flexible de EPH, en acciones [5].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TotalEnergies produce petróleo y gas (2,47 millones de barriles equivalentes al día en el 1S26), los licúa y vende como GNL, refina crudo y vende carburantes, lubricantes y electricidad [5]. Tiene cinco segmentos: Exploración y Producción (campos en Brasil, EE. UU., Noruega, Angola, Nigeria, Libia y Oriente Medio), GNL integrado (Catar, Mozambique, EE. UU., Australia), Electricidad integrada (renovables, centrales de gas flexibles y comercialización), Refino y Química (refinerías en Europa, la de SATORP en Arabia Saudí con Aramco) y Marketing y Servicios (estaciones de servicio). Los clientes van desde grandes eléctricas y distribuidores hasta conductores; los productos son materias primas con precio de mercado.</w:t>
      </w:r>
    </w:p>
    <w:p>
      <w:pPr>
        <w:pStyle w:val="Heading2"/>
      </w:pPr>
      <w:r>
        <w:t xml:space="preserve">Cómo gana dinero</w:t>
      </w:r>
    </w:p>
    <w:p>
      <w:pPr>
        <w:spacing w:after="100"/>
      </w:pPr>
      <w:r>
        <w:t xml:space="preserve">El beneficio depende sobre todo del precio: cada 10 USD de Brent mueven el resultado operativo ajustado unos 2.300 M y el flujo de caja 2.800 M; 1 USD/b de margen de refino europeo, 300-400 M; 2 USD/Mbtu de gas europeo, 400 M [5]. Lo que controla la empresa es el coste (5 USD/b de coste operativo en 2025) y el volumen (+3,9 % en 2025) [6]. El GNL tiene contratos a largo plazo indexados al crudo con retraso de 3-6 meses, por eso el precio del GNL sube después del crudo. La electricidad aporta un resultado más estable (unos 2.100 M al año) con margen bajo. No hay estacionalidad relevante salvo el gas en invierno.</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GNL integrado</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Electricidad integrada</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y Química</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Marketing y Servicios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GNL integrado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Electricidad integrada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y Química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Marketing y Servicios</w:t>
            </w:r>
          </w:p>
        </w:tc>
      </w:tr>
    </w:tbl>
    <w:p>
      <w:pPr>
        <w:spacing w:after="160" w:before="0"/>
      </w:pPr>
    </w:p>
    <w:p>
      <w:pPr>
        <w:pStyle w:val="Heading2"/>
      </w:pPr>
      <w:r>
        <w:t xml:space="preserve">Clientes, recurrencia y poder de precios</w:t>
      </w:r>
    </w:p>
    <w:p>
      <w:pPr>
        <w:spacing w:after="100"/>
      </w:pPr>
      <w:r>
        <w:t xml:space="preserve">No hay concentración de clientes: el petróleo, el gas y los productos se venden en mercados líquidos, y la empresa no publica clientes de más del 10 % de las ventas. El poder de precios es nulo en el upstream (precio internacional) y limitado en las estaciones de servicio, donde además hay presión política: en octubre de 2026 el consejero delegado prometió rebajas del gasóleo en Francia [26]. En electricidad firma contratos largos con grandes consumidores, como los 30 TWh a 15 años con Google para centros de datos en EE. UU.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hidrocarburos (kbep/d)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restó 210 kbep/d en el 2T26; sin él, +4 %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(USD/b)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103,8 en el 2T26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europeo ERM (USD/b)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Máximos históricos por Rusia y Oriente Medio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del GNL (USD/Mbtu)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Indexado con retraso: &gt;11,5 en el 3T26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ROACE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Gearing (sin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&lt; 10 % a final de 2026 [5, 23].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las grandes petroleras integradas: producción de petróleo y gas, GNL, refino y comercialización, con precios internacionales (Brent, TTF, JKM) y márgenes de refino como variables. No se da un tamaño del mercado en millones: el petróleo y el gas son mercados de decenas de millones de barriles diarios en los que TotalEnergies tiene menos del 3 %, y la cifra que importa es el precio. Las referencias son el Brent, los márgenes de refino y el precio del GNL de las propias publicaciones de la empresa [5,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(en GNL y refino; fragmentada en producción)</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crudo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USD en 2025, 92,3 en el 1S26 y 106 en octubre de 2026; futuro de diciembre de 2028 a 78,3 USD [5, 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refino (gasóleo)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ERM de 12,4 USD/b en el 1S26 frente a 4,3 en el 1S25; gasóleo de calefacción de NY a 4,7 USD/galón [5,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GNL en Europa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Catar es cerca del 20 % del mercado mundial de GNL y su parada sostiene el TTF en 16-20 USD/Mbtu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eléctrica neta de 48 TWh en 2025 (+17 %) y contratos con Google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energética y regulación del CO₂</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climático en París (25-jun-2026) y presión sobre el alcance 3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homogéneos con precio de mercado; la rivalidad está en el coste y en el acceso a recursos.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compran a precio internacional; en carburantes, presión política sobre los precios en Francia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Estados productores fijan impuestos y contratos (tipo efectivo del 40 %); la OPEP+ fija la oferta.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miles de millones y décadas: la escala es una barrera.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Vehículo eléctrico y renovables a largo plazo; la empresa se cubre con la electricidad.</w:t>
            </w:r>
          </w:p>
        </w:tc>
      </w:tr>
    </w:tbl>
    <w:p>
      <w:pPr>
        <w:spacing w:after="160" w:before="0"/>
      </w:pPr>
    </w:p>
    <w:p>
      <w:pPr>
        <w:pStyle w:val="Heading2"/>
      </w:pPr>
      <w:r>
        <w:t xml:space="preserve">Ciclo</w:t>
      </w:r>
    </w:p>
    <w:p>
      <w:pPr>
        <w:spacing w:after="100"/>
      </w:pPr>
      <w:r>
        <w:t xml:space="preserve">Estamos en un pico de precios provocado por un choque de oferta (Ormuz), no por demanda: Brent de 106 USD, gasóleo y refino en máximos, inventarios mínimos [5, 21]. La curva de futuros ya descuenta la bajada (78 USD a finales de 2028). En 2008-09 el Brent cayó de 140 a 40 USD en seis meses; en 2020 las petroleras perdieron dinero (TotalEnergies −7.242 M); tras el pico de 2022 el beneficio de la empresa cayó un 36 % en tres años [1, 2, 3, 4].</w:t>
      </w:r>
    </w:p>
    <w:p>
      <w:pPr>
        <w:pStyle w:val="Heading2"/>
      </w:pPr>
      <w:r>
        <w:t xml:space="preserve">Regulación</w:t>
      </w:r>
    </w:p>
    <w:p>
      <w:pPr>
        <w:spacing w:after="100"/>
      </w:pPr>
      <w:r>
        <w:t xml:space="preserve">Impuestos extraordinarios sobre los beneficios de las energéticas, como la contribución de solidaridad de la UE de 2022, que pueden volver con el gasóleo caro; presión del Gobierno francés sobre los precios de los carburantes [26]. Ley francesa de deber de vigilancia: el 25-jun-2026 el tribunal de París obligó a la empresa a incluir el alcance 3 en su plan; recurre [5]. Comercio de emisiones europeo y metano: objetivo de −80 % de metano en 2030 [23].</w:t>
      </w:r>
    </w:p>
    <w:p>
      <w:pPr>
        <w:pStyle w:val="Heading2"/>
      </w:pPr>
      <w:r>
        <w:t xml:space="preserve">Tendencias y disrupción</w:t>
      </w:r>
    </w:p>
    <w:p>
      <w:pPr>
        <w:spacing w:after="100"/>
      </w:pPr>
      <w:r>
        <w:t xml:space="preserve">La demanda de petróleo se acerca a su meseta, la de gas y GNL sigue creciendo y la electricidad crece un 3-4 % al año con los centros de datos y la electrificación. TotalEnergies gana con el gas y la electricidad (+20 % al año de generación hasta 2030) y pierde menos que las demás con el petróleo porque su producción es de coste bajo [23]. La inteligencia artificial se usa en exploración (acuerdo con Mistral, sep-2026) [26].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Cuarta o quinta petrolera privada del mundo por producción y segundo operador privado de GNL (dato de la empresa); mayor ROACE de las grandes en 2022-2025 según la propia empresa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ExxonMobil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361.060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esquisto en Permian y Guyana; PER de 13,4 veces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Chevron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Esquisto y Hess (Guyana); PER de 12,2 veces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comerciante de GNL; recortó la recompra en 2026 [16,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endeudada; suspendió las recompras en 2026 [17,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GNL en África; ROIC del 5,9 %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 del mar del Norte para Europa; controlada por el Estado noruego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productora de materias primas.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GNL y de electricidad a largo plazo (Google, 15 años) [P6]; en carburantes, ninguno.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exploración y concesiones largas (Waha hasta 2050, Mozambique, Catar) [P6].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operativo de 5 USD/b y ROACE del 12,6-13,9 %, por encima de sus pares europeos [P5, P6].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GNL y de aguas profundas que solo pueden hacer 6-8 empresas en el mundo.</w:t>
            </w:r>
          </w:p>
        </w:tc>
      </w:tr>
    </w:tbl>
    <w:p>
      <w:pPr>
        <w:spacing w:after="160" w:before="0"/>
      </w:pPr>
    </w:p>
    <w:p>
      <w:pPr>
        <w:pStyle w:val="Heading2"/>
      </w:pPr>
      <w:r>
        <w:t xml:space="preserve">Amenazas</w:t>
      </w:r>
    </w:p>
    <w:p>
      <w:pPr>
        <w:spacing w:after="100"/>
      </w:pPr>
      <w:r>
        <w:t xml:space="preserve">Lo que puede erosionar el diferencial: la caída del precio del crudo (que afecta a todos pero más a quien tiene refino y GNL indexado), los impuestos extraordinarios en Europa, la competencia de la ola de GNL estadounidense y catarí desde 2027, y la presión regulatoria por el clima en Francia. La probabilidad de que el ROACE vuelva al 10-12 % en 2027-28 es 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spacing w:after="100"/>
      </w:pPr>
      <w:r>
        <w:t xml:space="preserve">Crecimiento anual compuesto 2020-2025: ingresos </w:t>
      </w:r>
      <w:r>
        <w:rPr>
          <w:b/>
          <w:bCs/>
        </w:rPr>
        <w:t xml:space="preserve">8,8 %</w:t>
      </w:r>
      <w:r>
        <w:t xml:space="preserve">, EBITDA </w:t>
      </w:r>
      <w:r>
        <w:rPr>
          <w:b/>
          <w:bCs/>
        </w:rPr>
        <w:t xml:space="preserve">16,5 %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siguen al crudo: 119.704 M en 2020 (Brent de 42 USD), 263.310 M en 2022 (guerra de Ucrania) y 182.344 M en 2025 con el Brent a 69,1 USD [1, 6]. El margen EBITDA (sin otros ingresos y gastos) fue del 13,3 % en 2020, del 23,8 % en 2022 y del 18,8 % en 2025: la variación la explican casi enteros el precio del crudo y del gas y el margen de refino (ERM de 5,3 USD/b en 2024 frente a 7,1 en 2025) [6]. La producción crece por proyectos: +3,9 % en 2025 [6]. En el 1S26 el conflicto de Oriente Medio (desde el 28-feb-2026) cambió la cuenta: Brent de 92,3 USD de media, ERM de 12,4 USD/b, ingresos de 106.613 M (+15 %) y beneficio de 11.248 M (+72 %), aunque la producción bajó un 2 % por el cierre de Catar, Irak y Emiratos (210.000 bep/d perdidos en el 2T) [5]. Los deterioros van dentro de las amortizaciones (22.264 M en 2020) y las plusvalías y cargos de Rusia en «otros» (−4.495 M netos en 2022).</w:t>
      </w:r>
    </w:p>
    <w:p>
      <w:pPr>
        <w:pStyle w:val="Heading2"/>
      </w:pPr>
      <w:r>
        <w:t xml:space="preserve">Ajustes y partidas no recurrentes</w:t>
      </w:r>
    </w:p>
    <w:p>
      <w:pPr>
        <w:spacing w:after="100"/>
      </w:pPr>
      <w:r>
        <w:t xml:space="preserve">La empresa publica un resultado neto ajustado (sin efecto inventario, cambios de valor razonable y partidas especiales): 15.587 M en 2025 frente a 13.127 M NIIF, y 18.264 M frente a 15.758 M en 2024 [6]. La diferencia es de unos 2.500 M al año en 2024-25 y se repite (deterioros, reestructuraciones), por eso el informe trabaja con las cifras NIIF y el BPA NIIF; el consenso habla de BPA ajustado. En el EBITDA se sacan a no recurrentes los «otros ingresos» y «otros gastos» de explotación (plusvalías de venta de activos y deterioros: −448 M netos en 2025, +4.495 M en 2022 por Rusia). El resultado de participadas (2.553 M en 2025, sobre todo GNL) va en el resultado financiero.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Resultados del 2T26 (finales de julio) [5]: resultado ajustado de 6.027 M (+12 % sobre el 1T), con el Brent a 103,8 USD y el margen de refino europeo a 13,5 USD/b; la dirección destacó que los márgenes de refino están en «niveles históricamente altos» por la falta de capacidad rusa, la interrupción del suministro de Oriente Medio a Asia y unos inventarios mínimos, y que la producción en Oriente Medio sigue condicionada a poder exportar por Ormuz (impacto del 5-10 % de la producción en el 3T). Confirmó 15.000 M de inversión neta en 2026. En el día del inversor del 28-sep-2026 [23] cambió el tono hacia la retribución: dividendo +5 % al año hasta 2030, al menos el 40 % del flujo de caja para el accionista, endeudamiento (gearing) por debajo del 10 % a final de 2026 y recompras de 2.500 M en el 4T26 y de 2.000-2.500 M en el 1T27, frente a 750 M en el 1T26 con el Brent a 60 USD [22]. Lo que no contestó con cifras: cuánto del beneficio de 2026 es margen extraordinario de refino y de GNL que desaparecerá cuando Ormuz se normalice. El 15-oct-2026 anticipó un 3T con el flujo de refino unos 2.000 M por encima del 2T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El balance es sólido: deuda neta de 19.710 M sin arrendamientos y gearing del 13,1 % a junio de 2026, frente al 17,9 % un año antes, porque el flujo de caja de la crisis (14.219 M en el 1S26) cubrió inversión, dividendos y recompras [5]. El circulante comercial es negativo (−1,6 % de las ventas en 2025: proveedores de 38.065 M frente a existencias y clientes de 35.222 M), pero oscila con el precio: en el 1T26 absorbió 5.215 M por la subida de las existencias y en el 2T devolvió 1.054 M [5]. La empresa prevé un gearing por debajo del 10 % a final de 2026 [23].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2020-2025: FCF </w:t>
      </w:r>
      <w:r>
        <w:rPr>
          <w:b/>
          <w:bCs/>
        </w:rPr>
        <w:t xml:space="preserve">103.075</w:t>
      </w:r>
      <w:r>
        <w:t xml:space="preserve">, conversión </w:t>
      </w:r>
      <w:r>
        <w:rPr>
          <w:b/>
          <w:bCs/>
        </w:rPr>
        <w:t xml:space="preserve">130 %</w:t>
      </w:r>
      <w:r>
        <w:t xml:space="preserve"> del beneficio neto; adquisiciones 7.591, dividendos 48.257, recompras 35.021.</w:t>
      </w:r>
    </w:p>
    <w:p>
      <w:pPr>
        <w:spacing w:after="100"/>
      </w:pPr>
      <w:r>
        <w:t xml:space="preserve">El flujo operativo pasó de 14.803 M en 2020 a 47.367 M en 2022 y 27.343 M en 2025; la conversión del beneficio en caja es alta porque las amortizaciones (13.312 M) superan al beneficio en los años normales [1]. El capex en inmovilizado fue de 16.953 M en 2025 (9,3 % de las ventas) y la inversión neta de 17.091 M (37 % en nuevos proyectos de petróleo y gas y unos 3.500 M en bajas emisiones) [6]. En 2026 la empresa invierte 15.000 M netos y para 2027-2032 planea 14.000-17.000 M al año [5, 23]; tomamos como mantenimiento unos 10.000-11.000 M (las amortizaciones sin deterioros), estimación propia. Los pagos de arrendamientos no se separan en el XBRL (van dentro de la amortización de deuda); en el DCF el capex incluye las altas de derechos de uso.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cifras son las del XBRL ESEF del regulador y cuadran con las notas de prensa (beneficio de 13.127 M en 2025) [1, 6]. La calidad contable es buena pero con tres puntos que vigilar: (1) los deterioros y las plusvalías son frecuentes y grandes (otros gastos de 7.344 M en 2022 por Rusia; amortizaciones con deterioros de 22.264 M en 2020) y explican que el ajustado supere al NIIF en unos 2.500 M al año; (2) el efecto inventario (FIFO) infla el beneficio cuando sube el crudo y lo hunde cuando baja, por eso la empresa publica el coste de reposición; (3) los híbridos perpetuos se cuentan como patrimonio. El Altman Z de 2,15 es bajo por la estructura de activos pesados, no por riesgo de quiebra (rating alto, gearing del 13 %); el Piotroski de 5 refleja la caída del beneficio de 2025; el Beneish de −2,73 no indica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2.500 M al año entre el ajustado y el NIIF en 2024-25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FIFO: con el crudo al alza, el beneficio NIIF lleva ganancias de inventario que se revierten.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Híbridos como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11.500 M (estimación) que en el puente se tratan como deuda.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150.257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145.113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9,4 %.</w:t>
      </w:r>
    </w:p>
    <w:p>
      <w:pPr>
        <w:spacing w:after="100"/>
      </w:pPr>
      <w:r>
        <w:t xml:space="preserve">El ROIC del informe (resultado operativo después de impuestos sin participadas sobre todo el capital invertido, incluidas las participadas) es del 8,4 % en 2025, por debajo del WACC del 9,39 %. La medida de la empresa, el ROACE, que sí suma el resultado de participadas y usa el coste de reposición, fue del 12,6 % en 2025 y del 13,9 % en los doce meses a junio de 2026, la mejor de las grandes según la empresa [5, 6]; frente al WACC del informe deja un diferencial de 3,2-4,5 puntos. Con cualquiera de las dos medidas la empresa no supera al WACC en 5 puntos a lo largo del ciclo: crea algo de valor en los años de precios medios y mucho en los picos (2022). El ROE del 11,3 % en 2025 cuenta lo mismo. La rotación (0,63) es la de un negocio de activos pesados.</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de 27.678 M y activos financieros corrientes de 3.720 M a 30-jun-2026; deuda neta de 19.710 M y gearing del 13,1 % (17,9 % con arrendamientos)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Arrendamientos de 8.904 M a 30-jun-2026 [5]. Provisiones y otros pasivos no corrientes de 18.734 M (abandono y desmantelamiento de campos, medio ambiente) y prestaciones a empleados de 1.996 M [5]. Híbridos perpetuos subordinados: se contabilizan como patrimonio, pero pagan cupón (303 M en 2025) y se emitieron 1.500 M EUR más en febrero de 2026 al 3,79 % [1, 5]; en el puente van como deuda (estimación propia de 11.500 M). Litigios climáticos: el 25-jun-2026 el tribunal de París rechazó prohibir nuevos proyectos pero ordenó incluir el alcance 3 en el plan de vigilancia; la empresa recurre [5]. Mozambique LNG: fuerza mayor levantada en 2025 [6].</w:t>
      </w:r>
    </w:p>
    <w:p>
      <w:pPr>
        <w:pStyle w:val="Heading1"/>
      </w:pPr>
      <w:r>
        <w:t xml:space="preserve">12. Asignación de capital</w:t>
      </w:r>
    </w:p>
    <w:p>
      <w:pPr>
        <w:pStyle w:val="Confianza"/>
        <w:spacing w:after="100"/>
      </w:pPr>
      <w:r>
        <w:t xml:space="preserve">Confianza: Media</w:t>
      </w:r>
    </w:p>
    <w:p>
      <w:pPr>
        <w:spacing w:after="100"/>
      </w:pPr>
      <w:r>
        <w:t xml:space="preserve">Política vigente (28-sep-2026) [23]: dividendo con subidas de más del 5 % al año en 2026-2030 (3,40 EUR por 2025; 0,90 EUR por trimestre a cuenta de 2026, +5,9 %) [5, 6], al menos el 40 % del flujo de caja para el accionista y gearing por debajo del 10 %. Recompras: 7.500 M en 2025, 750 M en el 1T26, 1.500 M en el 2T y el 3T, 2.500 M en el 4T26 y 2.000-2.500 M en el 1T27 [5, 6, 22, 23]. Inversión neta de 14.000-17.000 M al año en 2027-2032, con unos 3.500 M en bajas emisiones.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de la generación flexible de EPH en Europa occidental (14 GW)</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(valorada en 5.100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29-abr-2026; puesta en equivalencia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del upstream británico con NEO NEXT (47,5 %)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30-mar-2026 [5].</w:t>
            </w:r>
          </w:p>
        </w:tc>
      </w:tr>
    </w:tbl>
    <w:p>
      <w:pPr>
        <w:spacing w:after="160" w:before="0"/>
      </w:pPr>
    </w:p>
    <w:p>
      <w:pPr>
        <w:spacing w:after="100"/>
      </w:pPr>
      <w:r>
        <w:t xml:space="preserve">La dirección asigna el capital con disciplina: entre 2021 y 2025 devolvió 41.600 M en dividendos y 34.400 M en recompras sin pasar de un gearing del 18 %, y la inversión se concentra en proyectos de bajo coste (5 USD/b) [1, 2, 3, 4, 6]. El punto débil es el ciclo: recompró 7.700-9.200 M al año en 2022-2024 a precios de 55-65 EUR y recortó a 750 M en el 1T26 con la acción en 67 EUR, justo antes de subir a 80; ahora sube la recompra en el pico. El pago en acciones de EPH (unos 70 M de acciones nuevas, estimación propia: 5.100 M EUR a unos 72 EUR) diluye; el ROIC del 8,4 % del informe no supera al WACC.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Pouyanné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1997 (exploración y producción, refino y química); consejero delegado desde 2014 y presidente desde 2015. Bajo su mandato, la empresa pasó a ser segundo operador privado de GNL y entró en la electricidad; 578.895 acciones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Jacques Aschenbroich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Orange; antes, consejero delegado de Valeo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+3 % o más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caja de electricidad de unos 2.500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2.600 M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neta de 15.000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Confirmada en julio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Pouyanné lleva doce años al frente, cumple la guía de producción y el consejo lo respaldó públicamente antes del día del inversor (25-sep-2026) [26]. El riesgo es la sucesión: su mandato de consejero vence en 2027 y no hay un sucesor anunciado. No se ha comprobado el resto del comité ejecutivo (director financiero) en esta revisión.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Pouyanné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RSE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Aschenbroich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ética (presidente), Remuneraciones,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Marie-Christine Coisne-Roquette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Lise Croteau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Marie-Ange Debon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Glenn Hubbard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Anelise Lara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Lee Bouygues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Dierk Paskert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Slawomir Krupa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Della Puppa-Tibi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(empleados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Romain Garcia-Ivaldi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Angel Pobo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Marie-Christine Coisne-Roquette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29-may-2026 aprobó la remuneración de 2025 del presidente y consejero delegado con el 92,80 % (7,20 % en contra) y la política de 2026 con el 91,33 % (8,67 % en contra) [7]. El variable a largo plazo son acciones de rendimiento ligadas, entre otros criterios, a la rentabilidad para el accionista y al ROACE frente a las demás grandes (dato de la política de remuneración, no releída en esta revisión). Las cifras de la remuneración de 2025 no se han comprobado (hueco).</w:t>
      </w:r>
    </w:p>
    <w:p>
      <w:pPr>
        <w:pStyle w:val="Heading2"/>
      </w:pPr>
      <w:r>
        <w:t xml:space="preserve">Operaciones vinculadas, estructura de control y defensas</w:t>
      </w:r>
    </w:p>
    <w:p>
      <w:pPr>
        <w:spacing w:after="100"/>
      </w:pPr>
      <w:r>
        <w:t xml:space="preserve">Sin accionista de control: capital disperso, con los empleados como accionista colectivo (un consejero los representa) [8]. Los estatutos dan derecho de voto doble a las acciones nominativas con más de dos años, como permite la ley francesa: por eso no es «una acción, un voto». Presidente y consejero delegado en la misma persona, compensado con un consejero coordinador independiente y comisiones mayoritariamente independientes (auditoría 75 %, remuneraciones 100 %) [8]. La renovación de la consejera Coisne-Roquette (15 años en el consejo) recibió un 17,9 % de votos en contra [7].</w:t>
      </w:r>
    </w:p>
    <w:p>
      <w:pPr>
        <w:pStyle w:val="Heading2"/>
      </w:pPr>
      <w:r>
        <w:t xml:space="preserve">Señales de alerta</w:t>
      </w:r>
    </w:p>
    <w:p>
      <w:pPr>
        <w:pStyle w:val="ListParagraph"/>
        <w:numPr>
          <w:ilvl w:val="0"/>
          <w:numId w:val="2"/>
        </w:numPr>
        <w:spacing w:after="60"/>
      </w:pPr>
      <w:r>
        <w:t xml:space="preserve">Presidente y consejero delegado en la misma persona desde 2015, con el mandato que vence en 2027 y sin sucesor anunciado.</w:t>
      </w:r>
    </w:p>
    <w:p>
      <w:pPr>
        <w:pStyle w:val="ListParagraph"/>
        <w:numPr>
          <w:ilvl w:val="0"/>
          <w:numId w:val="2"/>
        </w:numPr>
        <w:spacing w:after="60"/>
      </w:pPr>
      <w:r>
        <w:t xml:space="preserve">Litigios climáticos en Francia y Bélgica (deber de vigilancia, alcance 3), recurridos [5].</w:t>
      </w:r>
    </w:p>
    <w:p>
      <w:pPr>
        <w:pStyle w:val="ListParagraph"/>
        <w:numPr>
          <w:ilvl w:val="0"/>
          <w:numId w:val="2"/>
        </w:numPr>
        <w:spacing w:after="60"/>
      </w:pPr>
      <w:r>
        <w:t xml:space="preserve">17,9 % de votos en contra a la renovación de una consejera no independiente en 2026 [7].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inversión neta de 15.000 M; producción +3 % sin el efecto del conflicto (que resta un 5-10 % en el 3T); utilización de refinerías del 80-85 % en el 3T por SATORP; precio del GNL por encima de 11,5 USD/Mbtu en el 3T [5]. Plan a 2030 (28-sep-2026) [23]: producción de energía +4 % al año, petróleo y gas +3 % al año entre 2025 y 2030, electricidad +20 % al año hasta 100-120 TWh, flujo de caja libre +10.000 M de 2025 a 2030 con los mismos precios, dividendo +5 % al año (2026-2030), al menos el 40 % del flujo de caja para el accionista, gearing por debajo del 10 % y recompras de 2.500 M en el 4T26 y 2.000-2.500 M en el 1T27. En febrero, con el Brent a 60 USD, la guía de recompras era de 3.000-6.000 M para todo 2026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Solo una fuente con estimaciones completas (MarketScreener, 21 analistas) [10]. El BPA de 2026e de consenso (12,07 USD) duplica el de 2025 (5,78 NIIF; 6,89 ajustado) y el de 2028e (9,59) sigue un 39 % por encima del de 2025: los analistas han subido sus cifras con el Brent desde marzo y suponen una normalización lenta. El objetivo medio es de 98,73 USD (+9,8 %), con tendencia al alza en tres meses; JPMorgan rebajó a Neutral el 23-sep-2026 por valoración [26].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bl>
    <w:p>
      <w:pPr>
        <w:spacing w:after="160" w:before="0"/>
      </w:pPr>
    </w:p>
    <w:p>
      <w:pPr>
        <w:spacing w:after="100"/>
      </w:pPr>
      <w:r>
        <w:t xml:space="preserve">La acción ha subido un 44,3 % en el año y un 53,9 % en doce meses (rentabilidad de precio), frente al −2,6 % y −1,8 % del CAC 40 y en línea con el sector europeo (+41,5 % y +51,0 %) [9]. Toda la subida es el conflicto de Oriente Medio: el Brent pasó de 61 USD en diciembre de 2025 a 114 USD en abril, bajó a 73 en junio con la diplomacia sobre Ormuz y volvió a 106 USD en octubre [21]. A cinco años la acción rinde un 12,5 % anual frente al 3,4 % del CAC. La beta frente al CAC es muy baja (0,26 mensual): el petróleo va al revés que el índice en los choques de oferta. Posición corta del 0,22 % de las acciones [20].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+12,7 % / +6,9 % / +52,8 %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 +52,3 %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del 10 % en cada mes con el Brent de 61 a 71 USD por la tensión con Irán antes del conflicto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del conflicto en Oriente Medio el 28-feb-2026 y cierre parcial de Ormuz: Brent por encima de 100 USD y parada de la producción de Catar, Irak y Emiratos (15 % de la de la empresa) [5,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1-jul por la diplomacia sobre Ormuz: el Brent bajó de 114 USD en abril a 73 USD en junio [21]. Es el aviso de lo que pasa cuando se normaliza.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hasta el 30-jul con el Brent de vuelta a 90 USD y los resultados del 2T26 (ajustado de 6.027 M, +68 %) [5,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rebaja TotalEnergies a Neutral (por valoración, tras la subida) y sube BP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dividendo +5 % al año hasta 2030, retorno de al menos el 40 % del flujo de caja, recompras de 2.500 M en el 4T26 y 2.000-2.500 M en el 1T27 [23,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promete más rebajas de precios del carburante en Francia para aliviar el precio del gasóleo [26]: riesgo político de impuestos extraordinarios o topes, como en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3T26: el flujo de caja de refino sube unos 2.000 M sobre el 2T por márgenes casi cuatro veces mayores [26]. Resultados el 29-oct-2026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tribunal de París rechaza prohibir nuevos proyectos de petróleo y gas pero obliga a incluir el alcance 3 en el plan de vigilancia; la empresa recurre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a un 1 % de su máximo de cinco años, un 10,5 % por encima de la media de 200 sesiones y con tendencia alcista; no salta ningún aviso P1-P5. El movimiento lo explica el precio del crudo y del gasóleo por el conflicto de Ormuz, que es justo lo que la tesis normaliza. No hay colocaciones, ampliaciones (la de la compra de EPH ya se hizo en abril, en acciones), ventas de directivos relevantes ni decisiones con fecha que puedan mover el precio más de un 5 % aparte de los resultados del 29-oct, que no aplazan nada (regla 11). Veredicto: no cambia la señal.</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Con el BPA del año siguiente, TotalEnergies ha cotizado entre 5,8 y 10,2 veces (mediana de 5 años de 7,2): siempre barata, porque el mercado descuenta beneficios de pico. El PER adelantado sube cuando el beneficio cae (10,2 veces al cierre de 2023 sobre el BPA de 2024) y baja en los picos (5,8 veces al cierre de 2025 sobre nuestro BPA de 2026). Hoy cotiza a 10,7 veces nuestro BPA de 2027e y a 7,4 veces el BPA de consenso de 2026 [10]: el mercado ya no paga el pico, pero sí da por bueno un beneficio normalizado por encima del nuestro.</w:t>
      </w:r>
    </w:p>
    <w:p>
      <w:pPr>
        <w:pStyle w:val="Heading1"/>
      </w:pPr>
      <w:r>
        <w:t xml:space="preserve">18. Comparables cotizados</w:t>
      </w:r>
    </w:p>
    <w:p>
      <w:pPr>
        <w:pStyle w:val="Confianza"/>
        <w:spacing w:after="100"/>
      </w:pPr>
      <w:r>
        <w:t xml:space="preserve">Confianza: Media</w:t>
      </w:r>
    </w:p>
    <w:p>
      <w:pPr>
        <w:spacing w:after="100"/>
      </w:pPr>
      <w:r>
        <w:t xml:space="preserve">Las cinco grandes integradas (ExxonMobil, Chevron, Shell, BP) más Eni y Equinor, las dos europeas con más peso en gas y GNL. Mismo modelo (producción, GNL, refino y comercialización), todas con capitalización por encima de 80.000 M USD y cifras de la misma fuente y del mismo día [14, 15, 16, 17, 18, 19]. Las estadounidenses cotizan con prima estructural (PER de 12-13 veces) por su mayor peso en esquisto de ciclo corto, la recompra masiva y el mercado de capitales de EE. UU.; las europeas, entre 7,6 y 9,4. No se incluye Repsol ni Galp por tamaño. El PER de los comparables es el ajustado de los próximos 12 meses, que incluye el pico de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ExxonMobil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Chevron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 / 6,7x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9,2x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196.382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 1,1x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TotalEnergies cotiza a 5,3 veces el EBITDA de los últimos doce meses y 8,1 veces el beneficio de los próximos doce, en la zona de las europeas (Shell 5,8 y 9,1; Eni 7,5 y 9,4; BP 4,5 y 7,6) y muy por debajo de ExxonMobil (11,1 y 13,4) y Chevron (9,2 y 12,2) [14, 15, 16, 17, 18, 19]. Su ROACE del 13,9 % es el más alto de las europeas [5] y su deuda es baja (0,7 veces el EBITDA), así que el descuento frente a las estadounidenses no se explica por calidad, sino por la cotización en Europa y el mayor peso de refino y GNL, más cíclicos. Los múltiplos de los próximos doce meses están hinchados por el pico: aplicarlos a un beneficio de pico (el valor por PER de comparables da 97-128 USD) sobrevalora la empresa; por eso los comparables pesan solo un 20 %.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Año base 2025: 182.344 M de ingresos con el Brent a 69,1 USD [6]. 2026e: +24 % (fijo: con dos trimestres publicados, el 1S26 ya da +15 % y el 3T y el 4T van con el Brent por encima de 90-105 USD y el gasóleo en máximos) [5, 21]. 2027e y 2028e: −8 % y −8 %, que llevan los ingresos a 191.370 M, un 5 % por encima de 2025: la curva de futuros pone el Brent en 85,6 USD a diciembre de 2027 y 78,3 USD a diciembre de 2028 [21], y el volumen crece un 3 % al año con los proyectos (Mero, Ballymore, Mozambique LNG, Catar) [23]. 2029-2035: +1,5-2,5 %, por volumen. Es una normalización deliberada: el precio no se queda en 100 USD.</w:t>
      </w:r>
    </w:p>
    <w:p>
      <w:pPr>
        <w:keepNext/>
        <w:spacing w:after="100"/>
      </w:pPr>
      <w:r>
        <w:rPr>
          <w:b/>
          <w:bCs/>
        </w:rPr>
        <w:t xml:space="preserve">Márgenes.</w:t>
      </w:r>
    </w:p>
    <w:p>
      <w:pPr>
        <w:spacing w:after="100"/>
      </w:pPr>
      <w:r>
        <w:t xml:space="preserve">Margen EBITDA (NIIF, sin participadas): 24,0 % en 2026e (21,6 % en el 1S26 y el 2S con más refino), 21,0 % en 2027e, 20,0 % en 2028e y 18,5 % a largo plazo, la media de 2021 y 2023-2025 (18,8-20,8 %) sin los picos de 2022 y el hueco de 2020 [1, 2, 3, 4]. El margen de refino de 2026 (12,4 USD/b en el 1S26 frente a 7,1 en 2025) se supone extraordinario: vuelve a 6-7 USD/b en 2028 [5, 6]. El mayor peso de la electricidad, de margen más bajo, frena el margen a largo plazo.</w:t>
      </w:r>
    </w:p>
    <w:p>
      <w:pPr>
        <w:keepNext/>
        <w:spacing w:after="100"/>
      </w:pPr>
      <w:r>
        <w:rPr>
          <w:b/>
          <w:bCs/>
        </w:rPr>
        <w:t xml:space="preserve">Inversión y circulante.</w:t>
      </w:r>
    </w:p>
    <w:p>
      <w:pPr>
        <w:spacing w:after="100"/>
      </w:pPr>
      <w:r>
        <w:t xml:space="preserve">Capex del 8,5 % de las ventas en 2026-2028 (unos 16.500-19.200 M, la inversión bruta antes de ventas de activos y con las altas de arrendamientos, frente a 14.000-17.000 M netos de la guía) [23], que baja al 7,7 % a largo plazo, por encima de la amortización del 7,5 % (estado estacionario). Circulante del −1,5 % de las ventas (−1,6 % en 2025). Tipo impositivo del 42 % (40,5 % en 2025 sobre el resultado sin participadas).</w:t>
      </w:r>
    </w:p>
    <w:p>
      <w:pPr>
        <w:keepNext/>
        <w:spacing w:after="100"/>
      </w:pPr>
      <w:r>
        <w:rPr>
          <w:b/>
          <w:bCs/>
        </w:rPr>
        <w:t xml:space="preserve">Coste del capital.</w:t>
      </w:r>
    </w:p>
    <w:p>
      <w:pPr>
        <w:spacing w:after="100"/>
      </w:pPr>
      <w:r>
        <w:t xml:space="preserve">Flujos en USD, así que la tasa libre es el bono del Tesoro de EE. UU. a 10 años: 5,21 % el 13-oct-2026 [12]. Beta de 0,85: la de la acción frente al CAC 40 es de 0,26-0,59 [9], baja porque el sector va contra el índice en los choques de oferta; usamos la de las petroleras integradas frente al mercado mundial, más alta, por prudencia. Prima de mercado del 5,5 % y 0,5 puntos más por riesgo país (Oriente Medio, Mozambique, Nigeria, Libia). Coste de la deuda del 5,0 % antes de impuestos y peso del 15 %. WACC: 9,39 %.</w:t>
      </w:r>
    </w:p>
    <w:p>
      <w:pPr>
        <w:keepNext/>
        <w:spacing w:after="100"/>
      </w:pPr>
      <w:r>
        <w:rPr>
          <w:b/>
          <w:bCs/>
        </w:rPr>
        <w:t xml:space="preserve">Valor terminal.</w:t>
      </w:r>
    </w:p>
    <w:p>
      <w:pPr>
        <w:spacing w:after="100"/>
      </w:pPr>
      <w:r>
        <w:t xml:space="preserve">Gordon con crecimiento del 1,5 % en USD, por debajo de la inflación esperada: la demanda de petróleo deja de crecer en la próxima década y el crecimiento viene del gas y la electricidad. El múltiplo implícito se compara con el EV/EBITDA de 5,3 veces de hoy. El valor terminal pesa el 49 %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18.261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(reinvierte el 114 %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18.261 M, el 12 % del NOPAT, con un capex bruto medio del 8,2 % de las ventas). En un negocio de activos ligeros, el crecimiento medio del 2,1 %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la producción del 1S26 cayó un 2 % (Oriente Medio) y se recupera en el 2S; GNL y electricidad crecen. Precio +23 %: Brent de 92,3 USD en el 1S26 y por encima de 100 USD en septiembre y octubre frente a 69,1 de media en 2025; gasóleo en máximos [5,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(guía de +3 % al año en petróleo y gas y +20 % en electricidad) [23]; precio −11 %: Brent hacia 85-90 USD según la curva de futuros [21] y márgenes de refino a la baja.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[23]; precio −11 %: Brent hacia 75-80 USD (futuro de diciembre de 2028: 78,3 USD) [21] y refino en 6-7 USD/b.</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(proyectos de 2028-2030 y electricidad); precio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precio +0,5 %.</w:t>
            </w:r>
          </w:p>
        </w:tc>
      </w:tr>
    </w:tbl>
    <w:p>
      <w:pPr>
        <w:spacing w:after="160" w:before="0"/>
      </w:pPr>
    </w:p>
    <w:p>
      <w:pPr>
        <w:spacing w:after="100"/>
      </w:pPr>
      <w:r>
        <w:t xml:space="preserve">La proyección apenas crece: tras el pico de 2026 los ingresos bajan dos años y luego suben un 1,5-2,5 % por volumen, que es lo que da la cartera de proyectos ya aprobada (+3 % al año en petróleo y gas hasta 2030 y +2-3 % en 2030-2035) [23], financiada con una inversión que ya está en el plan (14.000-17.000 M netos al año) y con un capex por encima de la amortización. No pedimos subidas de precio: el precio de 2028 es el de la curva de futuros con descuento. Por eso la calidad del negocio sostiene el crecimiento proyectado: Sí. Lo que no es sostenible es el beneficio de 2026, y la proyección ya lo normaliza. El mercado final (petróleo y gas mundial) es tan grande que la prueba de cuota no aplica (cuota inferior al 3 %): mercado final en null.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18,5 %)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9,4 %)</w:t>
            </w:r>
          </w:p>
        </w:tc>
      </w:tr>
    </w:tbl>
    <w:p>
      <w:pPr>
        <w:spacing w:after="160" w:before="0"/>
      </w:pPr>
    </w:p>
    <w:p>
      <w:pPr>
        <w:spacing w:after="100"/>
      </w:pPr>
      <w:r>
        <w:t xml:space="preserve">El DCF da 61,73 USD por acción (55,08 EUR), un 31,3 % por debajo del precio, con un WACC del 9,39 % y un valor terminal que pesa el 49 %. El DCF inverso dice que el precio de 89,90 USD descuenta un crecimiento del 4,6 % anual en los años no fijos, frente al −0,3 % de nuestro caso base: el mercado da por hecho que buena parte del beneficio de la crisis se queda, o que el Brent se mantiene por encima de 80 USD durante años. La rentabilidad implícita en el precio es del 7,1 %, por debajo del WACC. Es exigente para una cíclica en el pico: entre 2023 y 2025 la empresa ganó 13.000-21.000 M con el Brent a 69-83 USD, y nuestro 2028e (unos 15.600 M) ya está en esa franja. Para llegar al precio hay que creer en un Brent de 85-90 USD sostenido o en márgenes de refino estructuralmente más altos. Con la prima del mercado, el valor sube, pero sigue bajo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Ormuz se reabre del todo en 2027, la OPEP+ recupera cuota y el Brent vuelve a 60-65 USD; el refino cae a 4-5 USD/b como en 2024 y el GNL se abarata con la ola de oferta de Catar y EE. UU. Margen EBITDA 2,5 puntos por debajo del base y crecimiento 2 puntos menor cada año: la empresa vuelve a ganar como en 2025 (BPA 2028e de 5,61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se normaliza poco a poco: Brent hacia 85 USD en 2027 y 75-80 en 2028, refino a 6-7 USD/b, producción +3 % al año. Beneficio de 2028e en torno a 15.600 M, entre el de 2024 y el de 2025 más el crecimiento de los proyectos (BPA 2028e de 7,14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crisis deja un suelo de precios más alto: Brent de 85-90 USD sostenido por inventarios mínimos y la falta de capacidad de refino rusa; el GNL europeo sigue caro. Margen 2 puntos por encima del base y crecimiento 2 puntos mayor (BPA 2028e de 8,54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8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61,90 USD (-31,1 %).</w:t>
      </w:r>
    </w:p>
    <w:p>
      <w:pPr>
        <w:spacing w:after="100"/>
      </w:pPr>
      <w:r>
        <w:t xml:space="preserve">Los tres escenarios del DCF quedan por debajo del precio: bajista 37,36 USD (−58,4 %), base 61,73 (−31,3 %) y alcista 86,79 (−3,5 %). La asimetría es mala: incluso con el Brent a 85-90 USD sostenido el precio no tiene recorrido, y con una vuelta a 2025 pierde más de la mitad. El bajista es verosímil: es lo que pasó entre 2022 y 2025 (beneficio de 20.526 M a 13.127 M en tres años) y lo que siguió a 2008 y 2014.</w:t>
      </w:r>
    </w:p>
    <w:p>
      <w:pPr>
        <w:pStyle w:val="Heading1"/>
      </w:pPr>
      <w:r>
        <w:t xml:space="preserve">22. Suma de partes</w:t>
      </w:r>
    </w:p>
    <w:p>
      <w:pPr>
        <w:pStyle w:val="Confianza"/>
        <w:spacing w:after="100"/>
      </w:pPr>
      <w:r>
        <w:t xml:space="preserve">Confianza: Media</w:t>
      </w:r>
    </w:p>
    <w:p>
      <w:pPr>
        <w:spacing w:after="100"/>
      </w:pPr>
      <w:r>
        <w:t xml:space="preserve">No se hace: la empresa publica el resultado operativo de cada segmento, pero no su EBITDA ni su capital con detalle suficiente en los documentos leídos, y el valor depende sobre todo del precio del crudo y del gas, común a todos. La electricidad (Integrated Power, 1.078 M de resultado operativo ajustado en el 1S26) podría valer más por separado; queda como pregunta.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8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70,02 USD (-22,1 % sobre 89,90).</w:t>
      </w:r>
    </w:p>
    <w:p>
      <w:pPr>
        <w:spacing w:after="100"/>
      </w:pPr>
      <w:r>
        <w:t xml:space="preserve">Pesos: DCF 40 %, escenarios 40 % y comparables 20 %. El DCF y los escenarios recogen la normalización, que es la clave; los comparables se ponderan poco porque sus múltiplos de los próximos doce meses incluyen el pico de 2026-27 y valoran a TotalEnergies entre 97 y 128 USD con el PER y entre 82 y 154 con el EV/EBITDA. Sin transacciones (no hay compras de integradas comparables en los últimos años) ni suma de partes. El valor objetivo de la síntesis es de 70,02 USD (62,47 EUR), un 22,1 % por debajo del precio. La dispersión entre métodos es la tesis: los múltiplos de mercado dicen que está barata porque miran el beneficio de 2026; el DCF dice que está cara porque mira el de 2028 en adelante.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(10.7x) ÷ 1.1 (tope: la mediana de 5 años, 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spacing w:after="100"/>
      </w:pPr>
      <w:r>
        <w:rPr>
          <w:b/>
          <w:bCs/>
        </w:rPr>
        <w:t xml:space="preserve">Objetivo a 12 meses (ponderado):</w:t>
      </w:r>
      <w:r>
        <w:t xml:space="preserve"> 63,48 USD (56,64 EUR) · rentabilidad -25,1 % (base -18,7 %) · señal Vender.</w:t>
      </w:r>
    </w:p>
    <w:p>
      <w:pPr>
        <w:spacing w:after="100"/>
      </w:pPr>
      <w:r>
        <w:t xml:space="preserve">Para comparar, con el tope anterior del base (×1,3, 14-oct mediodía): -29,9 % Vender. Decide la regla vigente (v3 con tope ×1,1; METODO-VIGENTE.md).</w:t>
      </w:r>
    </w:p>
    <w:p>
      <w:pPr>
        <w:keepNext/>
        <w:spacing w:after="100"/>
      </w:pPr>
      <w:r>
        <w:rPr>
          <w:b/>
          <w:bCs/>
        </w:rPr>
        <w:t xml:space="preserve">Frente al consenso (solo contraste).</w:t>
      </w:r>
    </w:p>
    <w:p>
      <w:pPr>
        <w:spacing w:after="100"/>
      </w:pPr>
      <w:r>
        <w:t xml:space="preserve">Nuestro BPA de 2028e (7,14 USD) queda un 26 % por debajo del consenso (9,59 USD) [10]. Tres causas: (1) base: el consenso es ajustado y nosotros NIIF sin partidas especiales; en 2025 el ajustado fue 6,89 y el NIIF 5,78, unos 1,1 USD de diferencia [6]; (2) precio: suponemos un Brent de 75-80 USD y el refino normalizado, y el consenso parece suponer más; (3) acciones: solo contamos las recompras anunciadas (hasta el 1T27), y el consenso supone que siguen. Nuestro precio base a 12 meses (69,26 USD) queda un 30 % por debajo del objetivo medio de los analistas (98,73 USD), que aplican múltiplos de comparables al beneficio de pico. No acercamos la cifra: es la tesis.</w:t>
      </w:r>
    </w:p>
    <w:p>
      <w:pPr>
        <w:keepNext/>
        <w:spacing w:after="100"/>
      </w:pPr>
      <w:r>
        <w:rPr>
          <w:b/>
          <w:bCs/>
        </w:rPr>
        <w:t xml:space="preserve">Del valor intrínseco al objetivo a 12 meses.</w:t>
      </w:r>
    </w:p>
    <w:p>
      <w:pPr>
        <w:spacing w:after="100"/>
      </w:pPr>
      <w:r>
        <w:t xml:space="preserve">El objetivo a 12 meses es de 63,48 USD (56,64 EUR) y el valor intrínseco de 70,02 USD: los dos, por debajo del precio de 89,90 USD. La regla común pone el PER base en 9,7 veces (el actual de 10,7 recortado un 10 %, porque la mediana de 7,2 queda más lejos) sobre un BPA de 2028e normalizado. Para que el precio se sostenga hace falta que el beneficio de 2028 se parezca al de 2026 o que el mercado pague por la empresa un múltiplo de 12 veces, el de las estadounidenses. El catalizador en contra tiene fecha difusa (la reapertura de Ormuz); el a favor, los resultados del 3T26 el 29-oct.</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por el refino (+2.000 M de flujo sobre el 2T) [26]; el mercado ya lo espera.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Ormuz y vuelta de la producción de Catar, Irak y Emiratos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para la empresa, pero caída del Brent y del gasóleo: neto negativo para 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recompra del 1T27 (2.000-2.500 M) [23,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 retribución; con el crudo más bajo, la recompra se recortaría (como en febrero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nuevos trenes de GNL (Catar North Field East, Rio Grande) y ola de oferta mundial de GNL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menor precio del GNL.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Impuestos extraordinarios o topes de precio en Francia o la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beneficio del refino y la distribución.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precio del crudo y del gasóleo al reabrirse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(escenario bajista: 37,36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bajo y balance sólido; producción que vuelve de Oriente Medio.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debajo de 80 USD durante un mes o ERM bajo 7 USD/b.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o topes de precios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grueso del beneficio se genera fuera de Francia.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ley en Francia o de la Comisión Europea.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Daños en activos de Oriente Medio (SATORP, Catar)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SATORP sufrió daños hasta junio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ataques a infraestructuras del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en el pico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Flexible por trimestre.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más de 2.000 M por trimestre con la acción por encima de 80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 de oferta de GNL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 largo plazo indexados al crudo.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JKM y TTF por debajo de 10 USD/Mbtu.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climáticos y alcance 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no prohibió nuevos proyectos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apelación en París.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presidente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mayoría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2027 sin plan de sucesión.</w:t>
            </w:r>
          </w:p>
        </w:tc>
      </w:tr>
    </w:tbl>
    <w:p>
      <w:pPr>
        <w:spacing w:after="160" w:before="0"/>
      </w:pPr>
    </w:p>
    <w:p>
      <w:pPr>
        <w:pStyle w:val="Heading2"/>
      </w:pPr>
      <w:r>
        <w:t xml:space="preserve">Pre-mortem</w:t>
      </w:r>
    </w:p>
    <w:p>
      <w:pPr>
        <w:spacing w:after="100"/>
      </w:pPr>
      <w:r>
        <w:t xml:space="preserve">Octubre de 2029: la acción vale 48 EUR, un 40 % menos. Qué pasó: en la primavera de 2027 se firmó un acuerdo sobre Ormuz; Catar, Irak y Emiratos recuperaron su producción en seis meses, la OPEP+ abrió el grifo para recuperar cuota y el Brent bajó a 62 USD a finales de 2027. El gasóleo, que había estado a 4,7 USD el galón, volvió a 2,3. El margen de refino europeo, de 12 USD/b, cayó a 5. El GNL se abarató con los nuevos trenes de Catar y EE. UU. El beneficio de 2028 fue de 12.500 M, como el de 2025, y el mercado volvió a pagar 7-8 veces: 55 USD. Encima, la empresa había recomprado 9.000 M de acciones a 80-85 EUR en el pico y Francia aprobó un impuesto extraordinario sobre el refino en 2027. Lo que lo habría anticipado: la curva de futuros (78 USD en diciembre de 2028 ya en octubre de 2026), el ERM bajando de 10 USD/b y la reanudación de las exportaciones de GNL de Catar.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w:t>
      </w:r>
    </w:p>
    <w:p>
      <w:pPr>
        <w:spacing w:after="100"/>
      </w:pPr>
      <w:r>
        <w:t xml:space="preserve">La IA no sustituye lo que vende la empresa (petróleo, gas, electricidad) y le da dos ventajas: más demanda de electricidad y de gas para los centros de datos (contratos de 30 TWh a 15 años con Google en EE. UU. y de 1 TWh en Malasia) [6] y menos coste y riesgo en exploración y operaciones (acuerdo con Mistral AI de septiembre de 2026 para exploración de yacimientos) [26]. Lo que toca: la electricidad (Integrated Power, unos 2.100 M de resultado al año) y el coste de exploración (419 M en 2025). La señal: nuevos contratos de suministro a centros de datos y un coste de descubrimiento más bajo. Riesgo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las emisiones: alcance 1+2 de 15,1 MtCO₂e en el perímetro operado en el 1S26 (−8 %) y alcance 3 de 163 MtCO₂e en el semestre [5]; metano −27 % interanual y objetivo de −80 % en 2030 [5, 23]. El coste del CO₂ en Europa afecta al refino. Unos 3.500 M al año de inversión en bajas emisiones, el 20 % del total [6].</w:t>
      </w:r>
    </w:p>
    <w:p>
      <w:pPr>
        <w:pStyle w:val="Heading2"/>
      </w:pPr>
      <w:r>
        <w:t xml:space="preserve">Controversias</w:t>
      </w:r>
    </w:p>
    <w:p>
      <w:pPr>
        <w:spacing w:after="100"/>
      </w:pPr>
      <w:r>
        <w:t xml:space="preserve">Litigio por deber de vigilancia en París: el 25-jun-2026 el tribunal rechazó prohibir nuevos proyectos y ordenó incluir el alcance 3; la empresa recurre. Demanda similar en Bélgica. Publicidad: en octubre de 2025 se ordenó retirar tres párrafos sobre neutralidad de carbono de una web comercial. Demandas climáticas en EE. UU. [5]. Mozambique LNG: seguridad en Cabo Delgado.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normalizado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resultado de 2026 es margen extraordinario de refino y de GNL y cuánto queda con el Brent a 75 USD y el ERM a 6 USD/b?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de 2028 (7,14) y el del consenso (9,59).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subir la recompra a 2.500 M por trimestre con la acción en máximos de cinco años, cuando en el 1T26 se recortó a 750 M a 67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 caro destruye valor para el que se queda.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la producción de Catar, Irak y Emiratos y cuánto vale la de SATORP?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210.000 bep/d y el 15 % de la producción en el peor momento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Híbridos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saldo exacto de los híbridos perpetuos y su calendario de amortización?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tratamos como deuda con una estimación de 11.500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ROACE da Integrated Power sin las ventas de participaciones en renovables?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da un 10 % [6]; con plusvalías puede ser menor.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de sucesión hay para el presidente y consejero delegado antes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Doce años al frente y doble cargo.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breves, sobre todo noticias (descubrimiento en el mar del Norte con Equinor, empresa conjunta con KKR) y señales técnicas alcistas; un particular cuenta que mantiene con precio medio de 68 EUR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y análisis favorables tras el día del inversor («más petróleo, gas, electricidad y flujo de caja»), con la rebaja de JPMorgan como nota discordante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 (dividendo +5 %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la empresa la anunció el 28-sep [23]; pero con el Brent a 60 USD la recompra se recortó a 750 M en el 1T26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refino y gasóleo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hoy (ERM ×2,9) [5], pero la tesis los normaliza: no son estructurales.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TTF en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caro ayuda al GNL de la empresa pero aumenta el riesgo político de impuestos extraordinarios.</w:t>
            </w:r>
          </w:p>
        </w:tc>
      </w:tr>
    </w:tbl>
    <w:p>
      <w:pPr>
        <w:spacing w:after="160" w:before="0"/>
      </w:pPr>
    </w:p>
    <w:p>
      <w:pPr>
        <w:spacing w:after="100"/>
      </w:pPr>
      <w:r>
        <w:t xml:space="preserve">El sentimiento de los particulares es positivo y va con el de los analistas (objetivo de 98,73 USD): nadie habla de la normalización. Esa falta de dudas en máximos de cinco años es un aviso, no un dato: la caída del 14 % de junio, cuando Ormuz pareció abrirse, muestra lo rápido que se gira. No aporta información nueva para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29 (12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38,2 %: explica la causa (créditos fiscales, regularizaciones, mezcla de países) y no lo proyectes en el DCF. Explicación: El tipo efectivo de una petrolera con producción en países con impuestos especiales sobre el upstream (Noruega, Angola, Nigeria, Libia, Emiratos, Catar) es del 38-43 % todos los años; no es una anomalía y se proyecta el 42 %.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40,2 %: explica la causa (créditos fiscales, regularizaciones, mezcla de países) y no lo proyectes en el DCF. Explicación: El tipo efectivo de una petrolera con producción en países con impuestos especiales sobre el upstream (Noruega, Angola, Nigeria, Libia, Emiratos, Catar) es del 38-43 % todos los años; no es una anomalía y se proyecta el 42 %.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40,5 %: explica la causa (créditos fiscales, regularizaciones, mezcla de países) y no lo proyectes en el DCF. Explicación: El tipo efectivo de una petrolera con producción en países con impuestos especiales sobre el upstream (Noruega, Angola, Nigeria, Libia, Emiratos, Catar) es del 38-43 % todos los años; no es una anomalía y se proyecta el 42 %.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-1,6 % real: genera una variación de circulante de -549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19,2 % frente al consenso: justifica la diferencia en el DCF. Explicación: El EBITDA del consenso es el «ajustado» de la empresa, que incluye las participadas y excluye los ajustes de inventario y las partidas especiales; el nuestro es el NIIF sin participadas. Restado el ajuste del 3,4 % de las ventas, nuestro EBITDA de 2026e queda por encima porque es NIIF y lleva las ganancias de inventario de un año de crudo al alza, y porque el 4T26 va a los precios de octubre (Brent de 106 USD); en BPA la diferencia se invierte (11,18 USD propio frente a 12,07 ajustado de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 rentabilidad que decide (-9,8 %) está a menos de 3 puntos del umbral de Vender (-10 %))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y del sector: no hay compras de integradas comparables con múltiplo publicado en 2020-2026; 2) Chevron-Hess (2023-2025) es de un productor, no de una integrada; 3) sin fuentes leídas con EV/EBITDA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Documentos de la empresa: dan precios, no tamaño de mercado; 2) la AIE y la EIA dan volúmenes, no un mercado en USD comparable con los ingresos; 3) un tamaño en USD del petróleo y gas mundial no sirve para la cuota (menos del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la junta 2026: composición del consejo, no la tabla de remuneración; 2) resultados de la votación: porcentajes, no importes; 3) documento de registro universal 2025: no leído en esta revisión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e ingresos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del 2T26: resultado por segmento, sin ventas externas; 2) nota de prensa del 4T25: igual; 3) XBRL ESEF: los segmentos van con dimensiones que no se extrajeron.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no hay concepto separado; 2) estado de flujos del 6-K: los arrendamientos van dentro de la amortización de deuda; 3) sin nota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Documentos leídos de la empresa: no las citan; 2) no se buscaron en las agencias por tiempo;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anual 2025 (ESEF, xBRL-JSON): cuentas consolidadas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TotalEnergies SE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https://filings.xbrl.org/529900S21EQ1BO4ESM68/2025-12-31/ESEF/FR/0/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anual 2024 (ESEF): cuentas consolidadas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TotalEnergies SE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https://filings.xbrl.org/529900S21EQ1BO4ESM68/2024-12-31/ESEF/GB/0/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2023 (ESEF): cuentas consolidadas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https://filings.xbrl.org/529900S21EQ1BO4ESM68/2023-12-31/ESEF/FR/0/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2022 (ESEF): cuentas consolidadas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https://filings.xbrl.org/529900S21EQ1BO4ESM68/2022-12-31/ESEF/FR/0/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Exhibit 99.1: Operating and financial review, second quarter and first half 2026 (con cuentas semestrales)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https://www.sec.gov/Archives/edgar/data/879764/000110465926086078/tot-20260630xex99d1.htm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https://totalenergies.com/system/files/documents/totalenergies_pr-results-q4-2025_2026_en.pdf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Shareholders’ Meeting: resolutions and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https://totalenergies.com/system/files/documents/totalenergies_2026-shareholders-meeting-resolutions-shareholders-voting-results_2026_en.pdf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Brochure de convocation, Assemblée générale mixte 2026 (composición del consejo y comités)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https://totalenergies.com/system/files/documents/totalenergies_brochure-avis-convocation-assemblee-generale-mixte-2026_2026_fr.pdf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TTE.PA, CAC 40 (^FCHI) e iShares STOXX Europe 600 Oil &amp; Gas (EXH1.DE)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 y 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https://finance.yahoo.com/quote/TTE.PA/history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finanzas,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https://www.marketscreener.com/quote/stock/TOTALENERGIES-SE-4717/finances/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(15-oct-2026)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ExxonMobil (XOM):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https://stockanalysis.com/stocks/xom/statistics/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Chevron (CVX):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Shell (SHEL):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https://stockanalysis.com/stocks/shel/statistics/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 (BP):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(EQNR):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https://stockanalysis.com/stocks/eqnr/statistics/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(TTE): statistics (acciones en circulación, posición corta,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Brent (BZ=F, BZZ26, BZZ27, BZZ28) y de gasóleo de calefacción (HO=F)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NYMEX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Cuts Buyback to Lower End of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Rigzone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https://www.rigzone.com/news/wire/totalenergies_cuts_buyback_to_lower_end_of_range-11-feb-2026-182966-article/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Exhibit 99.15: TotalEnergies Strategy &amp; Outlook 2026 (dividendo +5 %/año hasta 2030, recompras 4T26 y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https://www.sec.gov/Archives/edgar/data/879764/000110465926112504/tm2626677d1_ex99-15.htm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Brent rises as Middle East tensions tighten fuel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https://www.tradingpedia.com/2026/09/02/brent-rises-as-middle-east-tensions-tighten-fuel-supply/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Agenda del inversor: resultados del 3T26 el 29-oct-2026 y del 4T26 el 10-feb-2027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https://totalenergies.com/fr/node/37046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TTE: perspectivas del 3T26 (refino), JPMorgan rebaja a Neutral, recompras y dividendo, Mistral AI, precios en Francia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 de noticias de TTE)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https://seekingalpha.com/symbol/TTE/news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$TTE (30 mensajes, 5-ago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raises buybacks and pledges higher dividends as oil trades around $100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https://euronews.com/2026/09/28/totalenergies-raises-buybacks-and-pledges-higher-dividends-as-oil-trades-around-100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Aktie: 107 Millionen für Rückkäufe (recompra de 1.500 M USD en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https://www.boerse-express.com/news/articles/totalenergies-se-aktie-107-millionen-fuer-rueckkaeufe-933415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80,2 %</w:t>
      </w:r>
      <w:r>
        <w:t xml:space="preserve"> · Secciones con menos del 60 % de campos cubiertos: </w:t>
      </w:r>
      <w:r>
        <w:rPr>
          <w:b/>
          <w:bCs/>
        </w:rPr>
        <w:t xml:space="preserve">gobierno, transacciones, calidad, consenso</w:t>
      </w:r>
      <w:r>
        <w:t xml:space="preserve"> · Generado el 15 oct 2026.</w:t>
      </w:r>
    </w:p>
    <w:p>
      <w:pPr>
        <w:pStyle w:val="Nota"/>
        <w:spacing w:after="100"/>
      </w:pPr>
      <w:r>
        <w:t xml:space="preserve">Cuentas en USD, la divisa en la que publica TotalEnergies; la acción cotiza en EUR en Euronext París y el precio (80,21 EUR, cierre del 15-oct-2026) se convierte con el tipo del BCE de ese día (1,1208 USD/EUR) [11]. Los cierres de cada ejercicio, con el tipo del BCE del último día hábil de cada año. Ingresos sin impuestos especiales (la cifra «Sales» de la empresa los incluye). El EBITDA es el de las cuentas NIIF sin el resultado de participadas (que va al resultado financiero y se valora en el puente) y sin los «otros ingresos y gastos» (plusvalías y deterioros, en no recurrentes); por eso es menor que el «EBITDA ajustado» que publica la empresa y que usa el consenso. La deuda financiera del histórico del balance incluye los arrendamientos (la NIIF 16 no se separa en el XBRL); el puente sí los separa. Los dividendos por acción se pagan en EUR y se pasan a USD con el tipo medio de cada año. Las acciones diluidas de 2020-2023 se derivan del beneficio menos el cupón de los híbridos entre el BPA diluido (estimación). Precios de los comparables de Stock Analysis en plena sesión del 15-oct. Los híbridos perpetuos (unos 11.500 M) son una estimación propia a partir del cupón pagado. Sin lectura del documento de registro universal completo: gobierno, remuneración y accionariado con menos detalle.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TotalEnergies SE (TTE)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(57,71 – 91,18)</c:v>
                </c:pt>
                <c:pt idx="1">
                  <c:v>Comparables: PER NTM (97,09 – 127,88)</c:v>
                </c:pt>
                <c:pt idx="2">
                  <c:v>DCF (WACC y g ± 0,5) (55,85 – 69,25)</c:v>
                </c:pt>
                <c:pt idx="3">
                  <c:v>Escenarios (bajista – alcista) (37,36 – 86,79)</c:v>
                </c:pt>
                <c:pt idx="4">
                  <c:v>DCF con la prima implícita del mercado (4,2 %)</c:v>
                </c:pt>
                <c:pt idx="5">
                  <c:v>Precio actual (89,90)</c:v>
                </c:pt>
              </c:strCache>
            </c:strRef>
          </c:cat>
          <c:val>
            <c:numRef>
              <c:f>Hoja1!$B$2:$B$7</c:f>
              <c:numCache>
                <c:formatCode>#,##0</c:formatCode>
                <c:ptCount val="6"/>
                <c:pt idx="0">
                  <c:v>57.71</c:v>
                </c:pt>
                <c:pt idx="1">
                  <c:v>97.09</c:v>
                </c:pt>
                <c:pt idx="2">
                  <c:v>55.85</c:v>
                </c:pt>
                <c:pt idx="3">
                  <c:v>37.36</c:v>
                </c:pt>
                <c:pt idx="4">
                  <c:v>65.69</c:v>
                </c:pt>
                <c:pt idx="5">
                  <c:v>89.45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(57,71 – 91,18)</c:v>
                </c:pt>
                <c:pt idx="1">
                  <c:v>Comparables: PER NTM (97,09 – 127,88)</c:v>
                </c:pt>
                <c:pt idx="2">
                  <c:v>DCF (WACC y g ± 0,5) (55,85 – 69,25)</c:v>
                </c:pt>
                <c:pt idx="3">
                  <c:v>Escenarios (bajista – alcista) (37,36 – 86,79)</c:v>
                </c:pt>
                <c:pt idx="4">
                  <c:v>DCF con la prima implícita del mercado (4,2 %)</c:v>
                </c:pt>
                <c:pt idx="5">
                  <c:v>Precio actual (89,90)</c:v>
                </c:pt>
              </c:strCache>
            </c:strRef>
          </c:cat>
          <c:val>
            <c:numRef>
              <c:f>Hoja1!$C$2:$C$7</c:f>
              <c:numCache>
                <c:formatCode>#,##0</c:formatCode>
                <c:ptCount val="6"/>
                <c:pt idx="0">
                  <c:v>33.470000000000006</c:v>
                </c:pt>
                <c:pt idx="1">
                  <c:v>30.789999999999992</c:v>
                </c:pt>
                <c:pt idx="2">
                  <c:v>13.399999999999999</c:v>
                </c:pt>
                <c:pt idx="3">
                  <c:v>49.43000000000001</c:v>
                </c:pt>
                <c:pt idx="4">
                  <c:v>11.060000000000002</c:v>
                </c:pt>
                <c:pt idx="5">
                  <c:v>0.8999999999999915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TotalEnergies</c:v>
                </c:pt>
                <c:pt idx="1">
                  <c:v>ExxonMobil</c:v>
                </c:pt>
                <c:pt idx="2">
                  <c:v>Chevron</c:v>
                </c:pt>
                <c:pt idx="3">
                  <c:v>Shell</c:v>
                </c:pt>
                <c:pt idx="4">
                  <c:v>BP</c:v>
                </c:pt>
                <c:pt idx="5">
                  <c:v>Eni</c:v>
                </c:pt>
                <c:pt idx="6">
                  <c:v>Equinor</c:v>
                </c:pt>
              </c:strCache>
            </c:strRef>
          </c:cat>
          <c:val>
            <c:numRef>
              <c:f>Hoja1!$B$2:$B$8</c:f>
              <c:numCache>
                <c:formatCode>0.0"%"</c:formatCode>
                <c:ptCount val="7"/>
                <c:pt idx="0">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119704</c:v>
                </c:pt>
                <c:pt idx="1">
                  <c:v>184634</c:v>
                </c:pt>
                <c:pt idx="2">
                  <c:v>263310</c:v>
                </c:pt>
                <c:pt idx="3">
                  <c:v>218945</c:v>
                </c:pt>
                <c:pt idx="4">
                  <c:v>195610</c:v>
                </c:pt>
                <c:pt idx="5">
                  <c:v>182344</c:v>
                </c:pt>
                <c:pt idx="6">
                  <c:v>226107</c:v>
                </c:pt>
                <c:pt idx="7">
                  <c:v>208018</c:v>
                </c:pt>
                <c:pt idx="8">
                  <c:v>191377</c:v>
                </c:pt>
                <c:pt idx="9">
                  <c:v>196161</c:v>
                </c:pt>
                <c:pt idx="10">
                  <c:v>201065</c:v>
                </c:pt>
                <c:pt idx="11">
                  <c:v>205086</c:v>
                </c:pt>
                <c:pt idx="12">
                  <c:v>209188</c:v>
                </c:pt>
                <c:pt idx="13">
                  <c:v>212326</c:v>
                </c:pt>
                <c:pt idx="14">
                  <c:v>215511</c:v>
                </c:pt>
                <c:pt idx="15">
                  <c:v>218743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15949</c:v>
                </c:pt>
                <c:pt idx="1">
                  <c:v>38378</c:v>
                </c:pt>
                <c:pt idx="2">
                  <c:v>62774</c:v>
                </c:pt>
                <c:pt idx="3">
                  <c:v>44912</c:v>
                </c:pt>
                <c:pt idx="4">
                  <c:v>37087</c:v>
                </c:pt>
                <c:pt idx="5">
                  <c:v>34271</c:v>
                </c:pt>
                <c:pt idx="6">
                  <c:v>54266</c:v>
                </c:pt>
                <c:pt idx="7">
                  <c:v>43684</c:v>
                </c:pt>
                <c:pt idx="8">
                  <c:v>38275</c:v>
                </c:pt>
                <c:pt idx="9">
                  <c:v>38251</c:v>
                </c:pt>
                <c:pt idx="10">
                  <c:v>38202</c:v>
                </c:pt>
                <c:pt idx="11">
                  <c:v>37941</c:v>
                </c:pt>
                <c:pt idx="12">
                  <c:v>38700</c:v>
                </c:pt>
                <c:pt idx="13">
                  <c:v>39280</c:v>
                </c:pt>
                <c:pt idx="14">
                  <c:v>39869</c:v>
                </c:pt>
                <c:pt idx="15">
                  <c:v>40468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35.3</c:v>
                </c:pt>
                <c:pt idx="1">
                  <c:v>35.8</c:v>
                </c:pt>
                <c:pt idx="2">
                  <c:v>35.6</c:v>
                </c:pt>
                <c:pt idx="3">
                  <c:v>34.7</c:v>
                </c:pt>
                <c:pt idx="4">
                  <c:v>34.7</c:v>
                </c:pt>
                <c:pt idx="5">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13.3</c:v>
                </c:pt>
                <c:pt idx="1">
                  <c:v>20.8</c:v>
                </c:pt>
                <c:pt idx="2">
                  <c:v>23.8</c:v>
                </c:pt>
                <c:pt idx="3">
                  <c:v>20.5</c:v>
                </c:pt>
                <c:pt idx="4">
                  <c:v>19</c:v>
                </c:pt>
                <c:pt idx="5">
                  <c:v>18.8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-5.3</c:v>
                </c:pt>
                <c:pt idx="1">
                  <c:v>13.4</c:v>
                </c:pt>
                <c:pt idx="2">
                  <c:v>19.2</c:v>
                </c:pt>
                <c:pt idx="3">
                  <c:v>14.7</c:v>
                </c:pt>
                <c:pt idx="4">
                  <c:v>12.8</c:v>
                </c:pt>
                <c:pt idx="5">
                  <c:v>11.5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c:v>
                </c:pt>
                <c:pt idx="1">
                  <c:v>8.7</c:v>
                </c:pt>
                <c:pt idx="2">
                  <c:v>7.8</c:v>
                </c:pt>
                <c:pt idx="3">
                  <c:v>9.8</c:v>
                </c:pt>
                <c:pt idx="4">
                  <c:v>8.1</c:v>
                </c:pt>
                <c:pt idx="5">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-2.5</c:v>
                </c:pt>
                <c:pt idx="4">
                  <c:v>4.1</c:v>
                </c:pt>
                <c:pt idx="5">
                  <c:v>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43</c:v>
                </c:pt>
                <c:pt idx="1">
                  <c:v>43</c:v>
                </c:pt>
                <c:pt idx="2">
                  <c:v>34</c:v>
                </c:pt>
                <c:pt idx="3">
                  <c:v>39</c:v>
                </c:pt>
                <c:pt idx="4">
                  <c:v>36</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52</c:v>
                </c:pt>
                <c:pt idx="1">
                  <c:v>50</c:v>
                </c:pt>
                <c:pt idx="2">
                  <c:v>42</c:v>
                </c:pt>
                <c:pt idx="3">
                  <c:v>41</c:v>
                </c:pt>
                <c:pt idx="4">
                  <c:v>43</c:v>
                </c:pt>
                <c:pt idx="5">
                  <c:v>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83</c:v>
                </c:pt>
                <c:pt idx="1">
                  <c:v>92</c:v>
                </c:pt>
                <c:pt idx="2">
                  <c:v>75</c:v>
                </c:pt>
                <c:pt idx="3">
                  <c:v>87</c:v>
                </c:pt>
                <c:pt idx="4">
                  <c:v>92</c:v>
                </c:pt>
                <c:pt idx="5">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4039</c:v>
                </c:pt>
                <c:pt idx="1">
                  <c:v>18067</c:v>
                </c:pt>
                <c:pt idx="2">
                  <c:v>31677</c:v>
                </c:pt>
                <c:pt idx="3">
                  <c:v>22957</c:v>
                </c:pt>
                <c:pt idx="4">
                  <c:v>15945</c:v>
                </c:pt>
                <c:pt idx="5">
                  <c:v>10390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-7242</c:v>
                </c:pt>
                <c:pt idx="1">
                  <c:v>16032</c:v>
                </c:pt>
                <c:pt idx="2">
                  <c:v>20526</c:v>
                </c:pt>
                <c:pt idx="3">
                  <c:v>21384</c:v>
                </c:pt>
                <c:pt idx="4">
                  <c:v>15758</c:v>
                </c:pt>
                <c:pt idx="5">
                  <c:v>13127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-3.1</c:v>
                </c:pt>
                <c:pt idx="1">
                  <c:v>10.1</c:v>
                </c:pt>
                <c:pt idx="2">
                  <c:v>20.2</c:v>
                </c:pt>
                <c:pt idx="3">
                  <c:v>14</c:v>
                </c:pt>
                <c:pt idx="4">
                  <c:v>10.4</c:v>
                </c:pt>
                <c:pt idx="5">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9.4</c:v>
                </c:pt>
                <c:pt idx="1">
                  <c:v>9.4</c:v>
                </c:pt>
                <c:pt idx="2">
                  <c:v>9.4</c:v>
                </c:pt>
                <c:pt idx="3">
                  <c:v>9.4</c:v>
                </c:pt>
                <c:pt idx="4">
                  <c:v>9.4</c:v>
                </c:pt>
                <c:pt idx="5">
                  <c:v>9.4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c:v>
                </c:pt>
                <c:pt idx="1">
                  <c:v>14.9</c:v>
                </c:pt>
                <c:pt idx="2">
                  <c:v>18.4</c:v>
                </c:pt>
                <c:pt idx="3">
                  <c:v>18.7</c:v>
                </c:pt>
                <c:pt idx="4">
                  <c:v>13.4</c:v>
                </c:pt>
                <c:pt idx="5">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2.89</c:v>
                </c:pt>
                <c:pt idx="1">
                  <c:v>1.13</c:v>
                </c:pt>
                <c:pt idx="2">
                  <c:v>0.44</c:v>
                </c:pt>
                <c:pt idx="3">
                  <c:v>0.51</c:v>
                </c:pt>
                <c:pt idx="4">
                  <c:v>0.75</c:v>
                </c:pt>
                <c:pt idx="5">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966</c:v>
                </c:pt>
                <c:pt idx="1">
                  <c:v>321</c:v>
                </c:pt>
                <c:pt idx="2">
                  <c:v>94</c:v>
                </c:pt>
                <c:pt idx="3">
                  <c:v>1772</c:v>
                </c:pt>
                <c:pt idx="4">
                  <c:v>2439</c:v>
                </c:pt>
                <c:pt idx="5">
                  <c:v>1999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6688</c:v>
                </c:pt>
                <c:pt idx="1">
                  <c:v>8228</c:v>
                </c:pt>
                <c:pt idx="2">
                  <c:v>9986</c:v>
                </c:pt>
                <c:pt idx="3">
                  <c:v>7517</c:v>
                </c:pt>
                <c:pt idx="4">
                  <c:v>7717</c:v>
                </c:pt>
                <c:pt idx="5">
                  <c:v>8121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611</c:v>
                </c:pt>
                <c:pt idx="1">
                  <c:v>1823</c:v>
                </c:pt>
                <c:pt idx="2">
                  <c:v>7711</c:v>
                </c:pt>
                <c:pt idx="3">
                  <c:v>9167</c:v>
                </c:pt>
                <c:pt idx="4">
                  <c:v>7995</c:v>
                </c:pt>
                <c:pt idx="5">
                  <c:v>7714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17.2</c:v>
                </c:pt>
                <c:pt idx="1">
                  <c:v>-5.5</c:v>
                </c:pt>
                <c:pt idx="2">
                  <c:v>0.3</c:v>
                </c:pt>
                <c:pt idx="3">
                  <c:v>6.5</c:v>
                </c:pt>
                <c:pt idx="4">
                  <c:v>-28.3</c:v>
                </c:pt>
                <c:pt idx="5">
                  <c:v>26.4</c:v>
                </c:pt>
                <c:pt idx="6">
                  <c:v>31.4</c:v>
                </c:pt>
                <c:pt idx="7">
                  <c:v>5</c:v>
                </c:pt>
                <c:pt idx="8">
                  <c:v>-13.4</c:v>
                </c:pt>
                <c:pt idx="9">
                  <c:v>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10.1</c:v>
                </c:pt>
                <c:pt idx="1">
                  <c:v>4.7</c:v>
                </c:pt>
                <c:pt idx="2">
                  <c:v>3.1</c:v>
                </c:pt>
                <c:pt idx="3">
                  <c:v>4.3</c:v>
                </c:pt>
                <c:pt idx="4">
                  <c:v>4.3</c:v>
                </c:pt>
                <c:pt idx="5">
                  <c:v>5.3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4.5</c:v>
                </c:pt>
                <c:pt idx="1">
                  <c:v>4.5</c:v>
                </c:pt>
                <c:pt idx="2">
                  <c:v>4.5</c:v>
                </c:pt>
                <c:pt idx="3">
                  <c:v>4.5</c:v>
                </c:pt>
                <c:pt idx="4">
                  <c:v>4.5</c:v>
                </c:pt>
                <c:pt idx="5">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TotalEnergies</c:v>
                </c:pt>
                <c:pt idx="1">
                  <c:v>ExxonMobil</c:v>
                </c:pt>
                <c:pt idx="2">
                  <c:v>Chevron</c:v>
                </c:pt>
                <c:pt idx="3">
                  <c:v>Shell</c:v>
                </c:pt>
                <c:pt idx="4">
                  <c:v>BP</c:v>
                </c:pt>
                <c:pt idx="5">
                  <c:v>Eni</c:v>
                </c:pt>
                <c:pt idx="6">
                  <c:v>Equinor</c:v>
                </c:pt>
              </c:strCache>
            </c:strRef>
          </c:cat>
          <c:val>
            <c:numRef>
              <c:f>Hoja1!$B$2:$B$8</c:f>
              <c:numCache>
                <c:formatCode>0.0"x"</c:formatCode>
                <c:ptCount val="7"/>
                <c:pt idx="0">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18881</c:v>
                </c:pt>
                <c:pt idx="1">
                  <c:v>13204</c:v>
                </c:pt>
                <c:pt idx="2">
                  <c:v>11279</c:v>
                </c:pt>
                <c:pt idx="3">
                  <c:v>11598</c:v>
                </c:pt>
                <c:pt idx="4">
                  <c:v>11792</c:v>
                </c:pt>
                <c:pt idx="5">
                  <c:v>11914</c:v>
                </c:pt>
                <c:pt idx="6">
                  <c:v>12571</c:v>
                </c:pt>
                <c:pt idx="7">
                  <c:v>12956</c:v>
                </c:pt>
                <c:pt idx="8">
                  <c:v>13366</c:v>
                </c:pt>
                <c:pt idx="9">
                  <c:v>13567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78836</c:v>
                </c:pt>
                <c:pt idx="1">
                  <c:v>76366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37.36</c:v>
                </c:pt>
                <c:pt idx="1">
                  <c:v>61.73</c:v>
                </c:pt>
                <c:pt idx="2">
                  <c:v>86.79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(57,71 – 91,18)</c:v>
                </c:pt>
                <c:pt idx="1">
                  <c:v>Comparables: PER NTM (97,09 – 127,88)</c:v>
                </c:pt>
                <c:pt idx="2">
                  <c:v>DCF (WACC y g ± 0,5) (55,85 – 69,25)</c:v>
                </c:pt>
                <c:pt idx="3">
                  <c:v>Escenarios (bajista – alcista) (37,36 – 86,79)</c:v>
                </c:pt>
                <c:pt idx="4">
                  <c:v>DCF con la prima implícita del mercado (4,2 %)</c:v>
                </c:pt>
                <c:pt idx="5">
                  <c:v>Precio actual (89,90)</c:v>
                </c:pt>
              </c:strCache>
            </c:strRef>
          </c:cat>
          <c:val>
            <c:numRef>
              <c:f>Hoja1!$B$2:$B$7</c:f>
              <c:numCache>
                <c:formatCode>#,##0</c:formatCode>
                <c:ptCount val="6"/>
                <c:pt idx="0">
                  <c:v>57.71</c:v>
                </c:pt>
                <c:pt idx="1">
                  <c:v>97.09</c:v>
                </c:pt>
                <c:pt idx="2">
                  <c:v>55.85</c:v>
                </c:pt>
                <c:pt idx="3">
                  <c:v>37.36</c:v>
                </c:pt>
                <c:pt idx="4">
                  <c:v>65.69</c:v>
                </c:pt>
                <c:pt idx="5">
                  <c:v>89.45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(57,71 – 91,18)</c:v>
                </c:pt>
                <c:pt idx="1">
                  <c:v>Comparables: PER NTM (97,09 – 127,88)</c:v>
                </c:pt>
                <c:pt idx="2">
                  <c:v>DCF (WACC y g ± 0,5) (55,85 – 69,25)</c:v>
                </c:pt>
                <c:pt idx="3">
                  <c:v>Escenarios (bajista – alcista) (37,36 – 86,79)</c:v>
                </c:pt>
                <c:pt idx="4">
                  <c:v>DCF con la prima implícita del mercado (4,2 %)</c:v>
                </c:pt>
                <c:pt idx="5">
                  <c:v>Precio actual (89,90)</c:v>
                </c:pt>
              </c:strCache>
            </c:strRef>
          </c:cat>
          <c:val>
            <c:numRef>
              <c:f>Hoja1!$C$2:$C$7</c:f>
              <c:numCache>
                <c:formatCode>#,##0</c:formatCode>
                <c:ptCount val="6"/>
                <c:pt idx="0">
                  <c:v>33.470000000000006</c:v>
                </c:pt>
                <c:pt idx="1">
                  <c:v>30.789999999999992</c:v>
                </c:pt>
                <c:pt idx="2">
                  <c:v>13.399999999999999</c:v>
                </c:pt>
                <c:pt idx="3">
                  <c:v>49.43000000000001</c:v>
                </c:pt>
                <c:pt idx="4">
                  <c:v>11.060000000000002</c:v>
                </c:pt>
                <c:pt idx="5">
                  <c:v>0.8999999999999915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