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Trane Technologies plc</w:t>
      </w:r>
    </w:p>
    <w:p>
      <w:pPr>
        <w:spacing w:after="60"/>
        <w:rPr>
          <w:color w:val="52514E"/>
          <w:sz w:val="22"/>
          <w:szCs w:val="22"/>
        </w:rPr>
      </w:pPr>
      <w:r>
        <w:rPr>
          <w:color w:val="52514E"/>
          <w:sz w:val="22"/>
          <w:szCs w:val="22"/>
        </w:rPr>
        <w:t xml:space="preserve">TT · New York Stock Exchange · ISIN IE00BK9ZQ967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471,29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478,08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+2,3 % (base +10,2 %)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263,94 USD · mercado 306,46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104.626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Trane Technologies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TT / IE00BK9ZQ967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Swords, Dublín (Irlanda) · 1913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tranetechnologies.com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471,29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348,06 – 505,87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104.626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108.340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527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478,08 USD</w:t>
      </w:r>
      <w:r>
        <w:t xml:space="preserve"> frente a 471,29 · Rentabilidad a 12 meses </w:t>
      </w:r>
      <w:r>
        <w:rPr>
          <w:b/>
          <w:bCs/>
        </w:rPr>
        <w:t xml:space="preserve">+2,3 % (base +10,2 %)</w:t>
      </w:r>
      <w:r>
        <w:t xml:space="preserve"> · Valor intrínseco 263,94 USD · con la prima implícita del mercado: 306,46 (-35,0 %) · Alcista / bajista -40,4 % / -63,3 %</w:t>
      </w:r>
    </w:p>
    <w:p>
      <w:pPr>
        <w:spacing w:after="100"/>
      </w:pPr>
      <w:r>
        <w:rPr>
          <w:b/>
        </w:rPr>
        <w:t xml:space="preserve">La recomendación y por qué.</w:t>
      </w:r>
      <w:r>
        <w:t xml:space="preserve"> Mantener, con convicción media. El objetivo a 12 meses es de 478,08 USD (rentabilidad ponderada del 2,3 % y del 10,2 % en el caso base, con dividendo), frente a un precio de 471,29 USD (cierre del 14-oct-2026) y un objetivo medio de los analistas de 528,69 USD [24]. El valor intrínseco es de 263,94 USD (−44,0 %). Trane es una gran empresa a un precio que ya paga su crecimiento: ni el objetivo a 12 meses ni el valor intrínseco dan margen. La convicción es media porque las dos reglas coinciden y la ponderada está lejos de los umbrales; subiría si el precio bajara de la zona de 400 USD sin cambio en los pedidos.</w:t>
      </w:r>
    </w:p>
    <w:p>
      <w:pPr>
        <w:spacing w:after="100"/>
      </w:pPr>
      <w:r>
        <w:rPr>
          <w:b/>
        </w:rPr>
        <w:t xml:space="preserve">El negocio.</w:t>
      </w:r>
      <w:r>
        <w:t xml:space="preserve"> Líder en climatización comercial aplicada de Norteamérica y en frío de transporte (Thermo King), con un 34 % de las ventas en servicio recurrente [1]. ROIC del 29,0 % frente a un WACC del 10,97 %, margen EBITDA del 20 % frente al 14-15 % de Carrier, Daikin y Johnson Controls [28]. Pedidos récord: +37 % orgánico en el 2T26 y cartera de 12.100 M (+70 %) por los centros de datos [3]. La calidad de la empresa sostiene el crecimiento que proyectamos (sostenibilidad «Sí»): crecemos al 7,3 % anual frente al 11,4 % histórico, con poder de precios demostrado y casi sin capital nuevo.</w:t>
      </w:r>
    </w:p>
    <w:p>
      <w:pPr>
        <w:spacing w:after="100"/>
      </w:pPr>
      <w:r>
        <w:rPr>
          <w:b/>
        </w:rPr>
        <w:t xml:space="preserve">Finanzas.</w:t>
      </w:r>
      <w:r>
        <w:t xml:space="preserve"> Ingresos de 21.322 M USD en 2025 (+11,4 % anual desde 2020), BPA contable de 13,14 USD, caja operativa de 3.195 M y deuda neta de 0,7 veces el EBITDA [1]. Calidad contable sin alertas; el amianto de Aldrich y Murray va fuera del perímetro.</w:t>
      </w:r>
    </w:p>
    <w:p>
      <w:pPr>
        <w:spacing w:after="100"/>
      </w:pPr>
      <w:r>
        <w:rPr>
          <w:b/>
        </w:rPr>
        <w:t xml:space="preserve">Equipo y gobierno.</w:t>
      </w:r>
      <w:r>
        <w:t xml:space="preserve"> Equipo estable y cumplidor (guías subidas dos veces en 2026), presidente ejecutivo con consejero coordinador y 10 de 11 consejeros independientes. Resta algo: ventas de directivos por 75,9 M USD en 12 meses, con planes programados [22].</w:t>
      </w:r>
    </w:p>
    <w:p>
      <w:pPr>
        <w:spacing w:after="100"/>
      </w:pPr>
      <w:r>
        <w:rPr>
          <w:b/>
        </w:rPr>
        <w:t xml:space="preserve">Valoración.</w:t>
      </w:r>
      <w:r>
        <w:t xml:space="preserve"> El DCF da 241,43 USD y el DCF inverso pide un crecimiento del 21,1 % anual de 2027e a 2033e frente al 6,6 % de nuestro base: el precio descuenta una década de centros de datos. Con la prima del mercado el valor es de 306,46 USD. Cotiza a 27,4 veces nuestro BPA de 2027e, por encima de su mediana de cinco años (25,9x) y de la de sus comparables (21,3x). La regla a 12 meses baja el múltiplo a 26,6x y deja el precio base en 515,24 USD; el bajista (18,9x, su mínimo de cinco años) en 316,58 USD.</w:t>
      </w:r>
    </w:p>
    <w:p>
      <w:pPr>
        <w:spacing w:after="100"/>
      </w:pPr>
      <w:r>
        <w:rPr>
          <w:b/>
        </w:rPr>
        <w:t xml:space="preserve">Riesgos y catalizadores.</w:t>
      </w:r>
      <w:r>
        <w:t xml:space="preserve"> El mayor riesgo es el de los centros de datos: un frenazo del capex o chips que necesiten menos enfriadoras (comentario de Nvidia de enero de 2026, −5 % en un día) [16]; con el múltiplo en su mínimo, −33 %. Resultados del 3T26 el 29-oct-2026. Riesgo de IA para el negocio: medio (es más demanda que amenaza).</w:t>
      </w:r>
    </w:p>
    <w:p>
      <w:pPr>
        <w:spacing w:after="100"/>
      </w:pPr>
      <w:r>
        <w:rPr>
          <w:b/>
        </w:rPr>
        <w:t xml:space="preserve">Qué cambiaría la decisión.</w:t>
      </w:r>
      <w:r>
        <w:t xml:space="preserve"> Comprar por debajo de 263,94 USD (valor intrínseco); vender por encima de 535,62 USD. Pasaríamos a vender si los pedidos de aplicados de América bajaran del +10 % interanual o la guía de 2027 quedara por debajo de 16,5 USD de BPA.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478,08 USD</w:t>
      </w:r>
      <w:r>
        <w:t xml:space="preserve"> (rentabilidad +2,3 % (base +10,2 %)) · Valor intrínseco: 263,94 USD (-44,0 % sobre 471,29) · con la prima implícita del mercado: 306,46 (-35,0 %)</w:t>
      </w:r>
    </w:p>
    <w:p>
      <w:pPr>
        <w:spacing w:after="100"/>
      </w:pPr>
      <w:r>
        <w:t xml:space="preserve">Trane es el líder de la climatización comercial aplicada en Norteamérica y uno de los dos líderes mundiales del frío de transporte. Desde que se separó del negocio industrial en 2020 ha casi doblado las ventas (21.322 M USD en 2025), ha subido el margen EBIT del 12 % al 19 % y su ROIC (29,0 %) triplica su coste de capital [1]. Un tercio de las ventas es servicio sobre la base instalada.</w:t>
      </w:r>
    </w:p>
    <w:p>
      <w:pPr>
        <w:spacing w:after="100"/>
      </w:pPr>
      <w:r>
        <w:t xml:space="preserve">El precio (471,29 USD, 27,4 veces nuestro BPA de 2027e) descuenta mucho más que eso: el DCF inverso pide un crecimiento del 21,1 % anual hasta 2033e, el triple de nuestro caso base. Los pedidos récord de centros de datos (+37 % orgánico, cartera de 12.100 M) justifican un 2026-2027 fuerte, pero no una década [3].</w:t>
      </w:r>
    </w:p>
    <w:p>
      <w:pPr>
        <w:spacing w:after="100"/>
      </w:pPr>
      <w:r>
        <w:t xml:space="preserve">El mercado acierta en la calidad y, a nuestro juicio, se adelanta en la duración del ciclo. Para invertir hay que creer que la refrigeración de la IA sostiene un crecimiento de dos dígitos más allá de 2028 y que la tecnología de los chips no reduce las enfriadoras. Sin esa creencia, la rentabilidad a 12 meses (2,3 %) no compensa.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 × 16,75 = 316,58 · 26,6x × 19,37 = 515,24 · 26,6x × 21,25 = 565,25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528,69 (nuestro base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 / -63,3 %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11,0 %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263,94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263,94 y 535,62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535,62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263,94 USD (valor intrínseco): pasaríamos a Comprar si la calidad se mantiene.</w:t>
      </w:r>
    </w:p>
    <w:p>
      <w:pPr>
        <w:pStyle w:val="ListParagraph"/>
        <w:numPr>
          <w:ilvl w:val="0"/>
          <w:numId w:val="2"/>
        </w:numPr>
        <w:spacing w:after="60"/>
      </w:pPr>
      <w:r>
        <w:t xml:space="preserve">Precio por encima de 535,62 USD: pasaríamos a Vender.</w:t>
      </w:r>
    </w:p>
    <w:p>
      <w:pPr>
        <w:pStyle w:val="ListParagraph"/>
        <w:numPr>
          <w:ilvl w:val="0"/>
          <w:numId w:val="2"/>
        </w:numPr>
        <w:spacing w:after="60"/>
      </w:pPr>
      <w:r>
        <w:t xml:space="preserve">Pedidos de equipos aplicados de América por debajo del +10 % interanual en el 3T26 o el 4T26: revisión a la baja.</w:t>
      </w:r>
    </w:p>
    <w:p>
      <w:pPr>
        <w:pStyle w:val="ListParagraph"/>
        <w:numPr>
          <w:ilvl w:val="0"/>
          <w:numId w:val="2"/>
        </w:numPr>
        <w:spacing w:after="60"/>
      </w:pPr>
      <w:r>
        <w:t xml:space="preserve">Guía de BPA de 2027 por debajo de 16,5 USD.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Trane crecerá a dos dígitos durante muchos años gracias a los centros de datos, con un PER sostenido de 27x.</w:t>
      </w:r>
    </w:p>
    <w:p>
      <w:pPr>
        <w:keepNext/>
        <w:spacing w:after="100"/>
      </w:pPr>
      <w:r>
        <w:rPr>
          <w:b/>
          <w:bCs/>
        </w:rPr>
        <w:t xml:space="preserve">Lo que creemos nosotros.</w:t>
      </w:r>
    </w:p>
    <w:p>
      <w:pPr>
        <w:spacing w:after="100"/>
      </w:pPr>
      <w:r>
        <w:t xml:space="preserve">Crecimiento fuerte en 2026-2027 por la cartera y normalización después hacia el 4-6 % del mercado; el múltiplo vuelve hacia su mediana.</w:t>
      </w:r>
    </w:p>
    <w:p>
      <w:pPr>
        <w:keepNext/>
        <w:spacing w:after="100"/>
      </w:pPr>
      <w:r>
        <w:rPr>
          <w:b/>
          <w:bCs/>
        </w:rPr>
        <w:t xml:space="preserve">Por qué podemos tener razón.</w:t>
      </w:r>
    </w:p>
    <w:p>
      <w:pPr>
        <w:spacing w:after="100"/>
      </w:pPr>
      <w:r>
        <w:t xml:space="preserve">Los ciclos de capex tecnológico se normalizan y los centros de datos son ≈10 % de las ventas [16]; el resto del negocio crece al ritmo del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7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Pedidos récord</w:t>
      </w:r>
      <w:r>
        <w:t xml:space="preserve">: +37 % orgánico en el 2T26 y cartera de 12.100 M (+70 %) [3].</w:t>
      </w:r>
    </w:p>
    <w:p>
      <w:pPr>
        <w:pStyle w:val="ListParagraph"/>
        <w:numPr>
          <w:ilvl w:val="0"/>
          <w:numId w:val="2"/>
        </w:numPr>
        <w:spacing w:after="60"/>
      </w:pPr>
      <w:r>
        <w:rPr>
          <w:b/>
        </w:rPr>
        <w:t xml:space="preserve">Rentabilidad muy alta</w:t>
      </w:r>
      <w:r>
        <w:t xml:space="preserve">: ROIC del 29,0 % con un WACC del 10,97 %.</w:t>
      </w:r>
    </w:p>
    <w:p>
      <w:pPr>
        <w:pStyle w:val="ListParagraph"/>
        <w:numPr>
          <w:ilvl w:val="0"/>
          <w:numId w:val="2"/>
        </w:numPr>
        <w:spacing w:after="60"/>
      </w:pPr>
      <w:r>
        <w:rPr>
          <w:b/>
        </w:rPr>
        <w:t xml:space="preserve">Servicio recurrente</w:t>
      </w:r>
      <w:r>
        <w:t xml:space="preserve">: 34 % de las ventas (7.340 M en 2025) [1].</w:t>
      </w:r>
    </w:p>
    <w:p>
      <w:pPr>
        <w:pStyle w:val="ListParagraph"/>
        <w:numPr>
          <w:ilvl w:val="0"/>
          <w:numId w:val="2"/>
        </w:numPr>
        <w:spacing w:after="60"/>
      </w:pPr>
      <w:r>
        <w:rPr>
          <w:b/>
        </w:rPr>
        <w:t xml:space="preserve">Balance sólido</w:t>
      </w:r>
      <w:r>
        <w:t xml:space="preserve">: deuda neta de 0,7 veces el EBITDA y 10.000 M devueltos desde 2020 [1].</w:t>
      </w:r>
    </w:p>
    <w:p>
      <w:pPr>
        <w:pStyle w:val="ListParagraph"/>
        <w:numPr>
          <w:ilvl w:val="0"/>
          <w:numId w:val="2"/>
        </w:numPr>
        <w:spacing w:after="60"/>
      </w:pPr>
      <w:r>
        <w:rPr>
          <w:b/>
        </w:rPr>
        <w:t xml:space="preserve">Guía al alza</w:t>
      </w:r>
      <w:r>
        <w:t xml:space="preserve">: BPA ajustado de 2026 subido de 14,65-14,85 a 15,20-15,30 USD [3, 6].</w:t>
      </w:r>
    </w:p>
    <w:p>
      <w:pPr>
        <w:pStyle w:val="Heading2"/>
      </w:pPr>
      <w:r>
        <w:t xml:space="preserve">En contra</w:t>
      </w:r>
    </w:p>
    <w:p>
      <w:pPr>
        <w:pStyle w:val="ListParagraph"/>
        <w:numPr>
          <w:ilvl w:val="0"/>
          <w:numId w:val="2"/>
        </w:numPr>
        <w:spacing w:after="60"/>
      </w:pPr>
      <w:r>
        <w:rPr>
          <w:b/>
        </w:rPr>
        <w:t xml:space="preserve">Precio exigente</w:t>
      </w:r>
      <w:r>
        <w:t xml:space="preserve">: 27,4x el BPA de 2027e y un DCF inverso del 21,1 % de crecimiento anual.</w:t>
      </w:r>
    </w:p>
    <w:p>
      <w:pPr>
        <w:pStyle w:val="ListParagraph"/>
        <w:numPr>
          <w:ilvl w:val="0"/>
          <w:numId w:val="2"/>
        </w:numPr>
        <w:spacing w:after="60"/>
      </w:pPr>
      <w:r>
        <w:rPr>
          <w:b/>
        </w:rPr>
        <w:t xml:space="preserve">Rentabilidad a 12 meses baja</w:t>
      </w:r>
      <w:r>
        <w:t xml:space="preserve">: 2,3 % ponderada.</w:t>
      </w:r>
    </w:p>
    <w:p>
      <w:pPr>
        <w:pStyle w:val="ListParagraph"/>
        <w:numPr>
          <w:ilvl w:val="0"/>
          <w:numId w:val="2"/>
        </w:numPr>
        <w:spacing w:after="60"/>
      </w:pPr>
      <w:r>
        <w:rPr>
          <w:b/>
        </w:rPr>
        <w:t xml:space="preserve">Concentración del entusiasmo en los centros de datos</w:t>
      </w:r>
      <w:r>
        <w:t xml:space="preserve">: −5 % en un día por un comentario de Nvidia [16].</w:t>
      </w:r>
    </w:p>
    <w:p>
      <w:pPr>
        <w:pStyle w:val="ListParagraph"/>
        <w:numPr>
          <w:ilvl w:val="0"/>
          <w:numId w:val="2"/>
        </w:numPr>
        <w:spacing w:after="60"/>
      </w:pPr>
      <w:r>
        <w:rPr>
          <w:b/>
        </w:rPr>
        <w:t xml:space="preserve">Márgenes bajo presión</w:t>
      </w:r>
      <w:r>
        <w:t xml:space="preserve">: −70 pb de margen EBITDA ajustado en el 2T26, EMEA −420 pb en margen EBIT [3].</w:t>
      </w:r>
    </w:p>
    <w:p>
      <w:pPr>
        <w:pStyle w:val="ListParagraph"/>
        <w:numPr>
          <w:ilvl w:val="0"/>
          <w:numId w:val="2"/>
        </w:numPr>
        <w:spacing w:after="60"/>
      </w:pPr>
      <w:r>
        <w:rPr>
          <w:b/>
        </w:rPr>
        <w:t xml:space="preserve">Ventas de directivos</w:t>
      </w:r>
      <w:r>
        <w:t xml:space="preserve">: 75,9 M USD en 12 meses, sin compras salvo un consejero [22].</w:t>
      </w:r>
    </w:p>
    <w:p>
      <w:pPr>
        <w:pStyle w:val="Heading2"/>
      </w:pPr>
      <w:r>
        <w:t xml:space="preserve">Qué tiene que pasar para que la tesis funcione</w:t>
      </w:r>
    </w:p>
    <w:p>
      <w:pPr>
        <w:spacing w:after="100"/>
      </w:pPr>
      <w:r>
        <w:t xml:space="preserve">La tesis depende de cuánto dure la ola de centros de datos. La señal de que no se cumple: relación pedidos/facturación de América por debajo del 100 % dos trimestres seguidos, o que la empresa deje de dar el crecimiento de los pedidos de equipos aplicados.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Adelantan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Relación pedidos/facturación de 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 centros de datos.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35,1x / 27,5x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Trane nace de la fusión de dos marcas centenarias dentro de Ingersoll-Rand: Thermo King (refrigeración de transporte, comprada en 1997) y Trane (climatización comercial, comprada a American Standard en 2008 por ≈10.000 M USD). En 2009 el grupo se domicilia en Irlanda. En febrero de 2020 separa su negocio industrial y lo fusiona con Gardner Denver (Reverse Morris Trust): lo que queda se llama Trane Technologies, un grupo puro de climatización [12]. En junio de 2020 lleva a concurso dos filiales con el amianto heredado (Aldrich y Murray) [1]. Desde entonces ha casi doblado sus ingresos y en 2025-2026 compra posiciones en refrigeración de centros de datos (BrainBox AI, Stellar Energy, LiquidStack)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Trane en La Crosse (Wisconsin).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Thermo King (primer equipo de frío para camiones).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Ingersoll-Rand compra Thermo King.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Ingersoll-Rand compra Trane a American Standard.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del negocio industrial (29-feb) y nace Trane Technologies; Aldrich y Murray en concurso por amianto (18-jun)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Regnery, consejero delegado (julio); presidente desde enero de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BrainBox AI (control de climatización con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Stellar Energy (553 M) y del resto de LiquidStack; 49 % de Kieback&amp;Peter; cartera récord de 12.100 M [3,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Trane diseña, fabrica, instala y mantiene equipos de climatización (calefacción, ventilación y aire acondicionado) para edificios comerciales e industriales (enfriadoras, unidades de cubierta, sistemas de agua y de aire, bombas de calor, controles y gestión de edificios), viviendas (marca Trane y American Standard) y transporte refrigerado (Thermo King: equipos de frío para camiones, remolques, contenedores y autobuses) [1]. Vende a constructoras, ingenierías, propietarios de edificios, centros de datos, hospitales, fábricas y flotas, por oficinas comerciales propias, distribuidores y concesionarios. En 2025 facturó 21.322 M USD: 66 % equipos y 34 % servicios y repuestos; el 75 % en EE. UU. [1]. Tiene unos 44.000 empleados en 62 países y fábricas en las tres regiones con la estrategia «en la región, para la región» [1].</w:t>
      </w:r>
    </w:p>
    <w:p>
      <w:pPr>
        <w:pStyle w:val="Heading2"/>
      </w:pPr>
      <w:r>
        <w:t xml:space="preserve">Cómo gana dinero</w:t>
      </w:r>
    </w:p>
    <w:p>
      <w:pPr>
        <w:spacing w:after="100"/>
      </w:pPr>
      <w:r>
        <w:t xml:space="preserve">El beneficio sale de la climatización comercial: equipos aplicados (enfriadoras de gran tamaño) que se diseñan a medida para cada edificio o centro de datos y que se especifican en el proyecto; luego, 20-30 años de servicio, repuestos y contratos de mantenimiento sobre la base instalada (34 % de las ventas en 2025, recurrentes y de mayor margen) [1]. El 79 % de los ingresos se reconoce en un momento puntual y el 21 % a lo largo del contrato [1]. El margen depende del precio (+3,0 % en 2025), la productividad de fábrica y la mezcla (más aplicados y servicios); los costes son acero, cobre, aluminio y componentes. La demanda es estacional (2T y 3T, verano del hemisferio norte) [1]. Apalancamiento operativo: en 2025 cada dólar adicional de ventas dejó ≈31 céntimos de EBIT.</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en 2023-2025 ni hay dependencia de un grupo pequeño [1]. Barclays estima que los centros de datos son ≈10 % de las ventas de Trane [16]; con la cartera del 2T26 (equipos aplicados de América +130 %) ese peso sube. Los contratos de servicio duran de 12 a 60 meses [1]. El poder de precios está demostrado: precio +3,0 % en 2025 (+3,8 % en América) con inflación de costes y aranceles, y el margen bruto subió 50 pb [1]. Thermo King depende del ciclo de flotas de transporte por carretera en EE. UU., débil en 2025-2026 [1,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≈20.300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22.600 (2T26: 7.818, +39 %)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equipos aplicados de América +130 % en el 2T26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Dic-2024: 6.748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Dic-2025: 7.769; jun-2026: 12.100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y +70 %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2026-2027 asegurados en buena parte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 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7.340 M USD de servicios recurrentes sobre la base instalada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6,2 %; guía 2026 ≈9 %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+3,2 % y precio +3,0 % en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20,1 %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bajó 70 pb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Relación pedidos/facturación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 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123 %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que 100 % en las tres regiones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sistemas de climatización (equipos y servicios) para edificios comerciales, residenciales e industriales y el frío de transporte, en todo el mundo. Usamos la medida de MarketsandMarkets (≈299.000 M USD en 2025, +6,4 % anual hasta 2030) [13] y la contrastamos con Grand View Research (≈259.000 M USD en 2025, +7 % anual) [14]: la diferencia es de perímetro (servicios y residencial). Trane pesa más en la parte comercial aplicada de Norteamérica, donde es líder; su peso sobre el total mundial ronda el 7 %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≈299.000 M USD en 2025 (MarketsandMarkets) [13]; ≈259.000 M USD (Grand View Research)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arketsandMarkets; 2026-2030 previsió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aplicados de América +130 % en pedidos del 2T26; compras de Stellar Energy y LiquidStack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descarbonización de edificios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de calor y renovación; la empresa lo cita como motor de la climatización comercial de América y Europa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refrigerantes (AIM Act, gases fluorados)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Hundió el residencial de EE. UU. en 2025 y sube el precio medio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no residencial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del 5,2 %; la empresa cita los tipos altos como incertidumbre en residencial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Transporte por carretera (Thermo King)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débil de transporte refrigerado en 2025-2026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Repercutidos en precio; producción regional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(Carrier, Daikin, Johnson Controls, Trane, Lennox) más especialistas; en aplicados compiten por especificación y plazo, no solo precio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Hiperescaladores con pedidos enormes negocian; el resto de clientes está atomizado (ninguno &gt; 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cobre y aluminio de muchos proveedores; algunos componentes con escasez puntual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red de servicio y especificación en ingenierías; en refrigeración líquida entran integradores eléctricos (Eaton, Schneider, Vertiv)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Chips que toleran agua más caliente pueden reducir enfriadoras en centros de datos (comentario de Nvidia de enero de 2026) [16].</w:t>
            </w:r>
          </w:p>
        </w:tc>
      </w:tr>
    </w:tbl>
    <w:p>
      <w:pPr>
        <w:spacing w:after="160" w:before="0"/>
      </w:pPr>
    </w:p>
    <w:p>
      <w:pPr>
        <w:pStyle w:val="Heading2"/>
      </w:pPr>
      <w:r>
        <w:t xml:space="preserve">Ciclo</w:t>
      </w:r>
    </w:p>
    <w:p>
      <w:pPr>
        <w:spacing w:after="100"/>
      </w:pPr>
      <w:r>
        <w:t xml:space="preserve">La climatización comercial está en expansión por centros de datos (cartera +70 %), mientras residencial y transporte salen de un fondo en 2025 [1, 3]. En 2020 los ingresos de Trane cayeron un 4,8 % y en 2009 los del sector un 10-20 % (ficha sectorial) [12, 15]; 2022 fue de desabastecimiento y subidas de precio. El riesgo de ciclo está en la obra nueva y en el capex de centros de datos; el servicio (34 %) amortigua.</w:t>
      </w:r>
    </w:p>
    <w:p>
      <w:pPr>
        <w:pStyle w:val="Heading2"/>
      </w:pPr>
      <w:r>
        <w:t xml:space="preserve">Regulación</w:t>
      </w:r>
    </w:p>
    <w:p>
      <w:pPr>
        <w:spacing w:after="100"/>
      </w:pPr>
      <w:r>
        <w:t xml:space="preserve">En EE. UU., la AIM Act obliga desde el 1-ene-2025 a refrigerantes de menor potencial de calentamiento (R-454B, R-32), con un año de transición en residencial [1]; en la UE, el reglamento de gases fluorados de 2024 y la directiva de eficiencia de edificios (EPBD refundida) empujan bombas de calor y automatización. Los aranceles de 2025 de EE. UU. y las respuestas de otros países cambian costes de componentes [1].</w:t>
      </w:r>
    </w:p>
    <w:p>
      <w:pPr>
        <w:pStyle w:val="Heading2"/>
      </w:pPr>
      <w:r>
        <w:t xml:space="preserve">Tendencias y disrupción</w:t>
      </w:r>
    </w:p>
    <w:p>
      <w:pPr>
        <w:spacing w:after="100"/>
      </w:pPr>
      <w:r>
        <w:t xml:space="preserve">Tres tendencias favorecen a Trane: la electrificación de la calefacción (bombas de calor), la refrigeración de centros de datos (por aire y líquida directa al chip, con la compra de LiquidStack y la colaboración con Eaton para diseños de potencia y frío) [4, 18] y el control digital con IA (BrainBox AI) [1]. La amenaza tecnológica es que los chips nuevos necesiten menos enfriadoras: el 6-ene-2026 la acción cayó un 5 % por ese comentario [16]. Gana si sigue vendiendo el sistema completo (enfriadora, líquido y control) y pierde si la refrigeración se integra en el rack de Vertiv o Schneider.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climatización comercial aplicada de Norteamérica; ≈7 % del mercado mundial de climatización (21.322 M sobre ≈299.000 M USD) [1, 13]; uno de los dos líderes mundiales en frío de transporte (Thermo King, con Carrier Transicold).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York y controles de edificio; vendió su residencial a Bosch en 2024; margen EBITDA 14,8 %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residencial y Europa (Viessmann); margen EBITDA 13,9 %, ROIC 6 %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6367</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mundial (Goodman en EE. UU.); fuerte en residencial y split; margen EBITDA 14,3 %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y unidades de cubierta en EE. UU.; margen EBITDA 22 %, ROIC 34 %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potencia y frío de centros de datos; rival directo en refrigeración líquida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Schneider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46.816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Motivair (refrigeración líquida) en 2024; control de edificios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servicio propia que se refuerza con la base instalada; no es un efecto de red en sentido estricto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especificados para 20-30 años y servicio recurrente (34 %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Trane y Thermo King (2.610 M de marcas de vida indefinida en balance); programa de formación de ingenieros comerciales desde 1926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20 % frente al 14-15 % de Carrier, Daikin y Johnson Controls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fabricantes con capacidad de enfriadoras grandes y servicio nacional en EE. UU. [1].</w:t>
            </w:r>
          </w:p>
        </w:tc>
      </w:tr>
    </w:tbl>
    <w:p>
      <w:pPr>
        <w:spacing w:after="160" w:before="0"/>
      </w:pPr>
    </w:p>
    <w:p>
      <w:pPr>
        <w:pStyle w:val="Heading2"/>
      </w:pPr>
      <w:r>
        <w:t xml:space="preserve">Amenazas</w:t>
      </w:r>
    </w:p>
    <w:p>
      <w:pPr>
        <w:spacing w:after="100"/>
      </w:pPr>
      <w:r>
        <w:t xml:space="preserve">Tres amenazas: (1) que la nueva generación de chips reduzca la necesidad de enfriadoras en los centros de datos (probabilidad media; el mercado ya lo castigó en enero de 2026) [16]; (2) que los integradores eléctricos (Vertiv, Schneider, Eaton) capten el valor de la refrigeración líquida dentro del rack (media; Eaton pagó 22,5 veces el EBITDA por Boyd Thermal) [17]; (3) presión de precios de fabricantes asiáticos en residencial y unidades de cubierta (baja en aplicados).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2020-2025: ingresos </w:t>
      </w:r>
      <w:r>
        <w:rPr>
          <w:b/>
          <w:bCs/>
        </w:rPr>
        <w:t xml:space="preserve">11,4 %</w:t>
      </w:r>
      <w:r>
        <w:t xml:space="preserve">, EBITDA </w:t>
      </w:r>
      <w:r>
        <w:rPr>
          <w:b/>
          <w:bCs/>
        </w:rPr>
        <w:t xml:space="preserve">18,9 %</w:t>
      </w:r>
      <w:r>
        <w:t xml:space="preserve">, BPA </w:t>
      </w:r>
      <w:r>
        <w:rPr>
          <w:b/>
          <w:bCs/>
        </w:rPr>
        <w:t xml:space="preserve">26,7 %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Desde la separación del negocio industrial (29-feb-2020) Trane es un grupo de climatización puro y las cifras de 2020-2025 tienen el mismo perímetro [2, 12]. Los ingresos pasan de 12.455 M USD en 2020 a 21.322 M en 2025 (+11,4 % anual), casi todo orgánico: las compras sumaron un 0,8 % en 2025 (volumen +3,2 %, precio +3,0 %) [1]. El margen EBIT sube del 12,3 % de 2020 al 18,6 % de 2025: margen bruto del 36,2 % (+50 pb en 2025) por productividad y precio, y gastos comerciales y generales que bajan del 18,2 % al 17,6 % de las ventas [1]. En el 1S26 las ventas crecen un 8,5 % (orgánico ≈ +6 %) y el margen EBIT cae del 19,0 % al 17,7 % por la amortización de la cartera comprada con Stellar Energy, reestructuración y la reinversión en EMEA [3, 5]. El beneficio que usamos es el de las actividades continuadas: las discontinuadas (−37 M en 2025) son los gastos legales de las filiales en concurso por amianto (Aldrich y Murray) [1].</w:t>
      </w:r>
    </w:p>
    <w:p>
      <w:pPr>
        <w:pStyle w:val="Heading2"/>
      </w:pPr>
      <w:r>
        <w:t xml:space="preserve">Ajustes y partidas no recurrentes</w:t>
      </w:r>
    </w:p>
    <w:p>
      <w:pPr>
        <w:spacing w:after="100"/>
      </w:pPr>
      <w:r>
        <w:t xml:space="preserve">La empresa publica un BPA ajustado que excluye reestructuración, costes de compras, la amortización de la cartera de pedidos adquirida (14,7 M en el 2T26) y ajustes de contraprestaciones contingentes; en 2025 el ajustado (13,06 USD) quedó por DEBAJO del contable (13,14) porque la liberación de contraprestaciones contingentes (61,2 M) bajó los gastos [1, 6]. En 2026 la guía contable es de 15,00-15,10 USD y la ajustada de 15,20-15,30 [3]. Usamos el BPA contable de las actividades continuadas; la diferencia con el ajustado es de un 1-2 % y no cambia la valoración. La reestructuración (31 M en 2025, 5 M en 2024, 15 M en 2023) se repite todos los años y no se trata como no recurrente.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de la empresa y BPA contable de las actividades continuadas. En el 2T26 los pedidos orgánicos subieron un 37 % (Climatización comercial de América +50 %; equipos aplicados, que incluyen las enfriadoras para centros de datos, +130 %), la relación pedidos/facturación fue del 123 % y la cartera llegó al récord de 12.100 M USD (+70 %) [3]. La dirección subió la guía 2026 por segunda vez: crecimiento orgánico ≈9 % (antes ≈7 %; en enero, 6-7 %) y BPA ajustado de 15,20-15,30 USD (enero: 14,65-14,85) [3, 5, 6]. El mensaje cambió entre enero y julio: de un año de transición en residencial (cambio de refrigerante) a residencial y transporte «mejorando» [3, 6]. Lo que no se resuelve: el margen bajó 60-100 pb en el trimestre (EMEA −420 pb en margen EBIT ajustado por la integración de compras y el conflicto de Oriente Medio; Asia −60 pb) y la dirección no da el peso de los centros de datos en la cartera [3]. El 2T26 superó el consenso en 0,05 USD de BPA ajustado y en 150 M de ventas (Seeking Alpha, 30-jul-2026). Los trimestres de 2025 salen de sus notas de prensa [7, 8, 9,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lleva estable en 4.600-4.800 M USD desde 2021 mientras el EBITDA casi se dobla: la deuda neta baja de 1,1 veces el EBITDA en 2020 a 0,7 veces en 2025, y a 30-jun-2026 es de 3.299 M (caja 1.318 M) tras pagar 742 M en compras y 756 M en recompras en el semestre [1, 3]. El capital circulante comercial (clientes + existencias − proveedores) ronda el 15 % de las ventas, pero la empresa cobra anticipos de clientes (pasivos de contrato de 1.725 M en 2025) que lo dejan en el 0,9 % de las ventas con su definición [3]. El fondo de comercio sube a 7.032 M por Stellar Energy (379 M) y LiquidStack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11.542</w:t>
      </w:r>
      <w:r>
        <w:t xml:space="preserve">, conversión </w:t>
      </w:r>
      <w:r>
        <w:rPr>
          <w:b/>
          <w:bCs/>
        </w:rPr>
        <w:t xml:space="preserve">98 %</w:t>
      </w:r>
      <w:r>
        <w:t xml:space="preserve"> del beneficio neto; adquisiciones 2.006, dividendos 3.967, recompras 5.982.</w:t>
      </w:r>
    </w:p>
    <w:p>
      <w:pPr>
        <w:spacing w:after="100"/>
      </w:pPr>
      <w:r>
        <w:t xml:space="preserve">La caja operativa pasa de 1.435 M USD en 2020 a 3.195 M en 2025, con conversión del beneficio superior al 100 % desde 2023 (2022 fue bajo por los inventarios y por los 270 M del fondo del amianto) [1, 11]. El capex es pequeño (1,8 % de las ventas en 2025, 383 M) y la empresa no separa mantenimiento y crecimiento; estimación propia: el mantenimiento ronda la amortización material (≈1,3 % de las ventas) y el resto es capacidad para enfriadoras y centros de datos. En 1S26 la caja libre fue de 1.603 M, casi el doble que un año antes, por los anticipos de los grandes pedidos [3]. De 2020 a 2025 la caja se usó en dividendos (≈4.000 M), recompras (≈6.000 M) y compras (≈2.000 M), sin subir la deuda.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la empresa «al menos desde 1906» [1]: una relación muy larga, que es más un riesgo de familiaridad que una alerta. La materia crítica de auditoría es el reconocimiento de ingresos de contratos en el tiempo (21 % de las ventas) [1]. No hay capitalización de I+D (348 M de gasto en 2025). Los pagos en acciones son modestos frente al beneficio. Dos partidas piden atención: (1) las liberaciones de contraprestaciones contingentes (61 M en 2025, 25 M en 2024, 47 M en 2022) suben el beneficio contable [1, 11]; (2) el amianto se lleva por debajo de la línea, en discontinuadas, y la impugnación de la reestructuración de 2020 no tiene provisión [1]. Lectura de los indicadores de calidad del informe: Altman, Piotroski y Beneish sin señales de manipulación; el Altman alto refleja la capitalización bursátil, no solo 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Contraprestaciones contingentes liberadas a resultados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61,2 M en 2025 (≈0,2 USD por acción): el BPA ajustado de 2025 fue inferior al contable por esto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Amianto de Aldrich y Murray fuera del perímetro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 desde 2020; la impugnación del comité de demandantes podría devolver pasivos al grupo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más de un siglo de relación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desde al menos 1906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6.457 M en 2025 (el 57 % del capital invertido medio); ha subido más de un 5 % en 2 de 5 años: compras pequeñas. ROIC publicado 29,0 %; sin fondo de comercio, 67,2 %.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76,4 % · </w:t>
      </w:r>
      <w:r>
        <w:rPr>
          <w:b/>
          <w:bCs/>
        </w:rPr>
        <w:t xml:space="preserve">WACC</w:t>
      </w:r>
      <w:r>
        <w:t xml:space="preserve">: 11,0 %.</w:t>
      </w:r>
    </w:p>
    <w:p>
      <w:pPr>
        <w:spacing w:after="100"/>
      </w:pPr>
      <w:r>
        <w:t xml:space="preserve">Trane crea valor de sobra: el ROIC pasa del 14,0 % de 2020 al 29,0 % de los últimos doce meses, frente a un WACC del 10,97 %, y sin el fondo de comercio de la compra de Trane en 2008 supera el 60 %. Lo mueve la rotación (de 0,69 a ≈1,0 veces el capital) y el margen (EBIT del 12 % al 19 %) [1]. El ROIC incremental histórico es del 76,4 %: los 9.000 M de ventas nuevas desde 2020 casi no han pedido capital, porque el capex es del 2 % de las ventas y los anticipos de clientes financian el circulante. Frente a los competidores, el ROIC de Carrier (6 %) y Johnson Controls (11 %) se hunde por el fondo de comercio de sus compras; Lennox (34 %) y Vertiv (24 %) están en su liga [28].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1.318 M USD a 30-jun-2026 y dos líneas de crédito comprometidas de 1.000 M cada una sin disponer (vencen en abril de 2027 y mayo de 2030), que respaldan un programa de pagarés de 2.000 M sin saldo vivo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 Baa1 (Moody's), según la prensa financiera; no figura en el 10-K (estimación sin fuente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con un déficit neto de 194,6 M USD a cierre de 2025 y obligaciones de salud de jubilados sin fondo de 217,0 M [1]. Las filiales Aldrich y Murray (amianto) están en concurso desde junio de 2020 y fuera del perímetro; Trane tiene acuerdos de financiación para pagar su fideicomiso del artículo 524(g): en 2022 aportó 270 M a un fondo de liquidación y las discontinuadas cargan 26-37 M al año de gastos legales; el comité de demandantes impugna la reestructuración de 2020 [1]. Hay obligaciones con opción de venta anual por 293 M (256 M ejercitables en noviembre de 2026) y garantías de ahorro energético en contratos de servicios [1]. Contraprestaciones contingentes de compras: 60,6 M en 2026 [4].</w:t>
      </w:r>
    </w:p>
    <w:p>
      <w:pPr>
        <w:pStyle w:val="Heading1"/>
      </w:pPr>
      <w:r>
        <w:t xml:space="preserve">12. Asignación de capital</w:t>
      </w:r>
    </w:p>
    <w:p>
      <w:pPr>
        <w:pStyle w:val="Confianza"/>
        <w:spacing w:after="100"/>
      </w:pPr>
      <w:r>
        <w:t xml:space="preserve">Confianza: Alta</w:t>
      </w:r>
    </w:p>
    <w:p>
      <w:pPr>
        <w:spacing w:after="100"/>
      </w:pPr>
      <w:r>
        <w:t xml:space="preserve">La empresa declara un dividendo «competitivo y creciente» y desplegar el 100 % de la caja sobrante en el tiempo; el dividendo trimestral pasa de 0,53 USD (2020) a 1,05 (2026, +12 %) [1]. Hay 4.800 M de recompras autorizadas a cierre de 2025 (autorización de 5.000 M de diciembre de 2024); hasta julio de 2026 se destinaron 840 M a recompras, 690 M a dividendos y 340 M comprometidos en compras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Stellar Energy Americas (refrigeración llave en mano de centros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(se adquirieron 185,4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379 M e intangibles de 315 M; demasiado pronto para juzgar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LiquidStack (refrigeración líquida; resto del capital) y distribuidores de Thermo King; 49 % de Kieback&amp;Peter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60,6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no monetaria por la participación previa en LiquidStack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BrainBox AI (optimización de climatización con IA) y compras en EMEA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perdió 150 pb de margen por la integración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MTA S.p.A. (refrigeración de procesos industriales,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Pagarés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[1].</w:t>
            </w:r>
          </w:p>
        </w:tc>
      </w:tr>
    </w:tbl>
    <w:p>
      <w:pPr>
        <w:spacing w:after="160" w:before="0"/>
      </w:pPr>
    </w:p>
    <w:p>
      <w:pPr>
        <w:spacing w:after="100"/>
      </w:pPr>
      <w:r>
        <w:t xml:space="preserve">Asignación de capital disciplinada: de 2020 a 2025 devolvió unos 10.000 M (dividendos y recompras) frente a ≈2.000 M en compras pequeñas, sin endeudarse y con el número de acciones diluidas bajando de 243 a 225 M (−1,5 % al año) [1]. Las compras son complementos tecnológicos (refrigeración líquida, control con IA) que no han deteriorado fondo de comercio. El giro de 2026 es más caro: ≈870 M en Stellar y LiquidStack para ganar posición en centros de datos.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 Regnery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1986 (Thermo King y Trane); consejero delegado desde julio de 2021 y presidente desde enero de 2022 [1]. Con él los ingresos pasan de 14.136 M (2021) a 21.322 M (2025) y el BPA continuado de 5,96 a 13,14 USD.</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Kuehn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marzo de 2020; antes, responsable de contabilidad del grupo [1]. Deuda bruta estable y 10.000 M devueltos al accionista desde 2020.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Donald E. (Donny) Simmons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(desde 1-jul-2026)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años en la empresa; dirigió América (2024-2026) y la climatización comercial de Norteamérica y EMEA [20]. Su nombramiento ordena la sucesión del consejero delegado (63 años).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Mauro Atalla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Collins Aerospace (ingeniería y tecnología)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Victoria V. Lazar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jefa jurídica de TechnipFMC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 crecimiento orgánico 7-8 %, BPA ajustado 12,70-12,90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6,2 %; BPA ajustado 13,06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orgánico 6-7 %, BPA 14,65-14,85 USD; subida en abril (≈7 %, 14,75-14,95) y en julio (≈9 %, ajustado 15,20-15,30)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por encima del plan)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Regnery lleva 40 años en el grupo y el director financiero seis en el cargo. En 2025 batió la guía de BPA (13,06 frente a 12,70-12,90) aunque se quedó corto en crecimiento orgánico por residencial [6, 10]; en 2026 la ha subido dos veces [3]. El nombramiento de Simmons como director de operaciones (junio de 2026) apunta a sucesor del consejero delegado [20]. La salida a los ocho meses del director de cadena de suministro fichado de Coca-Cola (julio de 2026) es una nota negativa menor [21].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 Regnery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 Surma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 E.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P. Assis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C. Berzin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April Miller Boise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R. George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Hayes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Myles P.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F. Pine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Melissa N. Schaeffer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0,17 / ventas 75,22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febrero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declaración en noviembre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S. Regnery (presidente y consejero delegado), varias ventas con plan 10b5-1 hasta oct-2026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Donald E. Simmons (director de operaciones), ventas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J. Kuehn (director financiero), ventas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A. Hayes (consejero), compra en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27,3 M USD en 2025 (28,2 M en 2024): 1,5 M de fijo, 2,8 M de variable anual y 14,6 M en acciones y opciones; el resto es el aumento del valor de su pensión (7,5 M) [19]. El variable anual mide ingresos, EBITDA ajustado, caja y objetivos de sostenibilidad; las acciones por objetivos (PSU, tres años) miden el rendimiento del capital en caja (CROIC) y la rentabilidad para el accionista frente al S&amp;P 500 Industriales, a partes iguales [19]. El voto consultivo de 2025 sobre la remuneración obtuvo ≈90 % a favor [19]. La ratio frente al empleado mediano es de 402:1 [19].</w:t>
      </w:r>
    </w:p>
    <w:p>
      <w:pPr>
        <w:pStyle w:val="Heading2"/>
      </w:pPr>
      <w:r>
        <w:t xml:space="preserve">Operaciones vinculadas, estructura de control y defensas</w:t>
      </w:r>
    </w:p>
    <w:p>
      <w:pPr>
        <w:spacing w:after="100"/>
      </w:pPr>
      <w:r>
        <w:t xml:space="preserve">Sin accionista de control: los cuatro mayores son gestoras indexadas o institucionales (28,8 % entre las cuatro) [19]. Una clase de acciones y una acción, un voto; sociedad irlandesa sujeta a las reglas de opas de Irlanda. El presidente es el consejero delegado, contrapesado por un consejero coordinador independiente (Surma) y 10 de 11 consejeros independientes [19]. No hay operaciones vinculadas relevantes.</w:t>
      </w:r>
    </w:p>
    <w:p>
      <w:pPr>
        <w:pStyle w:val="Heading2"/>
      </w:pPr>
      <w:r>
        <w:t xml:space="preserve">Señales de alerta</w:t>
      </w:r>
    </w:p>
    <w:p>
      <w:pPr>
        <w:pStyle w:val="ListParagraph"/>
        <w:numPr>
          <w:ilvl w:val="0"/>
          <w:numId w:val="2"/>
        </w:numPr>
        <w:spacing w:after="60"/>
      </w:pPr>
      <w:r>
        <w:t xml:space="preserve">Ventas de directivos por 75,9 M USD en 12 meses, casi todas con planes 10b5-1 (62,1 M del consejero delegado), sin compras salvo un consejero (0,17 M) [22].</w:t>
      </w:r>
    </w:p>
    <w:p>
      <w:pPr>
        <w:pStyle w:val="ListParagraph"/>
        <w:numPr>
          <w:ilvl w:val="0"/>
          <w:numId w:val="2"/>
        </w:numPr>
        <w:spacing w:after="60"/>
      </w:pPr>
      <w:r>
        <w:t xml:space="preserve">Salida del director global de cadena de suministro a los ocho meses de fichar (1-ago-2026) [21].</w:t>
      </w:r>
    </w:p>
    <w:p>
      <w:pPr>
        <w:pStyle w:val="ListParagraph"/>
        <w:numPr>
          <w:ilvl w:val="0"/>
          <w:numId w:val="2"/>
        </w:numPr>
        <w:spacing w:after="60"/>
      </w:pPr>
      <w:r>
        <w:t xml:space="preserve">Presidente y consejero delegado en la misma persona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(30-jul-2026, segunda subida del año): ingresos +11,5 % publicados y ≈+9 % orgánicos; BPA contable de 15,00-15,10 USD y ajustado de 15,20-15,30 USD [3]. La empresa no publica objetivos a medio plazo en los documentos leídos; su marco de largo plazo (crecimiento orgánico de un dígito alto y apalancamiento operativo del 25 %) se repite en las presentaciones. Próximos resultados (3T26): 29-oct-2026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24 analistas (BPA ajustado)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25 analistas (BPA ajustado)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422,00 – 575,00</w:t>
            </w:r>
          </w:p>
        </w:tc>
      </w:tr>
    </w:tbl>
    <w:p>
      <w:pPr>
        <w:spacing w:after="160" w:before="0"/>
      </w:pPr>
    </w:p>
    <w:p>
      <w:pPr>
        <w:pStyle w:val="Heading2"/>
      </w:pPr>
      <w:r>
        <w:t xml:space="preserve">Revisiones de estimaciones</w:t>
      </w:r>
    </w:p>
    <w:p>
      <w:pPr>
        <w:spacing w:after="100"/>
      </w:pPr>
      <w:r>
        <w:t xml:space="preserve">En 90 días el BPA de consenso de 2026 sube de 14,90 a 15,27 USD (+2,5 %) y el de 2027 de 17,08 a 17,63 (+3,2 %), por la subida de la guía del 30-jul y la cartera récord [24]. Los objetivos se mueven al alza: Goldman Sachs pasa a Comprar el 14-oct-2026 (565 USD; su BPA 2027 está ≈4 % por encima del consenso) y Wells Fargo inicia en Sobreponderar (536 USD) el 25-sep; RBC sigue en Neutral (502 USD) [18, 24]. Solo hay una fuente gratuita con estimaciones completas (Yahoo); Stock Analysis da el mismo objetivo medio, 528,69 USD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bl>
    <w:p>
      <w:pPr>
        <w:spacing w:after="160" w:before="0"/>
      </w:pPr>
    </w:p>
    <w:p>
      <w:pPr>
        <w:spacing w:after="100"/>
      </w:pPr>
      <w:r>
        <w:t xml:space="preserve">La acción multiplica casi por 3,2 su precio desde la separación de 2020 (rentabilidad total del 23,5 % anual en cinco años frente al 13,0 % del S&amp;P 500) gracias a que el BPA pasó de 4,02 a 13,14 USD y el PER subió con la tesis de los centros de datos [23]. En 2025 se quedó atrás (+6,1 % frente a +17,7 %) por el frenazo de residencial y el temor a los chips que necesitan menos frío; en 2026 recupera (+21,9 % en el año) con pedidos récord [16, 23]. Posición corta baja (1,7 % del capital)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-4,5 % / -2,5 % / +5,8 %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 +19,2 %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un mes hasta el 27-abr tras la caída de marzo, antes de unos resultados del 1T26 con pedidos +24 % orgánicos y cartera de 10.700 M [3,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15-sep: venta de los valores de infraestructura de IA por la subida de los tipos a largo y recogida de beneficios, sin noticia de la empresa (Quiver Quant y Seeking Alpha) [18,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Nvidia dijo en el CES que sus chips Vera Rubin no necesitarían enfriadoras de agua; Barclays estimó que los centros de datos son ≈10 % de las ventas de Trane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15-oct-2026 (intradía)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los valores de frío para centros de datos (Vertiv −6,6 %, Johnson Controls −5,3 %) con Carrier y Lennox al alza y el S&amp;P 500 plano: movimiento del sector, sin noticia propia encontrada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sube a Comprar (objetivo 565 USD); RBC mantiene Neutral y sube el objetivo a 502 USD [18,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inicia en Sobreponderar con objetivo de 536 USD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pedidos +37 % orgánicos, cartera 12.100 M, guía elevada; la acción había caído el día anterior con el sector por márgenes y dudas de centros de datos [3,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el director global de cadena de suministro (1-ago); el 10-jun se nombró director de operaciones a Donny Simmons (Form 4 y 8-K de la SEC).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con planes 10b5-1 por 75,9 M USD en 12 meses (62,1 M del consejero delegado), programadas y ligadas a opciones; no es una salida de quien mejor conoce la empresa sin motivo (Form 4 y 8-K de la SEC).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29-oct-2026 (consenso BPA ajustado 4,73 USD, ventas 6.490 M)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lateral (−0,6 % frente a la media de 200 sesiones) y un 10,9 % por debajo de su máximo histórico de junio. Sus movimientos fuertes de 2026 los explica el sector (tipos, dudas sobre el frío de los centros de datos) y no la empresa, que sube la guía y bate pedidos. No hay colocaciones, ampliaciones, ofertas ni decisiones con fecha pendientes; el litigio del amianto no tiene hito próximo. Las ventas de directivos son programadas. Unos resultados cercanos no retrasan la decisión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PER de los últimos doce meses pasa de ≈36x en 2020 (BPA deprimido por la pandemia) a ≈30x en 2025; el PER adelantado (precio de cierre entre el BPA del año siguiente) se mueve entre 18,9x (2022) y 28,1x (2024), con mediana de cinco años de 25,9x. Hoy cotiza a 27,4x el BPA propio de 2027e, algo por encima de su mediana: el mercado paga ya la aceleración por centros de datos. Desde 2020 el múltiplo ha subido de forma estructural porque el grupo es más rentable (margen EBIT del 12 % al 19 %) y crece más.</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con negocio comparable (Carrier, Daikin, Johnson Controls, Lennox), el especialista en frío de centros de datos (Vertiv) y dos grupos de control de edificios y electrificación que compiten en centros de datos (Schneider, Siemens). Cifras de Yahoo Finance del 14-oct-2026, mismo día que nuestro precio, pasadas a USD [28]. Excluimos a Belimo, Halma y Spirax (componentes, no equipos). El PER adelantado es el de consenso (ajustado), como el BPA ajustado de Trane, que difiere del contable en un 1-2 %.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234.571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17,7x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21,3x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3,1x / 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r>
    </w:tbl>
    <w:p>
      <w:pPr>
        <w:spacing w:after="160" w:before="0"/>
      </w:pPr>
    </w:p>
    <w:p>
      <w:pPr>
        <w:spacing w:after="100"/>
      </w:pPr>
      <w:r>
        <w:t xml:space="preserve">Trane cotiza con prima sobre los fabricantes de climatización (PER adelantado de Yahoo 26,5x frente a 13-25x) y en línea con Johnson Controls y Vertiv, los otros expuestos a centros de datos [28]. La prima se apoya en un margen EBITDA del 20 % (14-15 % en Carrier, Daikin y JCI) y en un ROIC del 24 % (6-11 % en los compradores con fondo de comercio grande) [28]. La mediana de PER de los comparables (21,3x) implica un valor por debajo del precio; usamos los comparables con peso moderado porque Lennox y Carrier dependen del residencial y Daikin no tiene PER publicado.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sobre EBITDA ajustado 2026e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14.200 M del 10-K de Carrier sobre un EBITDA 2023 de ≈770 M (prensa); estimación propia [29,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Stellar Energy Americas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no publicado [4].</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refrigeración para centros de datos se pagan muy caras (Boyd Thermal a 22,5 veces el EBITDA) y las de climatización tradicional, a 15-18 veces (Viessmann) [17, 29, 30]. Trane cotiza a ≈24 veces su EBITDA de los últimos doce meses, en la parte alta de ese rango: no hay prima de control que ganar. Con 104.000 M de capitalización y sin accionista de control, no es objetivo realista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año 2026e es fijo con la guía de julio (+11,5 % de ventas, ≈9 % orgánico) [3]. 2027e crece un 10 %: la cartera de 12.100 M (+70 %) y la relación pedidos/facturación del 123 % cubren buena parte del año; el consenso espera un 9,8 % (26.077 M) [24]. Después bajamos de forma gradual hasta el 4 % en 2033e, por encima del mercado (6,4 % hasta 2030) al principio y por debajo al final, para no suponer que la ola de centros de datos dura una década. El crecimiento medio proyectado (7,3 %) está por debajo del histórico 2020-2025 (11,4 %), que incluye la salida de la pandemia y la inflación de 2022.</w:t>
      </w:r>
    </w:p>
    <w:p>
      <w:pPr>
        <w:keepNext/>
        <w:spacing w:after="100"/>
      </w:pPr>
      <w:r>
        <w:rPr>
          <w:b/>
          <w:bCs/>
        </w:rPr>
        <w:t xml:space="preserve">Márgenes.</w:t>
      </w:r>
    </w:p>
    <w:p>
      <w:pPr>
        <w:spacing w:after="100"/>
      </w:pPr>
      <w:r>
        <w:t xml:space="preserve">Margen EBITDA contable del 20,2 % en 2026e (guía de BPA y margen del 1S26) y subida hasta el 21,5 % en 2029e por mezcla (aplicados y servicios) y apalancamiento operativo; el máximo histórico es el 20,4 % de 2025 [1]. Lennox y Vertiv ya están en el 22 % [28]. No suponemos más porque EMEA perdió 420 pb en el 2T26 y la refrigeración líquida y los centros llave en mano tienen menos margen que el servicio.</w:t>
      </w:r>
    </w:p>
    <w:p>
      <w:pPr>
        <w:keepNext/>
        <w:spacing w:after="100"/>
      </w:pPr>
      <w:r>
        <w:rPr>
          <w:b/>
          <w:bCs/>
        </w:rPr>
        <w:t xml:space="preserve">Inversión y circulante.</w:t>
      </w:r>
    </w:p>
    <w:p>
      <w:pPr>
        <w:spacing w:after="100"/>
      </w:pPr>
      <w:r>
        <w:t xml:space="preserve">Capex del 2,0 % de las ventas (1,8 % en 2025) y amortización del 1,9 % (incluye la de intangibles comprados, ≈110 M en 2026) [1]. Circulante comercial del 14,5 % de las ventas, cerca del 15 % de 2025; la empresa cobra anticipos que no entran en esta medida. La reinversión es pequeña porque el negocio es de ensamblaje y servicio.</w:t>
      </w:r>
    </w:p>
    <w:p>
      <w:pPr>
        <w:keepNext/>
        <w:spacing w:after="100"/>
      </w:pPr>
      <w:r>
        <w:rPr>
          <w:b/>
          <w:bCs/>
        </w:rPr>
        <w:t xml:space="preserve">Coste del capital.</w:t>
      </w:r>
    </w:p>
    <w:p>
      <w:pPr>
        <w:spacing w:after="100"/>
      </w:pPr>
      <w:r>
        <w:t xml:space="preserve">Tasa libre del 5,21 % (bono a 10 años de EE. UU. del 13-oct-2026) [27]; beta 1,1 (mensual de cinco años 1,17, semanal de dos años 1,03) [23]; prima de mercado del 5,5 %; coste de la deuda del 5,6 % antes de impuestos (cupones del 3,5-5,75 %) y peso de la deuda del 4,3 % a valor de mercado. WACC del 10,97 %. Con la prima implícita del mercado (4,20 %) el WACC baja al 9,6 % [26].</w:t>
      </w:r>
    </w:p>
    <w:p>
      <w:pPr>
        <w:keepNext/>
        <w:spacing w:after="100"/>
      </w:pPr>
      <w:r>
        <w:rPr>
          <w:b/>
          <w:bCs/>
        </w:rPr>
        <w:t xml:space="preserve">Valor terminal.</w:t>
      </w:r>
    </w:p>
    <w:p>
      <w:pPr>
        <w:spacing w:after="100"/>
      </w:pPr>
      <w:r>
        <w:t xml:space="preserve">Gordon con un crecimiento del 3,0 % en USD (≈1 % real + 2 % de inflación), por debajo de la tasa libre menos medio punto. El valor terminal pesa un 60 % del valor. Implica unas 13 veces el flujo de caja del último año, muy por debajo del múltiplo actual de mercado: el DCF supone que Trane acaba cotizando como una industrial madura.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(reinvierte el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 (histórico: 76,4 %)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frente al 7,3 %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(hoy: 7,1 %)</w:t>
            </w:r>
          </w:p>
        </w:tc>
      </w:tr>
    </w:tbl>
    <w:p>
      <w:pPr>
        <w:spacing w:after="160" w:before="0"/>
      </w:pPr>
    </w:p>
    <w:p>
      <w:pPr>
        <w:spacing w:after="100"/>
      </w:pPr>
      <w:r>
        <w:t xml:space="preserve">La proyección apenas necesita inversión neta de la amortización (reinversión acumulada de 2.463 M, el 6 % del NOPAT, con un capex bruto medio del 2,0 % de las ventas). En un negocio de activos ligeros, el crecimiento medio del 7,3 % tiene que salir de subir precios y de ganar volumen sin capital nuevo, y la prueba es el poder de precios y la cuota (7,6 % del mercado en 2033e, frente al 7,1 %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≈9 % orgánico (volumen ≈6 %, precio ≈3 %) y ≈2,5 % de compras (Stellar, LiquidStack) y divisa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cartera de aplicados (+130 % de pedidos en el 2T26) y recuperación de residencial; precio del 2,5 % como en 2025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con el mercado al 6,4 % y algo de cuota en centros de datos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normalización del ciclo de centros de datos.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precio del 2,5 %: crecimiento del mercado.</w:t>
            </w:r>
          </w:p>
        </w:tc>
      </w:tr>
    </w:tbl>
    <w:p>
      <w:pPr>
        <w:spacing w:after="160" w:before="0"/>
      </w:pPr>
    </w:p>
    <w:p>
      <w:pPr>
        <w:spacing w:after="100"/>
      </w:pPr>
      <w:r>
        <w:t xml:space="preserve">Sí. El crecimiento medio proyectado (7,3 %) es menor que el histórico (11,4 %) y la cuota implícita en 2033e (7,6 %) apenas sube desde el 7,1 % de hoy. Las pruebas de reinversión no aplican de forma estricta porque el negocio casi no necesita capital (reinversión del 6 % del NOPAT): la prueba es el poder de precios, demostrado (precio +3,0 % en 2025 con margen bruto +50 pb) [1], y la cartera de pedidos, que cubre el arranque de la proyección. El rendimiento que la proyección supone para la reinversión bruta (37,2 %) es la mitad del histórico (76,4 %). Coinciden el veredicto del analista y el de las pruebas.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11,0 %)</w:t>
            </w:r>
          </w:p>
        </w:tc>
      </w:tr>
    </w:tbl>
    <w:p>
      <w:pPr>
        <w:spacing w:after="160" w:before="0"/>
      </w:pPr>
    </w:p>
    <w:p>
      <w:pPr>
        <w:spacing w:after="100"/>
      </w:pPr>
      <w:r>
        <w:t xml:space="preserve">El DCF da 241,43 USD por acción, un 48,8 % por debajo del precio, con un WACC del 10,97 % y un valor terminal que pesa el 60 %. El DCF inverso es la pregunta clave: para justificar 471,29 USD hace falta un crecimiento anual del 21,1 % de 2027e a 2033e con nuestro margen, frente al 6,6 % de nuestro caso base, al 11,4 % que logró en 2020-2025 y al 6,4 % que se espera del mercado; o, dicho de otro modo, el precio implica una rentabilidad anual del 7,2 %, por debajo del 9,6 % que pide hoy el mercado a una acción con su beta. Es exigente: el precio descuenta que la ola de centros de datos dure una década. Con la prima implícita del mercado el valor sube a 306,46 USD, aún un 35 % por debajo. El DCF no es el que decide la recomendación (lo hace la regla a 12 meses), pero dice que no hay margen de seguridad: el precio paga hoy el crecimiento de muchos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frenan en 2027 y los chips nuevos piden menos enfriadoras: el crecimiento baja 3 puntos al año y el margen 1,5 puntos (como en 2020, cuando las ventas cayeron un 4,8 %).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se convierte en ventas en 2026-2027, el crecimiento se normaliza hacia el del mercado y el margen sube por mezcla hasta el 21,5 %.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y las bombas de calor sostienen pedidos de dos dígitos dos años más: 2 puntos más de crecimiento y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7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234,13 USD (-50,3 %).</w:t>
      </w:r>
    </w:p>
    <w:p>
      <w:pPr>
        <w:spacing w:after="100"/>
      </w:pPr>
      <w:r>
        <w:t xml:space="preserve">La asimetría del valor intrínseco es mala en todos los casos porque el DCF queda muy por debajo del precio: incluso el alcista (280,84 USD) está un 40,4 % por debajo. La de 12 meses es más equilibrada: el bajista (PER 18,9x × 16,75) da 316,58 USD (−32,0 % con dividendo) y el alcista (26,6x × 21,25) 565,25 USD (+20,8 %). Se pierde más en el bajista de lo que se gana en el alcista: no compensa al precio de hoy.</w:t>
      </w:r>
    </w:p>
    <w:p>
      <w:pPr>
        <w:pStyle w:val="Heading1"/>
      </w:pPr>
      <w:r>
        <w:t xml:space="preserve">22. Suma de partes</w:t>
      </w:r>
    </w:p>
    <w:p>
      <w:pPr>
        <w:pStyle w:val="Confianza"/>
        <w:spacing w:after="100"/>
      </w:pPr>
      <w:r>
        <w:t xml:space="preserve">Confianza: Media</w:t>
      </w:r>
    </w:p>
    <w:p>
      <w:pPr>
        <w:spacing w:after="100"/>
      </w:pPr>
      <w:r>
        <w:t xml:space="preserve">No aplica: la empresa publica segmentos geográficos, no por negocio (climatización comercial, residencial y Thermo King comparten fábricas, canales y servicio), y no hay datos de resultado por línea de negocio para valorarlas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7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263,94 USD (-44,0 % sobre 471,29).</w:t>
      </w:r>
    </w:p>
    <w:p>
      <w:pPr>
        <w:spacing w:after="100"/>
      </w:pPr>
      <w:r>
        <w:t xml:space="preserve">Pesos: DCF 50 %, escenarios 30 % y comparables 20 %; transacciones 0 % (solo dos con múltiplo y con prima de control). El DCF es el método más fiable para un negocio estable y de poca inversión, pero su resultado depende mucho de la tasa libre del 5,21 %. Los comparables (PER de 21,3x de mediana) dan un valor de 364,92 USD, también por debajo del precio, porque Trane cotiza con prima sobre los fabricantes de climatización. La dispersión entre métodos (de 241 a 365 USD) cae entera por debajo del precio: todos dicen lo mismo. El precio solo se explica con un múltiplo de crecimiento que ninguno de los métodos acepta.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(27.4x) a mitad de camino hacia abajo, hacia la mediana de 5 años (25.9x)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spacing w:after="100"/>
      </w:pPr>
      <w:r>
        <w:rPr>
          <w:b/>
          <w:bCs/>
        </w:rPr>
        <w:t xml:space="preserve">Objetivo a 12 meses (ponderado):</w:t>
      </w:r>
      <w:r>
        <w:t xml:space="preserve"> 478,08 USD · rentabilidad +2,3 % (base +10,2 %) · señal Mantener.</w:t>
      </w:r>
    </w:p>
    <w:p>
      <w:pPr>
        <w:spacing w:after="100"/>
      </w:pPr>
      <w:r>
        <w:t xml:space="preserve">Para comparar, con la regla v2 (historia al cierre, mismo precio): 22,2x / 27,4x / 27,7x, 8,1 %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(17,17 USD contable) queda un 2,6 % por debajo del consenso ajustado (17,63) [24], casi todo por la diferencia entre contable y ajustado (amortización de la cartera comprada y reestructuración, ≈0,2 USD) y por suponer menos recompras. Nuestro precio base (515,24 USD) queda un 2,5 % por debajo del objetivo medio de los analistas (528,69): la diferencia es pequeña y viene del múltiplo, que la regla común baja a mitad de camino hacia su mediana de cinco años. No hay razón para mover supuestos.</w:t>
      </w:r>
    </w:p>
    <w:p>
      <w:pPr>
        <w:keepNext/>
        <w:spacing w:after="100"/>
      </w:pPr>
      <w:r>
        <w:rPr>
          <w:b/>
          <w:bCs/>
        </w:rPr>
        <w:t xml:space="preserve">Del valor intrínseco al objetivo a 12 meses.</w:t>
      </w:r>
    </w:p>
    <w:p>
      <w:pPr>
        <w:spacing w:after="100"/>
      </w:pPr>
      <w:r>
        <w:t xml:space="preserve">El objetivo a 12 meses (478,08 USD, ponderado) está un 81 % por encima del valor intrínseco (263,94 USD). La distancia no la cierra ningún catalizador con fecha: es el múltiplo. El mercado paga 27 veces el beneficio de 2027e porque espera que los centros de datos sostengan un crecimiento de dos dígitos durante años, y el DCF con un WACC del 11 % no lo da. Para cerrarla haría falta un crecimiento sostenido del 21 % anual (DCF inverso) o una bajada fuerte de los tipos. La tesis de valor es a muchos años y, a este precio, no hay margen.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cartera frente al 2T26 (12.100 M); confirmación de la guía de BPA ajustado de 15,20-15,30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≈17,6 USD de BPA ajustado en 2027; una guía por debajo de 17 movería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los hiperescaladores (Microsoft, Alphabet, Amazon,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 demanda de enfriadoras y refrigeración líquida.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venta de obligaciones por 256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material (caja de 1.318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reorganización de Aldrich y Murray (amianto)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resolución cerraría el riesgo; una sentencia contra la reestructuración de 2020 lo abriría.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del consejero delegado (Simmons, director de operaciones desde julio)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Continuidad si se confirma.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capex de centros de datos o cambio de tecnología que reduce las enfriadoras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12 meses (escenario bajista: PER 18,9x)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≈10 % de las ventas; LiquidStack y Stellar cubren la refrigeración líquida [4,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equipos aplicados de América por debajo del +10 %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27x hacia su mínimo de cinco años (18,9x)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de la regla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≈13 %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los comparables de frío (Vertiv, JCI) bajando.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EMEA, integración de compras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repercutido (+3 %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20 %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Amianto: impugnación de la reestructuración de 2020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 representante de futuros demandantes y fondo de 270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del tribunal sobre las demandas del comité de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residencial y de transporte (Thermo King)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34 % de las ventas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de residencial y transporte negativas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 (bono a 10 años al 5,2 %)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Sube el WACC; el DCF ya lo recoge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0,7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a 10 años por encima del 5,5 %.</w:t>
            </w:r>
          </w:p>
        </w:tc>
      </w:tr>
    </w:tbl>
    <w:p>
      <w:pPr>
        <w:spacing w:after="160" w:before="0"/>
      </w:pPr>
    </w:p>
    <w:p>
      <w:pPr>
        <w:pStyle w:val="Heading2"/>
      </w:pPr>
      <w:r>
        <w:t xml:space="preserve">Pre-mortem</w:t>
      </w:r>
    </w:p>
    <w:p>
      <w:pPr>
        <w:spacing w:after="100"/>
      </w:pPr>
      <w:r>
        <w:t xml:space="preserve">Octubre de 2029: la acción ha perdido un 40 %. En 2027 los hiperescaladores frenaron el capex tras dos años de sobreinversión y, a la vez, la nueva generación de chips se enfrió con agua templada sin enfriadoras: los pedidos de equipos aplicados de América cayeron un 30 % y la cartera, que llegó a 12.100 M, se fue vaciando. El crecimiento orgánico bajó del 9 % al 2-3 %, y el margen retrocedió un punto por el exceso de capacidad que se había montado para los centros de datos. El mercado, que pagaba 27 veces el beneficio, volvió al mínimo de 19 veces: con un BPA plano, eso es un −30 %, y el resto vino de un recorte de guía. La señal que lo habría anticipado: la relación pedidos/facturación de América por debajo del 100 % dos trimestres seguidos y los comentarios de Nvidia y de los hiperescaladores sobre refrigeración sin enfriadoras.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 −10 % según la tecnología de frío</w:t>
      </w:r>
    </w:p>
    <w:p>
      <w:pPr>
        <w:spacing w:after="100"/>
      </w:pPr>
      <w:r>
        <w:t xml:space="preserve">La IA es sobre todo demanda para Trane: los centros de datos necesitan enfriadoras, unidades de aire y refrigeración líquida, y explican buena parte de los pedidos récord (equipos aplicados de América +130 % en el 2T26) [3]. El riesgo no es que la IA sustituya el producto, que es físico, sino que la tecnología de los chips reduzca la necesidad de enfriadoras (enero de 2026, comentario de Nvidia: −5 % en un día) [16] o que el valor de la refrigeración líquida lo capten Vertiv o Schneider. La empresa ya usa IA en su control de edificios (BrainBox AI) y compró LiquidStack. Riesgo de IA para el negocio: medio. Señal: pedidos de aplicados de América y peso de los centros de datos en la cartera.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material es el producto: la empresa fija el objetivo de reducir en una gigatonelada las emisiones de sus clientes en 2030 y de diseñar para la circularidad y un 40 % menos de carbono incorporado [1]. Los refrigerantes de menor potencial de calentamiento (AIM Act, gases fluorados) son a la vez coste regulatorio y motor de renovación. La seguridad laboral es buena: tasa de accidentes con baja de 0,06 en 2025 [1]. El variable anual de la dirección incluye objetivos de sostenibilidad [1].</w:t>
      </w:r>
    </w:p>
    <w:p>
      <w:pPr>
        <w:pStyle w:val="Heading2"/>
      </w:pPr>
      <w:r>
        <w:t xml:space="preserve">Controversias</w:t>
      </w:r>
    </w:p>
    <w:p>
      <w:pPr>
        <w:spacing w:after="100"/>
      </w:pPr>
      <w:r>
        <w:t xml:space="preserve">Amianto heredado: Aldrich y Murray en concurso desde junio de 2020, con un fondo de 270 M aportado en 2022 y la reestructuración de 2020 impugnada por el comité de demandantes [1]. Expedientes medioambientales de antiguas fábricas sin importe material [1]. Sin sanciones relevantes en tres años en el 10-K.</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12.100 M corresponde a centros de datos y con qué plazo de entrega?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escenario bajista depende de cuánto de la cartera es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contenido de Trane por megavatio queda en un centro de datos con refrigeración líquida directa al chip y sin enfriadoras?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de la sustitución.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EMEA a un margen EBIT ajustado del 17 %?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Cayó 420 pb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hace falta para servir la cartera y con qué riesgo de exceso de capacidad?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1S26 fue menor que el de 1S25 con los pedidos +37 %.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Amianto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tiene el plan de Aldrich y Murray y qué importe máximo podría pedirse a Trane?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sin provisión en 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¿Seguirán las compras de refrigeración líquida o se priorizan las recompras con el PER en 27x?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Recomprar caro rinde menos.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($TT)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mensajes alcistas tras la subida de Goldman y quejas por la debilidad de agosto («¿por qué está tan floja?»); poco debate de fondo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que la ven como «compra en las caídas» y como calidad con punto de entrada; titulares sobre ventas del sector por tipos y dudas de centros de datos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Quiver Quant (notas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Atribuye las caídas de septiembre a la valoración y a los tipos, no a la empresa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lo confirman (equipos aplicados +130 % en el 2T26), pero Barclays cifra el peso en ≈10 % de las ventas: la tesis es más amplia que la IA [18,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27,4x el BPA propio de 2027e, por encima de su mediana de cinco años (25,9x) [18,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de enfriadoras por chips que toleran más calor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pero lento; la empresa responde con refrigeración líquida (LiquidStack) [18].</w:t>
            </w:r>
          </w:p>
        </w:tc>
      </w:tr>
    </w:tbl>
    <w:p>
      <w:pPr>
        <w:spacing w:after="160" w:before="0"/>
      </w:pPr>
    </w:p>
    <w:p>
      <w:pPr>
        <w:spacing w:after="100"/>
      </w:pPr>
      <w:r>
        <w:t xml:space="preserve">El inversor particular es mayoritariamente alcista y compra la historia de los centros de datos; el debate gira sobre si el precio ya la descuenta, que es la misma conclusión de este informe. No hay euforia ni capitulación: la acción está lateral y a un 11 % de máximos. El sentimiento no aporta un riesgo que el análisis no tuviera.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32 (18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7,6 % en 2033e frente al 7,1 %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14,5 % frente a 14,9 % real: genera una variación de circulante de 262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transacción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Trane (Stellar Energy, LiquidStack): sin múltiplo; 2) búsqueda de múltiplos de Bosch-Johnson Controls residencial y Schneider-Motivair: no publicados; 3) prensa especializada (PKF O'Connor Davies): solo rangos genéricos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citan; 2) búsqueda de MSCI y Sustainalytics: de pago; 3) informe de sostenibilidad: no leído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2026-2027; 2) MarketScreener: no abre la página de la empresa; 3) Stock Analysis: 2027-2028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datos de Yahoo del sector: dan margen EBITDA, no EBIT; 2) 10-K de Carrier y Lennox: no descargados por tiempo; 3) ficha sectorial del repositorio: margen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margen EBITDA en el comentario)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ingresos por producto y servicio y por segmento; deuda; pensiones; cartera de pedidos; Aldrich y Murray)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https://www.sec.gov/Archives/edgar/data/1466258/000162828026005731/tt-20251231.htm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https://data.sec.gov/api/xbrl/companyfacts/CIK0001466258.json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Reports Strong Second Quarter Results; Raises Full-Year Revenue and EPS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https://www.sec.gov/Archives/edgar/data/1466258/000162828026050743/exhibit991-q22026earningsr.htm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(compras de Stellar Energy y LiquidStack, 49 % de Kieback&amp;Peter,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https://www.sec.gov/Archives/edgar/data/1466258/000162828026051117/tt-20260630.htm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https://www.sec.gov/Archives/edgar/data/1466258/000162828026028547/exhibit991-q12026earningsr.htm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4T25 y del ejercicio 2025, guía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https://www.sec.gov/Archives/edgar/data/1466258/000162828026003953/exhibit991-q42025earningsr.htm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https://www.sec.gov/Archives/edgar/data/1466258/000162828025047261/exhibit991-q32025earningsr.htm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https://www.sec.gov/Archives/edgar/data/1466258/000146625825000149/exhibit991-q22025earningsr.htm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https://www.sec.gov/Archives/edgar/data/1466258/000146625825000121/exhibit991-q12025earningsr.htm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4T24 y guía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https://www.sec.gov/Archives/edgar/data/1466258/000146625825000005/exhibit991-q42024earningsr.htm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(cuenta de resultados 2020-2022 de las actividades continuadas; segmentos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https://www.sec.gov/Archives/edgar/data/1466258/000146625823000058/tt-20221231.htm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2020 (datos seleccionados 2016-2020 de las actividades continuadas tras la separación de Ingersoll Rand Industrial)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https://www.sec.gov/Archives/edgar/data/1466258/000146625821000027/tt-20201231.htm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System Market worth $407.77 billion by 2030 (MarketsandMarkets)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https://www.webull.com/news/13414319103181824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HVAC market to reach USD 382.66 billion by 2030 (Grand View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https://refindustry.com/news/market-research/hvac-market-to-reach-usd-382-66-billion-by-2030/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climatización (HVAC) y control de edificios» y comparables de Yahoo Finance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recopilado en 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Nvidia disrupting HVAC? Johnson Controls, Trane shares dip amid cooling shift (Barclays: centros de datos ≈10 % de las ventas de Trane)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https://www.investing.com/news/stock-market-news/is-nvidia-disrupting-hvac-johnson-controls-trane--shares-dip-amid-cooling-shift-4432573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 (9.500 M USD, 22,5 veces el EBITDA ajustado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https://www.businesswire.com/news/home/20251103856036/en/Eaton-Signs-Agreement-to-Acquire-Boyd-Thermal-Expanding-Solutions-for-Data-Center-Customers-to-Include-Critical-Liquid-Cooling-Technology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Eaton unveil power and cooling design for AI data centers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https://seekingalpha.com/symbol/TT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2025, ratio de pago 402:1, accionistas &gt;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https://www.sec.gov/Archives/edgar/data/1466258/000162828026026679/tt-20260421.htm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Names Donny Simmons as Chief Operating Officer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https://www.sec.gov/Archives/edgar/data/1466258/000162828026042055/projectsouthernpressrelease.htm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salida de Gary Guo (director global de cadena de suministro), 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https://www.sec.gov/Archives/edgar/data/1466258/000162828026049227/tt-20260720.htm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15-oct-2025 y el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https://www.sec.gov/cgi-bin/browse-edgar?action=getcompany&amp;CIK=0001466258&amp;type=4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TT, SPY y XLI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y ventas 2026-2027, recomendaciones, precio objetivo y cambios de recomendación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TT stock forecast (objetivo medio 528,69 USD, 26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DGS10: bono del Tesoro de EE. UU. a 10 años, 13-oct-2026 (5,21 %)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climatización y control de edificios (capitalización, EV/EBITDA, PER adelantado, márgenes, ROIC)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(sectores/climatizacion-hvac-2026-10-14-comparables.json)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Form 10-K 2024 (contraprestación de Viessmann Climate Solutions: 14.200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https://www.sec.gov/Archives/edgar/data/1783180/000178318025000008/Financial_Report.xlsx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Carrier Corporation Making a Huge Mistake? (EBITDA 2023 de Viessmann ≈770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https://www.fool.com/investing/2023/05/01/is-carrier-corporation-making-a-huge-mistake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slides 4% as no fresh company catalyst emerges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https://www.quiverquant.com/news/Trane+Technologies+Slides+4%25+as+No+Fresh+Company+Catalyst+Emerges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$TT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https://stocktwits.com/symbol/TT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la Bolsa de Nueva York (TT), en USD, la misma divisa de las cuentas. Precio: cierre del 14-oct-2026 (471,29 USD); la sesión del 15-oct no había cerrado al hacer el informe (a media sesión, 448,3 USD, −4,9 %, con la caída de los valores de frío para centros de datos). Cuentas de 2020-2025 de las actividades continuadas, con el mismo perímetro tras la separación del negocio industrial (29-feb-2020); 2016-2019 no se usan porque el balance incluía Industrial. Beneficio y BPA de las actividades continuadas (el XBRL da el total con las discontinuadas del amianto). Consenso de una sola fuente gratuita con estimaciones (Yahoo Finance, BPA ajustado); 2028e sin consenso. Comparables de Yahoo del 14-oct pasados de CHF a USD con 0,8362. Arrendamientos operativos fuera de la deuda (US GAAP).</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Trane Technologies plc (TT)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471,29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(348,06 – 505,87)</c:v>
                </c:pt>
                <c:pt idx="1">
                  <c:v>Precio objetivo de los analistas (422,00 – 575,00)</c:v>
                </c:pt>
                <c:pt idx="2">
                  <c:v>Comparables: PER NTM (298,96 – 400,04)</c:v>
                </c:pt>
                <c:pt idx="3">
                  <c:v>DCF (WACC y g ± 0,5) (217,54 – 272,03)</c:v>
                </c:pt>
                <c:pt idx="4">
                  <c:v>Escenarios (bajista – alcista) (172,83 – 280,84)</c:v>
                </c:pt>
                <c:pt idx="5">
                  <c:v>DCF con la prima implícita del mercado (4,2 %)</c:v>
                </c:pt>
                <c:pt idx="6">
                  <c:v>Precio actual (471,29)</c:v>
                </c:pt>
              </c:strCache>
            </c:strRef>
          </c:cat>
          <c:val>
            <c:numRef>
              <c:f>Hoja1!$B$2:$B$8</c:f>
              <c:numCache>
                <c:formatCode>#,##0</c:formatCode>
                <c:ptCount val="7"/>
                <c:pt idx="0">
                  <c:v>348.06</c:v>
                </c:pt>
                <c:pt idx="1">
                  <c:v>422</c:v>
                </c:pt>
                <c:pt idx="2">
                  <c:v>298.96</c:v>
                </c:pt>
                <c:pt idx="3">
                  <c:v>217.54</c:v>
                </c:pt>
                <c:pt idx="4">
                  <c:v>172.83</c:v>
                </c:pt>
                <c:pt idx="5">
                  <c:v>273.37</c:v>
                </c:pt>
                <c:pt idx="6">
                  <c:v>468.93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(348,06 – 505,87)</c:v>
                </c:pt>
                <c:pt idx="1">
                  <c:v>Precio objetivo de los analistas (422,00 – 575,00)</c:v>
                </c:pt>
                <c:pt idx="2">
                  <c:v>Comparables: PER NTM (298,96 – 400,04)</c:v>
                </c:pt>
                <c:pt idx="3">
                  <c:v>DCF (WACC y g ± 0,5) (217,54 – 272,03)</c:v>
                </c:pt>
                <c:pt idx="4">
                  <c:v>Escenarios (bajista – alcista) (172,83 – 280,84)</c:v>
                </c:pt>
                <c:pt idx="5">
                  <c:v>DCF con la prima implícita del mercado (4,2 %)</c:v>
                </c:pt>
                <c:pt idx="6">
                  <c:v>Precio actual (471,29)</c:v>
                </c:pt>
              </c:strCache>
            </c:strRef>
          </c:cat>
          <c:val>
            <c:numRef>
              <c:f>Hoja1!$C$2:$C$8</c:f>
              <c:numCache>
                <c:formatCode>#,##0</c:formatCode>
                <c:ptCount val="7"/>
                <c:pt idx="0">
                  <c:v>157.81</c:v>
                </c:pt>
                <c:pt idx="1">
                  <c:v>153</c:v>
                </c:pt>
                <c:pt idx="2">
                  <c:v>101.08000000000004</c:v>
                </c:pt>
                <c:pt idx="3">
                  <c:v>54.48999999999998</c:v>
                </c:pt>
                <c:pt idx="4">
                  <c:v>108.00999999999996</c:v>
                </c:pt>
                <c:pt idx="5">
                  <c:v>48.170000000000016</c:v>
                </c:pt>
                <c:pt idx="6">
                  <c:v>4.71999999999997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9685.9</c:v>
                </c:pt>
                <c:pt idx="1">
                  <c:v>10957.1</c:v>
                </c:pt>
                <c:pt idx="2">
                  <c:v>12640.8</c:v>
                </c:pt>
                <c:pt idx="3">
                  <c:v>13832</c:v>
                </c:pt>
                <c:pt idx="4">
                  <c:v>15903.2</c:v>
                </c:pt>
                <c:pt idx="5">
                  <c:v>17168.8</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1648.1</c:v>
                </c:pt>
                <c:pt idx="1">
                  <c:v>1944.9</c:v>
                </c:pt>
                <c:pt idx="2">
                  <c:v>2034.5</c:v>
                </c:pt>
                <c:pt idx="3">
                  <c:v>2401.2</c:v>
                </c:pt>
                <c:pt idx="4">
                  <c:v>2556.7</c:v>
                </c:pt>
                <c:pt idx="5">
                  <c:v>2802.1</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1120.7</c:v>
                </c:pt>
                <c:pt idx="1">
                  <c:v>1234.4</c:v>
                </c:pt>
                <c:pt idx="2">
                  <c:v>1316.4</c:v>
                </c:pt>
                <c:pt idx="3">
                  <c:v>1444.4</c:v>
                </c:pt>
                <c:pt idx="4">
                  <c:v>1378.3</c:v>
                </c:pt>
                <c:pt idx="5">
                  <c:v>1351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c:v>
                </c:pt>
                <c:pt idx="1">
                  <c:v>EMEA</c:v>
                </c:pt>
                <c:pt idx="2">
                  <c:v>Asia-Pacífico</c:v>
                </c:pt>
              </c:strCache>
            </c:strRef>
          </c:cat>
          <c:val>
            <c:numRef>
              <c:f>Hoja1!$B$2:$B$4</c:f>
              <c:numCache>
                <c:formatCode>General</c:formatCode>
                <c:ptCount val="3"/>
                <c:pt idx="0">
                  <c:v>80.5</c:v>
                </c:pt>
                <c:pt idx="1">
                  <c:v>13.1</c:v>
                </c:pt>
                <c:pt idx="2">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EMEA</c:v>
                </c:pt>
                <c:pt idx="2">
                  <c:v>Asia-Pacífico</c:v>
                </c:pt>
              </c:strCache>
            </c:strRef>
          </c:cat>
          <c:val>
            <c:numRef>
              <c:f>Hoja1!$B$2:$B$4</c:f>
              <c:numCache>
                <c:formatCode>0"%"</c:formatCode>
                <c:ptCount val="3"/>
                <c:pt idx="0">
                  <c:v>80.5</c:v>
                </c:pt>
                <c:pt idx="1">
                  <c:v>13.1</c:v>
                </c:pt>
                <c:pt idx="2">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(MarketsandMarkets; 2026-2030 previsión))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299</c:v>
                </c:pt>
                <c:pt idx="1">
                  <c:v>318</c:v>
                </c:pt>
                <c:pt idx="2">
                  <c:v>338</c:v>
                </c:pt>
                <c:pt idx="3">
                  <c:v>360</c:v>
                </c:pt>
                <c:pt idx="4">
                  <c:v>383</c:v>
                </c:pt>
                <c:pt idx="5">
                  <c:v>408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Trane</c:v>
                </c:pt>
                <c:pt idx="1">
                  <c:v>Johnson Controls</c:v>
                </c:pt>
                <c:pt idx="2">
                  <c:v>Carrier Global</c:v>
                </c:pt>
                <c:pt idx="3">
                  <c:v>Daikin Industries</c:v>
                </c:pt>
                <c:pt idx="4">
                  <c:v>Lennox International</c:v>
                </c:pt>
                <c:pt idx="5">
                  <c:v>Vertiv</c:v>
                </c:pt>
                <c:pt idx="6">
                  <c:v>Schneider Electric</c:v>
                </c:pt>
              </c:strCache>
            </c:strRef>
          </c:cat>
          <c:val>
            <c:numRef>
              <c:f>Hoja1!$B$2:$B$8</c:f>
              <c:numCache>
                <c:formatCode>0.0"%"</c:formatCode>
                <c:ptCount val="7"/>
                <c:pt idx="0">
                  <c:v>18.6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12454.7</c:v>
                </c:pt>
                <c:pt idx="1">
                  <c:v>14136.4</c:v>
                </c:pt>
                <c:pt idx="2">
                  <c:v>15991.7</c:v>
                </c:pt>
                <c:pt idx="3">
                  <c:v>17677.6</c:v>
                </c:pt>
                <c:pt idx="4">
                  <c:v>19838.2</c:v>
                </c:pt>
                <c:pt idx="5">
                  <c:v>21321.9</c:v>
                </c:pt>
                <c:pt idx="6">
                  <c:v>23774</c:v>
                </c:pt>
                <c:pt idx="7">
                  <c:v>26151</c:v>
                </c:pt>
                <c:pt idx="8">
                  <c:v>28374</c:v>
                </c:pt>
                <c:pt idx="9">
                  <c:v>30502</c:v>
                </c:pt>
                <c:pt idx="10">
                  <c:v>32485</c:v>
                </c:pt>
                <c:pt idx="11">
                  <c:v>34272</c:v>
                </c:pt>
                <c:pt idx="12">
                  <c:v>35814</c:v>
                </c:pt>
                <c:pt idx="13">
                  <c:v>37246</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1827.1</c:v>
                </c:pt>
                <c:pt idx="1">
                  <c:v>2322.7</c:v>
                </c:pt>
                <c:pt idx="2">
                  <c:v>2742.5</c:v>
                </c:pt>
                <c:pt idx="3">
                  <c:v>3242.1</c:v>
                </c:pt>
                <c:pt idx="4">
                  <c:v>3879.5</c:v>
                </c:pt>
                <c:pt idx="5">
                  <c:v>4343.7</c:v>
                </c:pt>
                <c:pt idx="6">
                  <c:v>4802</c:v>
                </c:pt>
                <c:pt idx="7">
                  <c:v>5439</c:v>
                </c:pt>
                <c:pt idx="8">
                  <c:v>6015</c:v>
                </c:pt>
                <c:pt idx="9">
                  <c:v>6558</c:v>
                </c:pt>
                <c:pt idx="10">
                  <c:v>6984</c:v>
                </c:pt>
                <c:pt idx="11">
                  <c:v>7368</c:v>
                </c:pt>
                <c:pt idx="12">
                  <c:v>7700</c:v>
                </c:pt>
                <c:pt idx="13">
                  <c:v>8008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30.5</c:v>
                </c:pt>
                <c:pt idx="1">
                  <c:v>31.6</c:v>
                </c:pt>
                <c:pt idx="2">
                  <c:v>31</c:v>
                </c:pt>
                <c:pt idx="3">
                  <c:v>33.1</c:v>
                </c:pt>
                <c:pt idx="4">
                  <c:v>35.7</c:v>
                </c:pt>
                <c:pt idx="5">
                  <c:v>36.2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14.7</c:v>
                </c:pt>
                <c:pt idx="1">
                  <c:v>16.4</c:v>
                </c:pt>
                <c:pt idx="2">
                  <c:v>17.1</c:v>
                </c:pt>
                <c:pt idx="3">
                  <c:v>18.3</c:v>
                </c:pt>
                <c:pt idx="4">
                  <c:v>19.6</c:v>
                </c:pt>
                <c:pt idx="5">
                  <c:v>20.4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12.3</c:v>
                </c:pt>
                <c:pt idx="1">
                  <c:v>14.3</c:v>
                </c:pt>
                <c:pt idx="2">
                  <c:v>15.1</c:v>
                </c:pt>
                <c:pt idx="3">
                  <c:v>16.4</c:v>
                </c:pt>
                <c:pt idx="4">
                  <c:v>17.6</c:v>
                </c:pt>
                <c:pt idx="5">
                  <c:v>18.6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7.8</c:v>
                </c:pt>
                <c:pt idx="1">
                  <c:v>10.2</c:v>
                </c:pt>
                <c:pt idx="2">
                  <c:v>11.1</c:v>
                </c:pt>
                <c:pt idx="3">
                  <c:v>11.6</c:v>
                </c:pt>
                <c:pt idx="4">
                  <c:v>13.1</c:v>
                </c:pt>
                <c:pt idx="5">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10</c:v>
                </c:pt>
                <c:pt idx="2">
                  <c:v>11</c:v>
                </c:pt>
                <c:pt idx="3">
                  <c:v>8</c:v>
                </c:pt>
                <c:pt idx="4">
                  <c:v>6</c:v>
                </c:pt>
                <c:pt idx="5">
                  <c:v>6</c:v>
                </c:pt>
                <c:pt idx="6">
                  <c:v>6</c:v>
                </c:pt>
                <c:pt idx="7">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1">
                  <c:v>10</c:v>
                </c:pt>
                <c:pt idx="2">
                  <c:v>11</c:v>
                </c:pt>
                <c:pt idx="3">
                  <c:v>7</c:v>
                </c:pt>
                <c:pt idx="4">
                  <c:v>4</c:v>
                </c:pt>
                <c:pt idx="5">
                  <c:v>4</c:v>
                </c:pt>
                <c:pt idx="6">
                  <c:v>3</c:v>
                </c:pt>
                <c:pt idx="7">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65</c:v>
                </c:pt>
                <c:pt idx="1">
                  <c:v>63</c:v>
                </c:pt>
                <c:pt idx="2">
                  <c:v>63</c:v>
                </c:pt>
                <c:pt idx="3">
                  <c:v>61</c:v>
                </c:pt>
                <c:pt idx="4">
                  <c:v>57</c:v>
                </c:pt>
                <c:pt idx="5">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50</c:v>
                </c:pt>
                <c:pt idx="1">
                  <c:v>58</c:v>
                </c:pt>
                <c:pt idx="2">
                  <c:v>66</c:v>
                </c:pt>
                <c:pt idx="3">
                  <c:v>66</c:v>
                </c:pt>
                <c:pt idx="4">
                  <c:v>56</c:v>
                </c:pt>
                <c:pt idx="5">
                  <c:v>56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64</c:v>
                </c:pt>
                <c:pt idx="1">
                  <c:v>67</c:v>
                </c:pt>
                <c:pt idx="2">
                  <c:v>69</c:v>
                </c:pt>
                <c:pt idx="3">
                  <c:v>63</c:v>
                </c:pt>
                <c:pt idx="4">
                  <c:v>61</c:v>
                </c:pt>
                <c:pt idx="5">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1288.8</c:v>
                </c:pt>
                <c:pt idx="1">
                  <c:v>1365.3</c:v>
                </c:pt>
                <c:pt idx="2">
                  <c:v>1212.2</c:v>
                </c:pt>
                <c:pt idx="3">
                  <c:v>2088.9</c:v>
                </c:pt>
                <c:pt idx="4">
                  <c:v>2775</c:v>
                </c:pt>
                <c:pt idx="5">
                  <c:v>2811.5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977.2</c:v>
                </c:pt>
                <c:pt idx="1">
                  <c:v>1444</c:v>
                </c:pt>
                <c:pt idx="2">
                  <c:v>1778</c:v>
                </c:pt>
                <c:pt idx="3">
                  <c:v>2051.1</c:v>
                </c:pt>
                <c:pt idx="4">
                  <c:v>2592.6</c:v>
                </c:pt>
                <c:pt idx="5">
                  <c:v>2955.6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19</c:v>
                </c:pt>
                <c:pt idx="2">
                  <c:v>21.4</c:v>
                </c:pt>
                <c:pt idx="3">
                  <c:v>22.8</c:v>
                </c:pt>
                <c:pt idx="4">
                  <c:v>26.4</c:v>
                </c:pt>
                <c:pt idx="5">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c:v>
                </c:pt>
                <c:pt idx="1">
                  <c:v>11</c:v>
                </c:pt>
                <c:pt idx="2">
                  <c:v>11</c:v>
                </c:pt>
                <c:pt idx="3">
                  <c:v>11</c:v>
                </c:pt>
                <c:pt idx="4">
                  <c:v>11</c:v>
                </c:pt>
                <c:pt idx="5">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15.3</c:v>
                </c:pt>
                <c:pt idx="1">
                  <c:v>22.8</c:v>
                </c:pt>
                <c:pt idx="2">
                  <c:v>28.8</c:v>
                </c:pt>
                <c:pt idx="3">
                  <c:v>31.4</c:v>
                </c:pt>
                <c:pt idx="4">
                  <c:v>35.9</c:v>
                </c:pt>
                <c:pt idx="5">
                  <c:v>36.9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1.08</c:v>
                </c:pt>
                <c:pt idx="1">
                  <c:v>1.16</c:v>
                </c:pt>
                <c:pt idx="2">
                  <c:v>1.32</c:v>
                </c:pt>
                <c:pt idx="3">
                  <c:v>1.14</c:v>
                </c:pt>
                <c:pt idx="4">
                  <c:v>0.82</c:v>
                </c:pt>
                <c:pt idx="5">
                  <c:v>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693</c:v>
                </c:pt>
                <c:pt idx="1">
                  <c:v>0</c:v>
                </c:pt>
                <c:pt idx="2">
                  <c:v>548.5</c:v>
                </c:pt>
                <c:pt idx="3">
                  <c:v>747.8</c:v>
                </c:pt>
                <c:pt idx="4">
                  <c:v>0</c:v>
                </c:pt>
                <c:pt idx="5">
                  <c:v>2625.8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182.8</c:v>
                </c:pt>
                <c:pt idx="1">
                  <c:v>269.2</c:v>
                </c:pt>
                <c:pt idx="2">
                  <c:v>234.7</c:v>
                </c:pt>
                <c:pt idx="3">
                  <c:v>862.8</c:v>
                </c:pt>
                <c:pt idx="4">
                  <c:v>180.3</c:v>
                </c:pt>
                <c:pt idx="5">
                  <c:v>276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507.3</c:v>
                </c:pt>
                <c:pt idx="1">
                  <c:v>561.1</c:v>
                </c:pt>
                <c:pt idx="2">
                  <c:v>620.2</c:v>
                </c:pt>
                <c:pt idx="3">
                  <c:v>683.7</c:v>
                </c:pt>
                <c:pt idx="4">
                  <c:v>757.5</c:v>
                </c:pt>
                <c:pt idx="5">
                  <c:v>837.3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250</c:v>
                </c:pt>
                <c:pt idx="1">
                  <c:v>1100.3</c:v>
                </c:pt>
                <c:pt idx="2">
                  <c:v>1200.2</c:v>
                </c:pt>
                <c:pt idx="3">
                  <c:v>669.3</c:v>
                </c:pt>
                <c:pt idx="4">
                  <c:v>1280.8</c:v>
                </c:pt>
                <c:pt idx="5">
                  <c:v>1481.3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JPMorgan Chase &amp; Co.</c:v>
                </c:pt>
                <c:pt idx="3">
                  <c:v>FMR (Fidelity)</c:v>
                </c:pt>
                <c:pt idx="4">
                  <c:v>Consejeros y directivos</c:v>
                </c:pt>
              </c:strCache>
            </c:strRef>
          </c:cat>
          <c:val>
            <c:numRef>
              <c:f>Hoja1!$B$2:$B$6</c:f>
              <c:numCache>
                <c:formatCode>0.0"%"</c:formatCode>
                <c:ptCount val="5"/>
                <c:pt idx="0">
                  <c:v>8.5</c:v>
                </c:pt>
                <c:pt idx="1">
                  <c:v>7.8</c:v>
                </c:pt>
                <c:pt idx="2">
                  <c:v>7.4</c:v>
                </c:pt>
                <c:pt idx="3">
                  <c:v>5.1</c:v>
                </c:pt>
                <c:pt idx="4">
                  <c:v>0.39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38.5</c:v>
                </c:pt>
                <c:pt idx="1">
                  <c:v>21.3</c:v>
                </c:pt>
                <c:pt idx="2">
                  <c:v>4.4</c:v>
                </c:pt>
                <c:pt idx="3">
                  <c:v>48.3</c:v>
                </c:pt>
                <c:pt idx="4">
                  <c:v>43.4</c:v>
                </c:pt>
                <c:pt idx="5">
                  <c:v>41</c:v>
                </c:pt>
                <c:pt idx="6">
                  <c:v>-15.3</c:v>
                </c:pt>
                <c:pt idx="7">
                  <c:v>47.4</c:v>
                </c:pt>
                <c:pt idx="8">
                  <c:v>53</c:v>
                </c:pt>
                <c:pt idx="9">
                  <c:v>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20.4</c:v>
                </c:pt>
                <c:pt idx="1">
                  <c:v>22.2</c:v>
                </c:pt>
                <c:pt idx="2">
                  <c:v>15.7</c:v>
                </c:pt>
                <c:pt idx="3">
                  <c:v>18.5</c:v>
                </c:pt>
                <c:pt idx="4">
                  <c:v>22.6</c:v>
                </c:pt>
                <c:pt idx="5">
                  <c:v>20.8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20.6</c:v>
                </c:pt>
                <c:pt idx="1">
                  <c:v>20.6</c:v>
                </c:pt>
                <c:pt idx="2">
                  <c:v>20.6</c:v>
                </c:pt>
                <c:pt idx="3">
                  <c:v>20.6</c:v>
                </c:pt>
                <c:pt idx="4">
                  <c:v>20.6</c:v>
                </c:pt>
                <c:pt idx="5">
                  <c:v>20.6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Boyd Thermal (refrigeración líquida)</c:v>
                </c:pt>
                <c:pt idx="1">
                  <c:v>Viessmann Climate Solutions</c:v>
                </c:pt>
                <c:pt idx="2">
                  <c:v>Stellar Energy Americas</c:v>
                </c:pt>
              </c:strCache>
            </c:strRef>
          </c:cat>
          <c:val>
            <c:numRef>
              <c:f>Hoja1!$B$2:$B$4</c:f>
              <c:numCache>
                <c:formatCode>0.0"x"</c:formatCode>
                <c:ptCount val="3"/>
                <c:pt idx="0">
                  <c:v>22.5</c:v>
                </c:pt>
                <c:pt idx="1">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3216</c:v>
                </c:pt>
                <c:pt idx="1">
                  <c:v>3608</c:v>
                </c:pt>
                <c:pt idx="2">
                  <c:v>4058</c:v>
                </c:pt>
                <c:pt idx="3">
                  <c:v>4474</c:v>
                </c:pt>
                <c:pt idx="4">
                  <c:v>4805</c:v>
                </c:pt>
                <c:pt idx="5">
                  <c:v>5114</c:v>
                </c:pt>
                <c:pt idx="6">
                  <c:v>5391</c:v>
                </c:pt>
                <c:pt idx="7">
                  <c:v>5632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22952</c:v>
                </c:pt>
                <c:pt idx="1">
                  <c:v>34360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471,29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172.83</c:v>
                </c:pt>
                <c:pt idx="1">
                  <c:v>241.43</c:v>
                </c:pt>
                <c:pt idx="2">
                  <c:v>280.84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471,29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(348,06 – 505,87)</c:v>
                </c:pt>
                <c:pt idx="1">
                  <c:v>Precio objetivo de los analistas (422,00 – 575,00)</c:v>
                </c:pt>
                <c:pt idx="2">
                  <c:v>Comparables: PER NTM (298,96 – 400,04)</c:v>
                </c:pt>
                <c:pt idx="3">
                  <c:v>DCF (WACC y g ± 0,5) (217,54 – 272,03)</c:v>
                </c:pt>
                <c:pt idx="4">
                  <c:v>Escenarios (bajista – alcista) (172,83 – 280,84)</c:v>
                </c:pt>
                <c:pt idx="5">
                  <c:v>DCF con la prima implícita del mercado (4,2 %)</c:v>
                </c:pt>
                <c:pt idx="6">
                  <c:v>Precio actual (471,29)</c:v>
                </c:pt>
              </c:strCache>
            </c:strRef>
          </c:cat>
          <c:val>
            <c:numRef>
              <c:f>Hoja1!$B$2:$B$8</c:f>
              <c:numCache>
                <c:formatCode>#,##0</c:formatCode>
                <c:ptCount val="7"/>
                <c:pt idx="0">
                  <c:v>348.06</c:v>
                </c:pt>
                <c:pt idx="1">
                  <c:v>422</c:v>
                </c:pt>
                <c:pt idx="2">
                  <c:v>298.96</c:v>
                </c:pt>
                <c:pt idx="3">
                  <c:v>217.54</c:v>
                </c:pt>
                <c:pt idx="4">
                  <c:v>172.83</c:v>
                </c:pt>
                <c:pt idx="5">
                  <c:v>273.37</c:v>
                </c:pt>
                <c:pt idx="6">
                  <c:v>468.93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(348,06 – 505,87)</c:v>
                </c:pt>
                <c:pt idx="1">
                  <c:v>Precio objetivo de los analistas (422,00 – 575,00)</c:v>
                </c:pt>
                <c:pt idx="2">
                  <c:v>Comparables: PER NTM (298,96 – 400,04)</c:v>
                </c:pt>
                <c:pt idx="3">
                  <c:v>DCF (WACC y g ± 0,5) (217,54 – 272,03)</c:v>
                </c:pt>
                <c:pt idx="4">
                  <c:v>Escenarios (bajista – alcista) (172,83 – 280,84)</c:v>
                </c:pt>
                <c:pt idx="5">
                  <c:v>DCF con la prima implícita del mercado (4,2 %)</c:v>
                </c:pt>
                <c:pt idx="6">
                  <c:v>Precio actual (471,29)</c:v>
                </c:pt>
              </c:strCache>
            </c:strRef>
          </c:cat>
          <c:val>
            <c:numRef>
              <c:f>Hoja1!$C$2:$C$8</c:f>
              <c:numCache>
                <c:formatCode>#,##0</c:formatCode>
                <c:ptCount val="7"/>
                <c:pt idx="0">
                  <c:v>157.81</c:v>
                </c:pt>
                <c:pt idx="1">
                  <c:v>153</c:v>
                </c:pt>
                <c:pt idx="2">
                  <c:v>101.08000000000004</c:v>
                </c:pt>
                <c:pt idx="3">
                  <c:v>54.48999999999998</c:v>
                </c:pt>
                <c:pt idx="4">
                  <c:v>108.00999999999996</c:v>
                </c:pt>
                <c:pt idx="5">
                  <c:v>48.170000000000016</c:v>
                </c:pt>
                <c:pt idx="6">
                  <c:v>4.71999999999997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