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Vistra Corp.</w:t>
      </w:r>
    </w:p>
    <w:p>
      <w:pPr>
        <w:spacing w:after="60"/>
        <w:rPr>
          <w:color w:val="52514E"/>
          <w:sz w:val="22"/>
          <w:szCs w:val="22"/>
        </w:rPr>
      </w:pPr>
      <w:r>
        <w:rPr>
          <w:color w:val="52514E"/>
          <w:sz w:val="22"/>
          <w:szCs w:val="22"/>
        </w:rPr>
        <w:t xml:space="preserve">VST · New York Stock Exchange · ISIN US92840M1027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151,79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168,44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+11,6 % (base +22,7 %)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122,34 USD · mercado 140,28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51.760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Vistra Corp.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VST / US92840M1027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Independent Power and Renewable Electricity Producers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Irving (Texas) ·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https://www.vistracorp.com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151,79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132,66 – 217,10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51.760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77.499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168,44 USD</w:t>
      </w:r>
      <w:r>
        <w:t xml:space="preserve"> frente a 151,79 · Rentabilidad a 12 meses </w:t>
      </w:r>
      <w:r>
        <w:rPr>
          <w:b/>
          <w:bCs/>
        </w:rPr>
        <w:t xml:space="preserve">+11,6 % (base +22,7 %)</w:t>
      </w:r>
      <w:r>
        <w:t xml:space="preserve"> · Valor intrínseco 122,34 USD · con la prima implícita del mercado: 140,28 (-7,6 %) · Alcista / bajista -0,7 % / -54,3 %</w:t>
      </w:r>
    </w:p>
    <w:p>
      <w:pPr>
        <w:spacing w:after="100"/>
      </w:pPr>
      <w:r>
        <w:rPr>
          <w:b/>
        </w:rPr>
        <w:t xml:space="preserve">La recomendación y por qué.</w:t>
      </w:r>
      <w:r>
        <w:t xml:space="preserve"> Mantener, con convicción media. El objetivo a 12 meses es 168,44 USD frente a un precio de 151,79: rentabilidad ponderada del 11,6 % (22,7 % en el caso base), por debajo del 15 % que pedimos. El valor intrínseco (122,34) queda un 19,4 % por debajo del precio y el objetivo medio de los analistas (210,25) por encima de nuestro rango central. La asimetría es mala: el alcista (150,70) apenas iguala el precio y el bajista (69,36) pierde un 54,3 %. La convicción es media porque las dos reglas coinciden y la cifra que decide está lejos de los umbrales; subiría con contratos a 20 años para más de 5 GW adicionales, y bajaría si la FERC alarga la banda de precios de PJM.</w:t>
      </w:r>
    </w:p>
    <w:p>
      <w:pPr>
        <w:spacing w:after="100"/>
      </w:pPr>
      <w:r>
        <w:rPr>
          <w:b/>
        </w:rPr>
        <w:t xml:space="preserve">El negocio.</w:t>
      </w:r>
      <w:r>
        <w:t xml:space="preserve"> Vistra es la segunda generadora independiente de EE. UU. (≈50 GW con Cogentrix) y la mayor comercializadora de Texas. Su ROIC del 12,8 % supera al WACC (9,91 %) solo en 2,9 puntos, por debajo de los 5 que exigimos para comprar; hasta 2022 no creaba valor. La sostenibilidad del crecimiento es «En parte»: las pruebas del motor pasan, pero el crecimiento de 2026-2027 sale de compras de centrales y de precios en máximos, no de una ventaja propia que se reinvierta.</w:t>
      </w:r>
    </w:p>
    <w:p>
      <w:pPr>
        <w:spacing w:after="100"/>
      </w:pPr>
      <w:r>
        <w:rPr>
          <w:b/>
        </w:rPr>
        <w:t xml:space="preserve">Sector y ciclo.</w:t>
      </w:r>
      <w:r>
        <w:t xml:space="preserve"> La demanda eléctrica vuelve a crecer por los centros de datos y los precios de capacidad de PJM están en el techo de su banda (325 USD/MW-día). Es el punto alto del ciclo, y la política ya reacciona: plan de la Casa Blanca y los gobernadores en enero, pausa de ERCOT en agosto.</w:t>
      </w:r>
    </w:p>
    <w:p>
      <w:pPr>
        <w:spacing w:after="100"/>
      </w:pPr>
      <w:r>
        <w:rPr>
          <w:b/>
        </w:rPr>
        <w:t xml:space="preserve">Finanzas.</w:t>
      </w:r>
      <w:r>
        <w:t xml:space="preserve"> El EBITDA ajustado sube de 3.325 M (2019) a 5.838 M (2025) y un 26 % en el 1S26; la guía de 2026 (6.800-7.600 M) está casi cubierta. El beneficio GAAP no sirve por las coberturas. La deuda neta es de 3,3 veces el EBITDA, con 6.615 M de recompras desde 2019.</w:t>
      </w:r>
    </w:p>
    <w:p>
      <w:pPr>
        <w:spacing w:after="100"/>
      </w:pPr>
      <w:r>
        <w:rPr>
          <w:b/>
        </w:rPr>
        <w:t xml:space="preserve">Equipo y gobierno.</w:t>
      </w:r>
      <w:r>
        <w:t xml:space="preserve"> Gobierno limpio (diez de once consejeros independientes, presidente separado, guía cumplida en 2022, 2023 y 2025). En contra, ventas de directivos por 112,6 M en 12 meses frente a una compra de 1,2 M del consejero delegado.</w:t>
      </w:r>
    </w:p>
    <w:p>
      <w:pPr>
        <w:spacing w:after="100"/>
      </w:pPr>
      <w:r>
        <w:rPr>
          <w:b/>
        </w:rPr>
        <w:t xml:space="preserve">Valoración.</w:t>
      </w:r>
      <w:r>
        <w:t xml:space="preserve"> El DCF da 118,22 y el DCF inverso dice que el precio descuenta un crecimiento del 7,7 % anual entre 2027 y 2033 frente al 4,6 % de nuestro base, o un margen del 37,4 %. Discrepamos del mercado en la tasa de descuento: Vistra contrata a largo plazo solo el 8 % del parque y el resto vende a precios de mercado. Los comparables (172,31) y el objetivo a 12 meses se apoyan en múltiplos de la euforia de 2024-2025.</w:t>
      </w:r>
    </w:p>
    <w:p>
      <w:pPr>
        <w:spacing w:after="100"/>
      </w:pPr>
      <w:r>
        <w:rPr>
          <w:b/>
        </w:rPr>
        <w:t xml:space="preserve">Riesgos y catalizadores.</w:t>
      </w:r>
      <w:r>
        <w:t xml:space="preserve"> El mayor riesgo es la intervención en PJM (bajista −54,3 %); después, ERCOT y la tasa de descuento. Catalizadores: resultados del 3T26 el 6-nov (posible guía de 2027), cierre de Cogentrix a finales de 2026 y primeras entregas a Meta.</w:t>
      </w:r>
    </w:p>
    <w:p>
      <w:pPr>
        <w:spacing w:after="100"/>
      </w:pPr>
      <w:r>
        <w:rPr>
          <w:b/>
        </w:rPr>
        <w:t xml:space="preserve">Qué cambiaría la decisión.</w:t>
      </w:r>
      <w:r>
        <w:t xml:space="preserve"> Compraríamos por debajo de 122,34 USD si además la calidad mejora (ROIC − WACC ≥ 5); venderíamos por encima de 188,17. Hechos: un contrato a 20 años para el resto de Comanche Peak o para más de 2 GW de PJM; una guía de 2027 por encima de 8.500 M con Cogentrix; o la ampliación de la banda de PJM, que nos llevaría a recortar el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168,44 USD</w:t>
      </w:r>
      <w:r>
        <w:t xml:space="preserve"> (rentabilidad +11,6 % (base +22,7 %)) · Valor intrínseco: 122,34 USD (-19,4 % sobre 151,79) · con la prima implícita del mercado: 140,28 (-7,6 %)</w:t>
      </w:r>
    </w:p>
    <w:p>
      <w:pPr>
        <w:spacing w:after="100"/>
      </w:pPr>
      <w:r>
        <w:t xml:space="preserve">Vistra es la segunda generadora independiente de EE. UU. y la mayor comercializadora de Texas: unos 44.000 MW (≈50.000 MW con Cogentrix), ≈6,4 GW nucleares y 5 millones de clientes [1]. Su EBITDA ajustado ha pasado de 3.325 M en 2019 a 5.838 M en 2025 y la guía de 2026 apunta a 6.800-7.600 M, con la producción ya cubierta [3, 4]. Los centros de datos le han dado contratos de 20 años con AWS y Meta por unos 3.800 MW [3, 15].</w:t>
      </w:r>
    </w:p>
    <w:p>
      <w:pPr>
        <w:spacing w:after="100"/>
      </w:pPr>
      <w:r>
        <w:t xml:space="preserve">El precio descuenta mucho de eso: un crecimiento del 7,7 % anual entre 2027 y 2033, frente al 4,6 % de nuestro base, o un margen del 37,4 % frente al 33 %. Cotiza a 16,1 veces nuestro BPA de 2027e y a 11,9 veces el EBITDA de los últimos 12 meses, el doble que su media antes de 2024 [26].</w:t>
      </w:r>
    </w:p>
    <w:p>
      <w:pPr>
        <w:spacing w:after="100"/>
      </w:pPr>
      <w:r>
        <w:t xml:space="preserve">Para invertir hay que creer que los precios altos de la energía y la capacidad duran muchos años más allá de 2027 y que la política no los recorta. Nosotros vemos el ciclo en máximos, la intervención ya en marcha y una rentabilidad sobre el capital que apenas supera su coste. El mercado acierta en que la empresa es mejor que antes; creemos que paga demasiado por ello.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8,21 = 57,47 · 17,7x × 10,47 = 185,32 · 20,3x × 12,10 = 245,63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 22,7 %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210,25 (nuestro base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 -54,3 %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9,9 %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122,34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122,34 y 188,17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188,17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122,34 USD con ROIC − WACC ≥ 5: pasaríamos a Comprar.</w:t>
      </w:r>
    </w:p>
    <w:p>
      <w:pPr>
        <w:pStyle w:val="ListParagraph"/>
        <w:numPr>
          <w:ilvl w:val="0"/>
          <w:numId w:val="2"/>
        </w:numPr>
        <w:spacing w:after="60"/>
      </w:pPr>
      <w:r>
        <w:t xml:space="preserve">Precio por encima de 188,17 USD: Vender.</w:t>
      </w:r>
    </w:p>
    <w:p>
      <w:pPr>
        <w:pStyle w:val="ListParagraph"/>
        <w:numPr>
          <w:ilvl w:val="0"/>
          <w:numId w:val="2"/>
        </w:numPr>
        <w:spacing w:after="60"/>
      </w:pPr>
      <w:r>
        <w:t xml:space="preserve">Contrato a 20 años para más de 2 GW adicionales: revisaríamos al alza el base y la tasa de descuento.</w:t>
      </w:r>
    </w:p>
    <w:p>
      <w:pPr>
        <w:pStyle w:val="ListParagraph"/>
        <w:numPr>
          <w:ilvl w:val="0"/>
          <w:numId w:val="2"/>
        </w:numPr>
        <w:spacing w:after="60"/>
      </w:pPr>
      <w:r>
        <w:t xml:space="preserve">Ampliación de la banda de PJM a 2029/30 por debajo de 250 USD/MW-día: recortaríamos el base.</w:t>
      </w:r>
    </w:p>
    <w:p>
      <w:pPr>
        <w:pStyle w:val="ListParagraph"/>
        <w:numPr>
          <w:ilvl w:val="0"/>
          <w:numId w:val="2"/>
        </w:numPr>
        <w:spacing w:after="60"/>
      </w:pPr>
      <w:r>
        <w:t xml:space="preserve">Guía de 2027 por debajo de 7.400 M sin Cogentrix (6-nov): recortaríamos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Vistra es una empresa de crecimiento estructural por la IA: el consenso espera un BPA ajustado de 10,36 en 2027 y un objetivo medio de 210,25, y el precio implica un crecimiento del 7,7 % anual hasta 2033 [11].</w:t>
      </w:r>
    </w:p>
    <w:p>
      <w:pPr>
        <w:keepNext/>
        <w:spacing w:after="100"/>
      </w:pPr>
      <w:r>
        <w:rPr>
          <w:b/>
          <w:bCs/>
        </w:rPr>
        <w:t xml:space="preserve">Lo que creemos nosotros.</w:t>
      </w:r>
    </w:p>
    <w:p>
      <w:pPr>
        <w:spacing w:after="100"/>
      </w:pPr>
      <w:r>
        <w:t xml:space="preserve">Los resultados de 2026-2027 están cubiertos y serán buenos, pero después los precios bajarán por las baterías, la nueva oferta de gas y los topes políticos. Solo el 8 % del parque tiene contratos a 20 años; el resto es una generadora cíclica que merece un WACC cercano al 10 %.</w:t>
      </w:r>
    </w:p>
    <w:p>
      <w:pPr>
        <w:keepNext/>
        <w:spacing w:after="100"/>
      </w:pPr>
      <w:r>
        <w:rPr>
          <w:b/>
          <w:bCs/>
        </w:rPr>
        <w:t xml:space="preserve">Por qué podemos tener razón.</w:t>
      </w:r>
    </w:p>
    <w:p>
      <w:pPr>
        <w:spacing w:after="100"/>
      </w:pPr>
      <w:r>
        <w:t xml:space="preserve">Los precios de ERCOT ya bajan desde octubre de 2025, los gobernadores piden alargar la banda de PJM, la FERC no permite recortar a los centros de datos y las compras de gas se pagan a 7 veces el EBITDA, la mitad de lo que el mercado paga por Vistra [14, 21, 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Resultados cubiertos</w:t>
      </w:r>
      <w:r>
        <w:t xml:space="preserve">: ≈100 % de la producción de 2026 y 94 % de 2027 vendida por adelantado [4].</w:t>
      </w:r>
    </w:p>
    <w:p>
      <w:pPr>
        <w:pStyle w:val="ListParagraph"/>
        <w:numPr>
          <w:ilvl w:val="0"/>
          <w:numId w:val="2"/>
        </w:numPr>
        <w:spacing w:after="60"/>
      </w:pPr>
      <w:r>
        <w:rPr>
          <w:b/>
        </w:rPr>
        <w:t xml:space="preserve">Contratos a 20 años</w:t>
      </w:r>
      <w:r>
        <w:t xml:space="preserve">: ≈3.800 MW nucleares con AWS y Meta, que añaden un 13-17 % al flujo libre [15].</w:t>
      </w:r>
    </w:p>
    <w:p>
      <w:pPr>
        <w:pStyle w:val="ListParagraph"/>
        <w:numPr>
          <w:ilvl w:val="0"/>
          <w:numId w:val="2"/>
        </w:numPr>
        <w:spacing w:after="60"/>
      </w:pPr>
      <w:r>
        <w:rPr>
          <w:b/>
        </w:rPr>
        <w:t xml:space="preserve">Compras baratas</w:t>
      </w:r>
      <w:r>
        <w:t xml:space="preserve">: Lotus y Cogentrix a 7-7,25 veces el EBITDA, frente a 11,9 veces de Vistra [14, 17].</w:t>
      </w:r>
    </w:p>
    <w:p>
      <w:pPr>
        <w:pStyle w:val="ListParagraph"/>
        <w:numPr>
          <w:ilvl w:val="0"/>
          <w:numId w:val="2"/>
        </w:numPr>
        <w:spacing w:after="60"/>
      </w:pPr>
      <w:r>
        <w:rPr>
          <w:b/>
        </w:rPr>
        <w:t xml:space="preserve">Recompras</w:t>
      </w:r>
      <w:r>
        <w:t xml:space="preserve">: −30 % de acciones desde 2021 y 1.200 M pendientes [4].</w:t>
      </w:r>
    </w:p>
    <w:p>
      <w:pPr>
        <w:pStyle w:val="ListParagraph"/>
        <w:numPr>
          <w:ilvl w:val="0"/>
          <w:numId w:val="2"/>
        </w:numPr>
        <w:spacing w:after="60"/>
      </w:pPr>
      <w:r>
        <w:rPr>
          <w:b/>
        </w:rPr>
        <w:t xml:space="preserve">Préstamo público</w:t>
      </w:r>
      <w:r>
        <w:t xml:space="preserve">: hasta 4.200 M del Departamento de Energía para las subidas de potencia [19].</w:t>
      </w:r>
    </w:p>
    <w:p>
      <w:pPr>
        <w:pStyle w:val="Heading2"/>
      </w:pPr>
      <w:r>
        <w:t xml:space="preserve">En contra</w:t>
      </w:r>
    </w:p>
    <w:p>
      <w:pPr>
        <w:pStyle w:val="ListParagraph"/>
        <w:numPr>
          <w:ilvl w:val="0"/>
          <w:numId w:val="2"/>
        </w:numPr>
        <w:spacing w:after="60"/>
      </w:pPr>
      <w:r>
        <w:rPr>
          <w:b/>
        </w:rPr>
        <w:t xml:space="preserve">Valor intrínseco bajo el precio</w:t>
      </w:r>
      <w:r>
        <w:t xml:space="preserve">: 122,34 frente a 151,79 (−19,4 %).</w:t>
      </w:r>
    </w:p>
    <w:p>
      <w:pPr>
        <w:pStyle w:val="ListParagraph"/>
        <w:numPr>
          <w:ilvl w:val="0"/>
          <w:numId w:val="2"/>
        </w:numPr>
        <w:spacing w:after="60"/>
      </w:pPr>
      <w:r>
        <w:rPr>
          <w:b/>
        </w:rPr>
        <w:t xml:space="preserve">Calidad justa</w:t>
      </w:r>
      <w:r>
        <w:t xml:space="preserve">: ROIC del 12,8 % frente a un WACC del 9,91 %, solo 2,9 puntos de diferencia.</w:t>
      </w:r>
    </w:p>
    <w:p>
      <w:pPr>
        <w:pStyle w:val="ListParagraph"/>
        <w:numPr>
          <w:ilvl w:val="0"/>
          <w:numId w:val="2"/>
        </w:numPr>
        <w:spacing w:after="60"/>
      </w:pPr>
      <w:r>
        <w:rPr>
          <w:b/>
        </w:rPr>
        <w:t xml:space="preserve">Riesgo político</w:t>
      </w:r>
      <w:r>
        <w:t xml:space="preserve">: el plan de enero para PJM costó un 7 % en un día [21].</w:t>
      </w:r>
    </w:p>
    <w:p>
      <w:pPr>
        <w:pStyle w:val="ListParagraph"/>
        <w:numPr>
          <w:ilvl w:val="0"/>
          <w:numId w:val="2"/>
        </w:numPr>
        <w:spacing w:after="60"/>
      </w:pPr>
      <w:r>
        <w:rPr>
          <w:b/>
        </w:rPr>
        <w:t xml:space="preserve">Ciclo en máximos</w:t>
      </w:r>
      <w:r>
        <w:t xml:space="preserve">: capacidad de PJM al techo (325 USD/MW-día) [16].</w:t>
      </w:r>
    </w:p>
    <w:p>
      <w:pPr>
        <w:pStyle w:val="ListParagraph"/>
        <w:numPr>
          <w:ilvl w:val="0"/>
          <w:numId w:val="2"/>
        </w:numPr>
        <w:spacing w:after="60"/>
      </w:pPr>
      <w:r>
        <w:rPr>
          <w:b/>
        </w:rPr>
        <w:t xml:space="preserve">Deuda</w:t>
      </w:r>
      <w:r>
        <w:t xml:space="preserve">: 3,3 veces el EBITDA y preferentes por 2.476 M [5].</w:t>
      </w:r>
    </w:p>
    <w:p>
      <w:pPr>
        <w:pStyle w:val="ListParagraph"/>
        <w:numPr>
          <w:ilvl w:val="0"/>
          <w:numId w:val="2"/>
        </w:numPr>
        <w:spacing w:after="60"/>
      </w:pPr>
      <w:r>
        <w:rPr>
          <w:b/>
        </w:rPr>
        <w:t xml:space="preserve">Ventas de directivos</w:t>
      </w:r>
      <w:r>
        <w:t xml:space="preserve">: 112,6 M en 12 meses [24].</w:t>
      </w:r>
    </w:p>
    <w:p>
      <w:pPr>
        <w:pStyle w:val="Heading2"/>
      </w:pPr>
      <w:r>
        <w:t xml:space="preserve">Qué tiene que pasar para que la tesis funcione</w:t>
      </w:r>
    </w:p>
    <w:p>
      <w:pPr>
        <w:spacing w:after="100"/>
      </w:pPr>
      <w:r>
        <w:t xml:space="preserve">La tesis depende de los precios de la capacidad en PJM y de la energía en ERCOT después de 2027. La señal de que no se cumple sería una ampliación de la banda de PJM a 2029/30 o precios a plazo de ERCOT para 2028 por debajo de los de 2026. La señal contraria, que reforzaría el caso de compra, serían nuevos contratos a 20 años para más de 2 GW.</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6.800-7.600 M; 1S 3.261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6.800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capacidad de PJM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USD/MW-día (2028/29)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Banda ampliada por debajo de 250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principal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MW contratados a largo plazo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MW</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6.000 MW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tasa de descuento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menos de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Precios cubiertos por debajo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el margen de 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27,4x / 14,9x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Vistra nace en octubre de 2016 de la quiebra de Energy Future Holdings (la antigua TXU, comprada en 2007 por KKR, TPG y Goldman en la mayor compra apalancada de su época). Salió a bolsa en 2017 como generadora y comercializadora de Texas, y desde entonces ha crecido comprando: Dynegy en 2018 (gas y carbón en PJM y el Medio Oeste), Energy Harbor en 2024 (tres nucleares en Ohio y Pensilvania) y las carteras de gas de Lotus en 2025 y Cogentrix en 2026 [1, 14]. La tormenta Uri de febrero de 2021 le costó unos 2.000 M y llevó al plan de recompras que ha retirado el 30 % de las acciones desde noviembre de 2021 [4, 9]. Desde 2024 la demanda de los centros de datos la ha convertido en una empresa de energía firme con contratos a 20 años [3,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quiebra de Energy Future Holdings como TCEH (TXU Energy y Luminant)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en la NYSE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Dynegy: entra en PJM, ISO-NE, NY y el Medio Oeste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Tormenta Uri: EBITDA ajustado de 1.908 M frente a 3.685 M en 2020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Energy Harbor (nucleares Beaver Valley, Perry y Davis-Besse) y crea Vistra Vision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15 % de Vistra Vision a sus socios, firma con AWS 1.200 MW de Comanche Peak a 20 años y compra 2,6 GW de gas a Lotus [3,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comprar Cogentrix (5,5 GW de gas), firma 2.609 MW nucleares con Meta y crea Helix con NVIDIA, KKR y la KIA [4, 14,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Departamento de Energía ofrece un préstamo de hasta 4.200 M para las subidas de potencia nucleares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Vistra genera electricidad y la vende. Tiene unos 44.000 MW (≈50.000 MW con Cogentrix) de gas, nuclear (Comanche Peak en Texas y Beaver Valley, Perry y Davis-Besse en PJM: ≈6,4 GW), carbón, solar y baterías, en los mercados liberalizados de Texas (ERCOT), el noreste (PJM, ISO-NE, NYISO), el Medio Oeste (MISO) y California [1]. Vende la energía de tres formas: en el mercado mayorista y de capacidad, con contratos a largo plazo con grandes clientes (AWS y Meta) y a través de su comercializadora, que atiende a unos 5 millones de clientes, 2,6 millones en Texas con TXU Energy [1].</w:t>
      </w:r>
    </w:p>
    <w:p>
      <w:pPr>
        <w:pStyle w:val="Heading2"/>
      </w:pPr>
      <w:r>
        <w:t xml:space="preserve">Cómo gana dinero</w:t>
      </w:r>
    </w:p>
    <w:p>
      <w:pPr>
        <w:spacing w:after="100"/>
      </w:pPr>
      <w:r>
        <w:t xml:space="preserve">Gana la diferencia entre el precio de la electricidad y el coste de producirla. La nuclear tiene un coste marginal bajo y estable; el gas marca el precio en casi todos sus mercados, así que cuando sube el gas suben los ingresos de la nuclear. La comercializadora compra a la propia generación y fija precios al cliente final: es una cobertura natural (en 2025 dio 1.622 M de EBITDA ajustado, el 28 %) [3]. Vistra cubre por adelantado casi toda su producción (≈100 % de 2026, 94 % de 2027 y 72 % de 2028), así que el resultado del año está casi cerrado al empezar [4]. La capacidad de PJM (325 USD/MW-día para 2028/29) es un ingreso fijo por estar disponible [16]. El verano de Texas y los picos de invierno concentran el beneficio.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Retail (comercialización)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(generación ERCOT)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 (generación PJM, NY, 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 (CAISO)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Asset Closure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Retail (comercialización)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(generación ERCOT)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 (generación PJM, NY, 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 (CAISO)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Asset Closure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en la comercializadora (≈5 millones de clientes) y creciente en la generación: los contratos de 20 años con AWS (hasta 1.200 MW en Comanche Peak) y Meta (2.609 MW en Perry, Davis-Besse y Beaver Valley, entregas desde finales de 2026) suman unos 3.800 MW nucleares a precio fijo [3, 15]. La empresa estima que los contratos con Meta añaden un 8-10 % al flujo libre ajustado por la energía existente y otro 5-7 % por las subidas de potencia [15]. El poder de precios es el del mercado, no el de la marca: en 2026 la dirección admite un año «blando» en los precios de ERCOT [32]. TXU Energy es la comercializadora grande mejor valorada por la comisión de Texas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operaciones continuas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en ≈112 M el punto medio de la guía original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ajustado antes de crecimiento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en ≈292 M el punto medio de la guía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1S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realizados y de capacidad más altos y las centrales de Lotus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la producción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2027 y 58 % 2028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2027 y 72 % 2028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2026 cubierto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(nov-21)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≈6.500 M USD de recompras desde nov-21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electricidad vendida al cliente final en Estados Unidos [12], porque Vistra integra generación mayorista en los mercados liberalizados (ERCOT, PJM, ISO-NE, NYISO, MISO, CAISO) con una comercializadora que vende al hogar y a la empresa [1]. Se usa el ingreso total de la EIA (514.396 M USD en 2024) como techo del perímetro; el mercado liberalizado donde compite de verdad es una parte (Texas y el noreste), sin estadística oficial única. Segunda fuente: el volumen vendido de la EIA (3.975 TWh en 2024, +4,3 % desde 2019)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514.400 M USD de ventas de electricidad al cliente final en 2024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20 años con AWS (1.200 MW en Comanche Peak) y Meta (2.609 MW en PJM) [3,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capacidad en PJM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2028/29 al techo de 325 USD/MW-día para 10.924 MW de Vistra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política en precios (topes en PJM, ERCOT)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la Casa Blanca y 13 gobernadores de ene-26: topes en las subastas y subasta especial para centros de datos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Baterías y solar en ERCOT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 plazo de ERCOT más bajos desde oct-25; la dirección admite un 2026 «blando» en Texas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gas natural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marca el precio marginal: sube el margen de la nuclear y encarece el combustible de los ciclos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grandes independientes (Constellation, Vistra, NRG, Talen) y muchas centrales de fondos; la electricidad es un producto homogéneo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pagan prima por energía firme y sin carbono a 20 años [3,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Turbinas de gas con listas de espera de varios años; combustible nuclear con pocos proveedores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central nueva de gas cuesta bastante más que los ≈730-743 USD/kW pagados por Cogentrix y Lotus [14,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 más baterías y autoconsumo en los centros de datos; nuclear modular a más de 5 años [1]</w:t>
            </w:r>
          </w:p>
        </w:tc>
      </w:tr>
    </w:tbl>
    <w:p>
      <w:pPr>
        <w:spacing w:after="160" w:before="0"/>
      </w:pPr>
    </w:p>
    <w:p>
      <w:pPr>
        <w:pStyle w:val="Heading2"/>
      </w:pPr>
      <w:r>
        <w:t xml:space="preserve">Ciclo</w:t>
      </w:r>
    </w:p>
    <w:p>
      <w:pPr>
        <w:spacing w:after="100"/>
      </w:pPr>
      <w:r>
        <w:t xml:space="preserve">La demanda de electricidad de EE. UU. vuelve a crecer tras quince años plana (3.975 TWh en 2024 frente a 3.811 en 2019) [13] y los precios de capacidad de PJM están en el techo de la banda [16]. El sector independiente sufrió en 2021 (tormenta Uri: pérdidas de unos 2.000 M en Vistra) y en 2022 por las coberturas [1]; en 2020 la demanda cayó un 2,5 % [13].</w:t>
      </w:r>
    </w:p>
    <w:p>
      <w:pPr>
        <w:pStyle w:val="Heading2"/>
      </w:pPr>
      <w:r>
        <w:t xml:space="preserve">Regulación</w:t>
      </w:r>
    </w:p>
    <w:p>
      <w:pPr>
        <w:spacing w:after="100"/>
      </w:pPr>
      <w:r>
        <w:t xml:space="preserve">ERCOT es un mercado solo de energía, con precios de escasez; PJM paga capacidad con subastas anuales, ahora con banda de precios (techo de ≈325-329 USD/MW-día) que los gobernadores quieren alargar a 2028/29 y 2029/30 [16, 21]. La FERC rechazó en noviembre de 2024 ampliar la conexión directa de Talen con Amazon y en octubre de 2026 la mayor parte del plan de PJM para recortar a los centros de datos [21]. El crédito fiscal a la producción nuclear (45U, hasta 2032) pone un suelo a los ingresos de las nucleares [1].</w:t>
      </w:r>
    </w:p>
    <w:p>
      <w:pPr>
        <w:pStyle w:val="Heading2"/>
      </w:pPr>
      <w:r>
        <w:t xml:space="preserve">Tendencias y disrupción</w:t>
      </w:r>
    </w:p>
    <w:p>
      <w:pPr>
        <w:spacing w:after="100"/>
      </w:pPr>
      <w:r>
        <w:t xml:space="preserve">La tendencia que mueve el sector es la demanda de los centros de datos, que firman contratos de 20 años de energía nuclear y de gas con prima. Vistra gana con ella (AWS, Meta, Helix con NVIDIA y KKR) [3, 14, 15]. En contra, las baterías aplanan los picos de precio en ERCOT, y la presión política para que los centros de datos paguen la red y no suban la factura del hogar limita los precios de capacidad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independiente de EE. UU. por capacidad (≈44 GW, ≈50 GW con Cogentrix) tras Constellation; mayor comercializadora de Texas (≈2,6 M de clientes)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flota nuclear (≈22 GW) más Calpine desde ene-26; contrato con Microsoft (Crane) y Meta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NRG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Comercializadora dominante (Reliant) más 13 GW de LS Power: modelo integrado como Vistra, sin nuclear [18,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Susquehanna (nuclear) con contrato con Amazon; compró 2,9 GW de gas en 2025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NextEra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Regulada (FPL) más el mayor promotor renovable; compite por los contratos con centros de datos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Calpine (en Constellation)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flota de gas independiente; comprada por Constellation (cierre ene-26)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la electricidad es un producto homogéneo.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20 años con AWS y Meta; en la comercializadora el cliente cambia con facilidad [5,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nucleares (cuatro plantas, renovación a 20 años más) y emplazamientos con conexión a la red: no se replican [5,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Nuclear con coste marginal bajo y crédito 45U; compra de gas existente a ≈730-743 USD/kW frente a centrales nuevas [4,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generación-comercialización: la comercializadora cubre de forma natural la producción en Texas [1]</w:t>
            </w:r>
          </w:p>
        </w:tc>
      </w:tr>
    </w:tbl>
    <w:p>
      <w:pPr>
        <w:spacing w:after="160" w:before="0"/>
      </w:pPr>
    </w:p>
    <w:p>
      <w:pPr>
        <w:pStyle w:val="Heading2"/>
      </w:pPr>
      <w:r>
        <w:t xml:space="preserve">Amenazas</w:t>
      </w:r>
    </w:p>
    <w:p>
      <w:pPr>
        <w:spacing w:after="100"/>
      </w:pPr>
      <w:r>
        <w:t xml:space="preserve">Tres amenazas. La primera es política: los topes a los precios de capacidad de PJM y la presión para que los centros de datos paguen su red pueden recortar el margen de 2028-2030 (probabilidad media) [21]. La segunda, las baterías y la solar en ERCOT, que ya han bajado los precios a plazo y los picos de escasez (alta) [32]. La tercera, que los centros de datos se construyan su propia generación de gas o compren a NextEra y Constellation; los contratos firmados (AWS, Meta) protegen unos 3.800 MW, el 8 % de la flota [3,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2019-2025: ingresos </w:t>
      </w:r>
      <w:r>
        <w:rPr>
          <w:b/>
          <w:bCs/>
        </w:rPr>
        <w:t xml:space="preserve">7,0 %</w:t>
      </w:r>
      <w:r>
        <w:t xml:space="preserve">, EBITDA </w:t>
      </w:r>
      <w:r>
        <w:rPr>
          <w:b/>
          <w:bCs/>
        </w:rPr>
        <w:t xml:space="preserve">9,8 %</w:t>
      </w:r>
      <w:r>
        <w:t xml:space="preserve">, BPA </w:t>
      </w:r>
      <w:r>
        <w:rPr>
          <w:b/>
          <w:bCs/>
        </w:rPr>
        <w:t xml:space="preserve">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publicados crecen un 7,0 % anual desde 2019, pero son poco útiles: llevan la valoración de las coberturas (en 2025, −1.811 M no realizados) [1]. La medida limpia es el EBITDA ajustado: de 3.325 M en 2019 a 5.838 M en 2025 (+9,8 % anual), con el bache de Uri en 2021 (1.908 M) [3, 9, 10]. El salto de 2023-2025 viene de las compras (Energy Harbor desde marzo de 2024, Lotus desde octubre de 2025) y de precios más altos de capacidad y energía [3]. En 2026 el EBITDA ajustado del primer semestre sube un 26 % (3.261 M) y la guía de 6.800-7.600 M se reafirmó en agosto [4, 6]. El margen ajustado pasa del 27,7 % en 2023 al 32,9 % en 2025. 2024 y 2025 no son del todo comparables con 2023 por Energy Harbor y Lotus.</w:t>
      </w:r>
    </w:p>
    <w:p>
      <w:pPr>
        <w:pStyle w:val="Heading2"/>
      </w:pPr>
      <w:r>
        <w:t xml:space="preserve">Ajustes y partidas no recurrentes</w:t>
      </w:r>
    </w:p>
    <w:p>
      <w:pPr>
        <w:spacing w:after="100"/>
      </w:pPr>
      <w:r>
        <w:t xml:space="preserve">Usamos el EBITDA ajustado de la empresa: quita las ganancias y pérdidas no realizadas de las coberturas (+808 M en 2025, −1.155 M en 2024), la contabilidad de compras, los pagos en acciones (113 M en 2025: los quita la empresa y los dejamos fuera también), los gastos de integración, los deterioros (228 M en 2025), los seguros de Martin Lake y Moss Landing y las partidas de desmantelamiento nuclear [3]. La amortización del combustible nuclear (487 M en 2025) va dentro de amortizaciones, como en las conciliaciones. Lo que se repite (pagos en acciones, integración casi cada año) no es del todo no recurrente: con los pagos en acciones el EBITDA de 2025 sería unos 113 M menor.</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(7-ago) la dirección destacó un EBITDA ajustado de operaciones continuas de 1.767 M (+31 %), la guía de 2026 reafirmada y la «oportunidad» de 7.400-7.800 M para 2027 sin Cogentrix ni Meta [4]. Anunció Helix con NVIDIA, KKR y la KIA, con un compromiso de Vistra de hasta 1.000 M, y la aprobación de la FERC para Cogentrix [4]. Frente al 1T26 (7-may), el discurso pasó de «récord» a explicar un ERCOT más flojo: el consejero delegado dijo que un 2026 blando en precios «no es una sorpresa» [6, 32]. Las preguntas se centraron en la pausa del Batch Zero de ERCOT ordenada por el gobernador Abbott (efecto en Comanche Peak: la empresa mantiene la puesta en marcha a finales de 2027), en el destino de los 1.000 M de Helix y en cuándo llegará la guía de 2027, que la empresa retrasará si Cogentrix no ha cerrado [29, 32]. No dio la rentabilidad esperada de Helix ni el precio del contrato con AWS.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Energy Harbor (nucleares Beaver Valley, Perry y Davis-Besse y comercializadora), consolidada desde el 1-mar-2024: diez meses en la cuenta; 2025: Lotus (2,6 GW de gas), consolidada desde el 22-oct-2025: entra en el balance con solo dos meses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pasa de 14.230 M en 2024 a 19.283 M en 2025 (3,3 veces el EBITDA ajustado) por Lotus, la compra del 15 % de Vistra Vision y las recompras [1]. En 2026 la empresa refinanció 2.250 M en enero y 1.500 M en septiembre, y alargó la línea ligada a materias primas a septiembre de 2027 [3, 35]. El objetivo es una deuda neta inferior a 3 veces el EBITDA [14]. La cobertura de intereses baja a 2,9 veces en 2025. El circulante es pequeño (9,6 % de las ventas) porque la comercializadora cobra rápido; lo que mueve la caja son los depósitos de garantía de las coberturas.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3.406</w:t>
      </w:r>
      <w:r>
        <w:t xml:space="preserve">, conversión </w:t>
      </w:r>
      <w:r>
        <w:rPr>
          <w:b/>
          <w:bCs/>
        </w:rPr>
        <w:t xml:space="preserve">82 %</w:t>
      </w:r>
      <w:r>
        <w:t xml:space="preserve"> del beneficio neto; adquisiciones 5.339, dividendos 2.025, recompras 6.615.</w:t>
      </w:r>
    </w:p>
    <w:p>
      <w:pPr>
        <w:spacing w:after="100"/>
      </w:pPr>
      <w:r>
        <w:t xml:space="preserve">El flujo operativo es volátil por los depósitos de garantía (−206 M en 2021 por Uri; 5.453 M en 2023) [2]. La empresa mide el flujo libre ajustado antes de crecimiento: 3.592 M en 2025 frente a un EBITDA ajustado de 5.912 M, una conversión del 61 % después de intereses e impuestos [3]. El capex de 2025 (3.941 M) incluye 1.348 M de mantenimiento con combustible nuclear y 1.126 M de crecimiento (solar en Illinois, dos turbinas de 860 MW en Permian) [3]. En 2026 la guía pone el mantenimiento en 1.536 M [4]. Estimación propia: el capex de mantenimiento ronda el 7-8 % de las ventas; el resto es crecimiento.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correctas pero ruidosas. La valoración a mercado de las coberturas mueve el beneficio GAAP miles de millones de un año a otro (−808 M en 2025, +1.155 M en 2024), por eso la empresa y el mercado miran el EBITDA ajustado [3]. El ajuste se concilia línea a línea y es estable desde 2019 [3, 9, 10]. Partidas a vigilar: los pagos en acciones (113 M, se excluyen), los seguros de Martin Lake (191 M de ingresos por siniestro en 2025, fuera del ajustado) y los gastos de integración, que se repiten. El Altman Z de 1,47 cae en zona de riesgo por el patrimonio bajo (recompras) y la deuda; no es una alarma con grado de inversión y flujo estable. El Piotroski de 4 refleja la deuda y el ROA más bajos de 2025. El Beneish M de −2,60 no apunta a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GAAP dominado por coberturas no realizadas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inútil el PER GAAP: usamos el BPA ajustado propio.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 en zona de riesgo (1,47)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reducido por 6.500 M de recompras; deuda con grado de inversión.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Moss Landing (incendio de baterías, ene-25)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de remediación estimado subido a 175 M en el 2T26; litigios abiertos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2.810 M en 2025 (el 13 % del capital invertido medio); ha subido más de un 5 % en 1 de 6 años: compras pequeñas. ROIC publicado 12,8 %; sin fondo de comercio, 14,7 %.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40,1 % · </w:t>
      </w:r>
      <w:r>
        <w:rPr>
          <w:b/>
          <w:bCs/>
        </w:rPr>
        <w:t xml:space="preserve">WACC</w:t>
      </w:r>
      <w:r>
        <w:t xml:space="preserve">: 9,9 %.</w:t>
      </w:r>
    </w:p>
    <w:p>
      <w:pPr>
        <w:spacing w:after="100"/>
      </w:pPr>
      <w:r>
        <w:t xml:space="preserve">El ROIC del último ejercicio es del 12,8 % (14,7 % sin fondo de comercio) frente a un WACC del 9,91 %: crea valor, pero solo 2,9 puntos por encima, lejos de los 5 puntos que pedimos [1]. Antes de 2023 no lo creaba (6,8 % en 2019, 5,7 % en 2022). El salto viene del margen (precios de capacidad y energía más altos y nuclear de Energy Harbor), no de la rotación, que sigue en torno a 0,44. El ROIC incremental de 2019-2025 sale del 40,1 % porque los precios subieron sobre activos ya amortizados, no porque cada dólar nuevo rinda eso: las compras de gas recientes (7-7,25 veces el EBITDA) rinden un 10-11 % antes de impuestos [14, 17]. Constellation, con más nuclear, tiene márgenes ajustados similares.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435 M + 4.408 M disponibles en la línea de crédito corporativa + 1.452 M en la línea ligada a materias primas = ≈6.295 M a 30-jun-2026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en la deuda garantizada de Vistra Operations (S&amp;P y Fitch BBB−, Moody's Baa3, según la propia empresa)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parecen deuda y se tratan como tal: 2.476 M de acciones preferentes (liquidación; se están refinanciando con 1.500 M de bonos subordinados de septiembre) y 613 M de la obligación de pago a Nuveen por el 15 % de Vistra Vision [5, 35]. Obligaciones de desmantelamiento de 4.269 M cubiertas en buena parte por los fondos nucleares (5.331 M de inversiones) [5]. Pensiones con un déficit de 101 M [1]. Moss Landing: 175 M estimados de remediación, 85 M pendientes [5]. Financiación de clientes (factoring con recurso) de 300 M, ya contada en la deuda [5]. Depósitos de garantía por coberturas de 1.436 M en el activo [5].</w:t>
      </w:r>
    </w:p>
    <w:p>
      <w:pPr>
        <w:pStyle w:val="Heading1"/>
      </w:pPr>
      <w:r>
        <w:t xml:space="preserve">12. Asignación de capital</w:t>
      </w:r>
    </w:p>
    <w:p>
      <w:pPr>
        <w:pStyle w:val="Confianza"/>
        <w:spacing w:after="100"/>
      </w:pPr>
      <w:r>
        <w:t xml:space="preserve">Confianza: Media</w:t>
      </w:r>
    </w:p>
    <w:p>
      <w:pPr>
        <w:spacing w:after="100"/>
      </w:pPr>
      <w:r>
        <w:t xml:space="preserve">La empresa reparte unos 300 M al año en dividendos (0,23 USD por trimestre) y al menos 1.000 M en recompras: quedan ≈1.200 M autorizados hasta finales de 2027 [4, 14]. Ha recomprado ≈6.500 M desde noviembre de 2021 (−30 % de acciones) [4]. La prioridad declarada es mantener el grado de inversión con una deuda neta inferior a 3 veces el EBITDA y crecer donde la inversión supere una rentabilidad apalancada de «mitad de la decena» (≈15 %) [14,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Dynegy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escala en PJM y el Medio Oeste; parte del carbón de Dynegy pasó a Asset Closure.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Energy Harbor (nuclear y comercializadora)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los contratos con Meta; el East pasó de 1.001 M de EBITDA (2023) a 2.282 M (2025)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Lotus (2,6 GW de gas)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cinco meses; contribuye desde el 4T25 [4,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Cogentrix (5,5 GW de gas,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M en caja, 900 M en acciones (5 M a 185 USD) y 1.500 M de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a finales de 2026; la FERC ya la aprobó [4, 14].</w:t>
            </w:r>
          </w:p>
        </w:tc>
      </w:tr>
    </w:tbl>
    <w:p>
      <w:pPr>
        <w:spacing w:after="160" w:before="0"/>
      </w:pPr>
    </w:p>
    <w:p>
      <w:pPr>
        <w:spacing w:after="100"/>
      </w:pPr>
      <w:r>
        <w:t xml:space="preserve">La dirección asigna bien el capital en el precio, peor en el riesgo. Entre 2019 y 2025 generó 3.406 M de flujo libre y destinó 6.615 M a recompras, 2.025 M a dividendos y 5.339 M a compras: el resto salió de la deuda. Las recompras se hicieron sobre todo entre 20 y 40 USD por acción, muy por debajo de hoy, y las compras de gas a 7-7,25 veces el EBITDA cuando las cotizadas valen 11-15 veces [14, 17]. El coste es un balance más apalancado (3,3 veces) y un Altman Z bajo. El ROIC incremental del 40,1 % lo explican los precios más que las decisiones.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A. (Jim) Burke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Vistra y su antecesora TXU desde 2004; director de operaciones y financiero antes de ser consejero delegado en 2022. Con él: compra de Energy Harbor, Lotus y Cogentrix y contratos con AWS y Meta; EBITDA ajustado de 3.115 M (2022) a 5.912 M (2025) [3, 9,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Kristopher E. Moldovan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Tesorero y después director financiero; lleva el plan de recompras (≈6.500 M desde nov-21) y el grado de inversión [4,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Hudson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Vistra Retail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TXU Energy y las demás comercializadoras; EBITDA de la comercialización de 1.463 M (2024) a 1.622 M (2025) [3,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Doré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 relación con reguladores y gobiernos, clave en PJM y ERCOT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B. Helm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desde la salida de la quiebra de Energy Future Holdings; presidente no ejecutivo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operaciones continuas, punto medio ≈3.060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3.115 M (+55 M sobre el punto medio)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punto medio 3.700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4.093 M de operaciones continuas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punto medio ≈5.800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5.912 M (+112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6.800-7.600 M, reafirmada en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3.261 M en el 1S (+26 %)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Burke lleva más de veinte años en la casa y la guía anual se ha cumplido o superado en 2022, 2023 y 2025 [3, 9]. La compra de Cogentrix y los contratos con Meta y AWS muestran capacidad de ejecutar. En contra, las ventas de acciones de la cúpula en el último año (112,6 M, 64 M del consejero delegado con un plan 10b5-1) frente a una sola compra de 1,2 M en agosto de 2026 [24, 25]. No hay sucesión anunciada ni cambios en la cúpula en 24 meses.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B. Helm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A. Burke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Hilary E. Ackermann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Arcilia C. Acosta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R. Baiera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Social y Retribuciones; otra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 Barbas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Crutchfield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Social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A. Lagacy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(Bill) Pitesa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Generación y Seguridad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R. (J. R.) Sult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C. Walters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comisiones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1,17 / ventas 104,28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con datos de dic-23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con datos de sep-24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Qatar Investment Authority (Seismic Holding)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Quantum Capital Group (por Cogentrix)</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privado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Recibirá 5 M de acciones al cierre de Cogentrix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James A. Burke (consejero delegado),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James A. Burke (consejero delegado), compra a ≈135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A. Hudson (Vistra Retail)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 Lee Kirby (directora de administración)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Kristopher E. Moldovan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 B. Helm (presidente),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15,99 M en 2025: 1,39 M de fijo, 2,97 M de variable anual y 11,43 M en acciones (65 % ligadas a resultados) [22]. El variable a largo plazo depende de un único indicador, el flujo libre ajustado antes de crecimiento por acción a tres años, corregido por la rentabilidad para el accionista frente a otras empresas: premia la caja por acción, y las recompras la empujan [22]. Los PSU de 2023 pagaron el 200 %. Hay cláusula de recuperación, sin garantías fiscales y con doble condición en un cambio de control [22]. La remuneración se aprobó con el 96,8 % a favor y un 3,1 % en contra en la junta de 2026 [23]. La ratio frente al empleado medio es de 117 veces.</w:t>
      </w:r>
    </w:p>
    <w:p>
      <w:pPr>
        <w:pStyle w:val="Heading2"/>
      </w:pPr>
      <w:r>
        <w:t xml:space="preserve">Operaciones vinculadas, estructura de control y defensas</w:t>
      </w:r>
    </w:p>
    <w:p>
      <w:pPr>
        <w:spacing w:after="100"/>
      </w:pPr>
      <w:r>
        <w:t xml:space="preserve">Sin accionista de control: el primero es Vanguard (12,6 %), seguido de BlackRock (8,4 %), el fondo soberano de Catar (5,5 %) y Fidelity (5,1 %) [22]. Una acción, un voto; el consejo se elige cada año y el presidente es independiente y distinto del consejero delegado [22]. Diez de once consejeros son independientes. Quantum Capital recibirá 5 M de acciones (≈1,5 %) al cerrar Cogentrix [14]. No hay operaciones vinculadas relevantes. Todos los consejeros salieron con más del 98 % de votos a favor [23].</w:t>
      </w:r>
    </w:p>
    <w:p>
      <w:pPr>
        <w:pStyle w:val="Heading2"/>
      </w:pPr>
      <w:r>
        <w:t xml:space="preserve">Señales de alerta</w:t>
      </w:r>
    </w:p>
    <w:p>
      <w:pPr>
        <w:pStyle w:val="ListParagraph"/>
        <w:numPr>
          <w:ilvl w:val="0"/>
          <w:numId w:val="2"/>
        </w:numPr>
        <w:spacing w:after="60"/>
      </w:pPr>
      <w:r>
        <w:t xml:space="preserve">Ventas de directivos y consejeros por 112,6 M USD en 12 meses (73,3 M con planes 10b5-1), frente a compras de 1,2 M del consejero delegado en agosto de 2026 [24, 25].</w:t>
      </w:r>
    </w:p>
    <w:p>
      <w:pPr>
        <w:pStyle w:val="ListParagraph"/>
        <w:numPr>
          <w:ilvl w:val="0"/>
          <w:numId w:val="2"/>
        </w:numPr>
        <w:spacing w:after="60"/>
      </w:pPr>
      <w:r>
        <w:t xml:space="preserve">Incidente de Moss Landing (incendio de baterías, ene-25): acuerdo con la EPA y coste estimado de remediación de 175 M, 65 M más en el 2T26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EBITDA ajustado de operaciones continuas de 6.800-7.600 M y flujo libre ajustado antes de crecimiento de 3.925-4.725 M, dada en noviembre de 2025 y reafirmada el 7-ago-2026 [4]. Para 2027, una «oportunidad» de punto medio de 7.400-7.800 M sin Cogentrix (≈550 M de EBITDA: 4.000 M a 7,25 veces) ni Meta [4, 14]. La guía no incluye el crédito fiscal a la producción nuclear [4]. Los próximos resultados, el 6-nov-2026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9 analistas de BPA [11]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10 analistas de BPA [11]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106,00 – 305,00</w:t>
            </w:r>
          </w:p>
        </w:tc>
      </w:tr>
    </w:tbl>
    <w:p>
      <w:pPr>
        <w:spacing w:after="160" w:before="0"/>
      </w:pPr>
    </w:p>
    <w:p>
      <w:pPr>
        <w:pStyle w:val="Heading2"/>
      </w:pPr>
      <w:r>
        <w:t xml:space="preserve">Revisiones de estimaciones</w:t>
      </w:r>
    </w:p>
    <w:p>
      <w:pPr>
        <w:spacing w:after="100"/>
      </w:pPr>
      <w:r>
        <w:t xml:space="preserve">El consenso de BPA ajustado de 2027 bajó de 11,30 a 10,36 USD en 90 días (−8 %) y el de 2026 de 9,83 a 9,58 (−3 %), por los precios más bajos de ERCOT y la pausa de los centros de datos en Texas [11, 32]. Los ingresos estimados de 2027 bajaron un 4 % desde junio [29]. Los objetivos bajan: BMO de 231 a 210 (5-oct), UBS de 233 a 227 y TD Cowen de 230 a 221; Mizuho empezó con 169 [11]. El objetivo medio es de 210,25 USD (106-305) con 20 recomendaciones de compra y una de venta [11].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La acción multiplicó por siete entre 2023 y 2024 (+67 % y +258 %) con la tesis de los centros de datos, y lleva un año de corrección: −25,7 % en 12 meses frente al +17,5 % del S&amp;P 500 y el −6,4 % de las eléctricas [26]. La caída tiene tres causas con fecha: la intervención en PJM (16-ene-2026: plan de la Casa Blanca y los gobernadores para limitar la capacidad), los precios más bajos de ERCOT y la pausa de los centros de datos en Texas (agosto), y el ruido de las coberturas en el beneficio GAAP [21, 30, 32]. La beta mensual de 5 años es de 1,36 y la volatilidad, del 49 %: es una acción de crecimiento, no una eléctrica defensiva.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 -2,3 % / -8,3 % / -26,1 %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 / +12,7 %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la Casa Blanca y 13 gobernadores para PJM (topes en las subastas, subasta especial con contratos de 15 años pagados por los centros de datos); Constellation −9,6 % y Talen −9 % el mismo día (16-ene)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20-mar: ex-dividendo, ventas de directivos publicadas y subida de los tipos que arrastró a las eléctricas; resultados del 4T25 por debajo en BPA GAAP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132,66 USD (19-may) con el 1T26 récord (1.494 M de EBITDA ajustado) y Helix con NVIDIA y KKR [6,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 plazo de ERCOT más bajos, pausa del Batch Zero ordenada por el gobernador Abbott y pérdida GAAP de 472 M por coberturas en el 2T26 (la acción cayó un 3,3 % el día de resultados) [30,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Caídas del 8-oct (−6,3 %, recogida de beneficios tras subir un 20,5 % en cinco sesiones con el préstamo del Departamento de Energía) y del 14-oct (−6,5 %, sin causa propia identificada; la FERC había rechazado el 12-oct la mayor parte del plan de PJM para recortar a los centros de datos) [29, 33,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posible guía de 2027, que la empresa retrasará si Cogentrix no ha cerrado [11,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BMO baja el objetivo de 231 a 210 USD; Bernstein mantiene 181; Mizuho empieza con 169 (24-ago)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Energía ofrece un préstamo condicionado de hasta 4.200 M para las subidas de potencia de Beaver Valley, Perry y Davis-Besse [19,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FERC rechaza la mayor parte del plan temporal de PJM para recortar a los centros de datos; sigue abierta la ampliación de la banda de precios de capacidad a 2028/29 y 2029/30 que piden los gobernadores [21,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1.500 M en bonos subordinados al 7,0-7,25 % a 2057, que sustituyen a acciones preferentes: no diluye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y consejeros por 112,6 M en 12 meses (64 M del consejero delegado con plan 10b5-1) y compra de 1,2 M del consejero delegado a ≈135 USD en agosto [24,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Cogentrix: aprobada por la FERC, cierre previsto a finales de 2026; Quantum recibirá 5 M de acciones con libertad de venta posterior [4,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28 % por debajo de su máximo de 52 semanas y en tendencia bajista (1,8 % por debajo de la media de 200 sesiones), con un rebote del 8,2 % en el último mes. Las caídas fuertes tienen causas conocidas que el informe recoge (intervención en PJM, ERCOT, coberturas) y ninguna es un deterioro del negocio: el EBITDA ajustado del 1S sube un 26 %. No hay colocación, ampliación ni decisión regulatoria con fecha pendiente que pueda mover el precio más de un 5 % de forma aislada; la ampliación de la banda de PJM es un riesgo de fondo, sin fecha. Las ventas de directivos son en su mayoría con planes 10b5-1 y el consejero delegado compró en agosto.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EBITDA ajustado, Vistra cotiza a 11,9 veces los últimos 12 meses frente a una media de 6,5 veces en los cierres de 2019-2025 sin 2021 y 2022 (percentil 80) [26]. El PER de los últimos 12 meses (27,4 veces, sobre el BPA GAAP) no sirve por las coberturas. El cambio es estructural en parte: hasta 2023 el mercado la valoraba como una generadora cíclica de Texas con carbón; desde 2024 la valora por la nuclear y los contratos con centros de datos. Nuestra historia del PER adelantado en base ajustada lo muestra: 7,0-9,2 veces en 2022-2023 y 20,3-30,9 veces en 2024-2025. Los años 2021 y 2022 se excluyen de la media por Uri y las coberturas.</w:t>
      </w:r>
    </w:p>
    <w:p>
      <w:pPr>
        <w:pStyle w:val="Heading1"/>
      </w:pPr>
      <w:r>
        <w:t xml:space="preserve">18. Comparables cotizados</w:t>
      </w:r>
    </w:p>
    <w:p>
      <w:pPr>
        <w:pStyle w:val="Confianza"/>
        <w:spacing w:after="100"/>
      </w:pPr>
      <w:r>
        <w:t xml:space="preserve">Confianza: Media</w:t>
      </w:r>
    </w:p>
    <w:p>
      <w:pPr>
        <w:spacing w:after="100"/>
      </w:pPr>
      <w:r>
        <w:t xml:space="preserve">Tres generadoras independientes con modelo comparable (Constellation, NRG y Talen) y seis eléctricas reguladas grandes (NextEra, PSEG, Dominion, Southern, AEP y Duke) que compiten por los mismos contratos con centros de datos y marcan el múltiplo de la energía firme. Las reguladas tienen menos riesgo de precio y más deuda; las independientes, más crecimiento. Todas a 14-oct-2026 con datos de Yahoo [20]. Talen sin EV/EBITDA (su EBITDA GAAP con coberturas da 45 veces).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Vistra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NRG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NextEra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Dominion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 Company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Electric Power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Duke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13,6x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16,9x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5,7x / 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r>
    </w:tbl>
    <w:p>
      <w:pPr>
        <w:spacing w:after="160" w:before="0"/>
      </w:pPr>
    </w:p>
    <w:p>
      <w:pPr>
        <w:spacing w:after="100"/>
      </w:pPr>
      <w:r>
        <w:t xml:space="preserve">Vistra cotiza a 14,9 veces el BPA ajustado del consenso de los próximos 12 meses, por debajo de la mediana de los comparables (16,9 veces) y muy por debajo de Constellation (21,4 veces), con más margen (34,6 % frente a 25,4 %) [20]. El descuento frente a Constellation se explica por el peso del gas y de ERCOT frente a la nuclear pura, y por una beta más alta. Aplicando la mediana del PER a nuestro BPA de los próximos 12 meses (10,2) sale 172,31 USD; con el EV/EBITDA de los últimos 12 meses, 185,15. Nuestro BPA es un 15 % más bajo que el del consenso porque restamos la amortización del combustible nuclear y el dividendo preferente; el múltiplo de los comparables está en la base del consenso, así que el valor por comparables está algo inflado y pesa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Cogentrix Energy (5,5 GW de gas en PJM, ISO-NE y ERCOT)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beneficios fiscales; 7,25x el EBITDA ajustado esperado de 2027; ≈730 USD/kW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Lotus Infrastructure (2,6 GW de 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≈743 USD/kW; ≈7x el EBITDA ajustado de 2026 sin sinergias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LS Power (13 GW de gas) y CPower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NRG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7,5x el EBITDA de 2026; incluye la plataforma de demanda gestionable CPower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Harbor (4 GW nucleares y comercializadora)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3.000 M en caja más el 15 % de Vistra Vision; múltiplo no publicado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 (7,1x – 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60,56 – 65,34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tres compras con múltiplo publicado se pagaron a 7-7,5 veces el EBITDA del año siguiente (Lotus, Cogentrix, LS Power), unos 730-743 USD/kW: la mitad de lo que vale una central nueva [14, 17, 18]. Aplicadas a Vistra dan 62,95 USD por acción, muy por debajo del precio, porque son carteras de gas sin nuclear ni comercializadora y sin contratos con centros de datos. Dicen sobre todo que Vistra compra barato y cotiza caro frente a lo que paga: el diferencial es la tesis de sus compras. Con una capitalización de 51.760 M, Vistra no es objetivo realista de compra. Peso del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publicados de 2025 llevan −1.811 M de coberturas no realizadas, por eso 2026e sube un 25 % (22.170 M, en línea con los 22.485 M del consenso) [1, 11]: 11 puntos son la vuelta de esas coberturas y Lotus todo el año, 8 de volumen y 6 de precio. 2027e sube un 12 % por Cogentrix (5,5 GW), Meta (2.609 MW desde finales de 2026) y Comanche Peak con AWS [14, 15]. Desde 2028e el crecimiento baja del 5 % al 2,5 %, por debajo del 5,1 % anual de las ventas eléctricas de 2019-2024 [12].</w:t>
      </w:r>
    </w:p>
    <w:p>
      <w:pPr>
        <w:keepNext/>
        <w:spacing w:after="100"/>
      </w:pPr>
      <w:r>
        <w:rPr>
          <w:b/>
          <w:bCs/>
        </w:rPr>
        <w:t xml:space="preserve">Márgenes.</w:t>
      </w:r>
    </w:p>
    <w:p>
      <w:pPr>
        <w:spacing w:after="100"/>
      </w:pPr>
      <w:r>
        <w:t xml:space="preserve">El margen EBITDA ajustado de 2026e (32 %) es la guía: 7.095 M frente a 6.720-7.520 M consolidado [4]. Sube al 33,5 % en 2027e (oportunidad de 7.400-7.800 M más Cogentrix a 7,25 veces) y al 34 % en 2028-2029 por los contratos nucleares a precio fijo y la capacidad de PJM a 325 USD/MW-día [14, 16]. Después baja al 33 % por la presión de las baterías en ERCOT y los topes de PJM. Histórico: 27,7 % en 2023, 32,2 % en 2024 y 32,9 % en 2025.</w:t>
      </w:r>
    </w:p>
    <w:p>
      <w:pPr>
        <w:keepNext/>
        <w:spacing w:after="100"/>
      </w:pPr>
      <w:r>
        <w:rPr>
          <w:b/>
          <w:bCs/>
        </w:rPr>
        <w:t xml:space="preserve">Inversión y circulante.</w:t>
      </w:r>
    </w:p>
    <w:p>
      <w:pPr>
        <w:spacing w:after="100"/>
      </w:pPr>
      <w:r>
        <w:t xml:space="preserve">Amortización del 9,7-10 % de las ventas (2.150 M en 2026 según la guía, con combustible nuclear) [4]. Capex del 15 % en 2026e (mantenimiento de 1.536 M más crecimiento: Permian, solar, subidas de potencia), del 12 % en 2027e y bajando hasta el 10,2 % al final, algo por encima de la amortización [3, 4]. El capex de Meta se concentra después de 2028 (menos del 20 % antes) [15]. Cogentrix se paga en el puente (3.100 M netos) y no en el capex. Circulante del 9 % de las ventas (9,6 % en 2025).</w:t>
      </w:r>
    </w:p>
    <w:p>
      <w:pPr>
        <w:keepNext/>
        <w:spacing w:after="100"/>
      </w:pPr>
      <w:r>
        <w:rPr>
          <w:b/>
          <w:bCs/>
        </w:rPr>
        <w:t xml:space="preserve">Coste del capital.</w:t>
      </w:r>
    </w:p>
    <w:p>
      <w:pPr>
        <w:spacing w:after="100"/>
      </w:pPr>
      <w:r>
        <w:t xml:space="preserve">Tasa libre del 5,21 % (bono del Tesoro a 10 años, 13-oct-2026) [27]. Beta de 1,25 entre la mensual de 5 años (1,36), la semanal de 5 años (1,08) y la semanal de 2 años (1,55) [26]: la acción se comporta como tecnología más que como eléctrica. Prima de mercado del 5,5 %. Coste de la deuda del 6,3 % (cupones de 4,7-7,25 % de las emisiones de 2026) [3, 35]. Peso de la deuda del 30 % (deuda, preferentes y Nuveen frente a la capitalización). WACC del 9,91 %.</w:t>
      </w:r>
    </w:p>
    <w:p>
      <w:pPr>
        <w:keepNext/>
        <w:spacing w:after="100"/>
      </w:pPr>
      <w:r>
        <w:rPr>
          <w:b/>
          <w:bCs/>
        </w:rPr>
        <w:t xml:space="preserve">Valor terminal.</w:t>
      </w:r>
    </w:p>
    <w:p>
      <w:pPr>
        <w:spacing w:after="100"/>
      </w:pPr>
      <w:r>
        <w:t xml:space="preserve">Media de Gordon con crecimiento del 2,5 % (inflación más algo de demanda real) y de un múltiplo de salida de 9,5 veces el EBITDA, entre las compras recientes (7-7,5 veces) y los comparables (13,7 veces) [14, 20]. Gordon implica 7,2 veces: con un WACC cercano al 10 %, una generadora madura vale poco más que lo que se paga por centrales de gas. El valor terminal pesa un 64 %.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(reinvierte el 65 %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(histórico: 40,1 %)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frente al 7,2 %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(hoy: 3,4 %)</w:t>
            </w:r>
          </w:p>
        </w:tc>
      </w:tr>
    </w:tbl>
    <w:p>
      <w:pPr>
        <w:spacing w:after="160" w:before="0"/>
      </w:pPr>
    </w:p>
    <w:p>
      <w:pPr>
        <w:spacing w:after="100"/>
      </w:pPr>
      <w:r>
        <w:t xml:space="preserve">La proyección apenas necesita inversión neta de la amortización (reinversión acumulada de 3.721 M, el 10 % del NOPAT, con un capex bruto medio del 11,3 % de las ventas). En un negocio de activos ligeros, el crecimiento medio del 7,2 % tiene que salir de subir precios y de ganar volumen sin capital nuevo, y la prueba es el poder de precios y la cuota (3,8 % del mercado en 2033e, frente al 3,4 %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Lotus todo el año y más generación; precio: capacidad de PJM y contratos; otros: vuelta de las coberturas no realizadas que restaron 1.811 M a los ingresos de 2025 [1,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Cogentrix (5,5 GW) y Meta (entregas desde finales de 2026); precio: capacidad de PJM al techo [14, 15,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Comanche Peak para AWS, Permian (860 MW); precio: capacidad 2028/29 a 325 USD/MW-día [3,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eléctrica (+1-2 %) y subidas de potencia nucleares; precio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mercado, sin compras nuevas.</w:t>
            </w:r>
          </w:p>
        </w:tc>
      </w:tr>
    </w:tbl>
    <w:p>
      <w:pPr>
        <w:spacing w:after="160" w:before="0"/>
      </w:pPr>
    </w:p>
    <w:p>
      <w:pPr>
        <w:spacing w:after="100"/>
      </w:pPr>
      <w:r>
        <w:t xml:space="preserve">Las pruebas del motor pasan (crecimiento financiable del 8,3 % frente al 7,2 % proyectado; cuota del 3,8 % en 2033e frente al 3,4 % de hoy), pero el veredicto es «En parte». El crecimiento de 2026-2027 no sale de una ventaja propia que se reinvierta: sale de comprar centrales (Lotus, Cogentrix), de precios de mercado que hoy están en máximos (capacidad de PJM al techo de la banda) y de unos contratos con centros de datos que solo cubren el 8 % de la flota [15, 16]. El foso es estrecho y la rentabilidad sobre el capital (12,8 %) apenas supera el WACC. Si los precios vuelven a la media, el margen del 34 % no se sostiene: ya pasó en 2019-2022 (márgenes del 25-30 %).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9,9 %)</w:t>
            </w:r>
          </w:p>
        </w:tc>
      </w:tr>
    </w:tbl>
    <w:p>
      <w:pPr>
        <w:spacing w:after="160" w:before="0"/>
      </w:pPr>
    </w:p>
    <w:p>
      <w:pPr>
        <w:spacing w:after="100"/>
      </w:pPr>
      <w:r>
        <w:t xml:space="preserve">El DCF da 118,22 USD por acción, un 22,1 % por debajo del precio, con un valor terminal del 64 %. La síntesis ponderada (DCF, escenarios, comparables y transacciones) da un valor intrínseco de 122,34. El DCF inverso dice que el precio descuenta un crecimiento anual del 7,7 % entre 2027e y 2033e frente al 4,6 % de nuestro caso base, o un margen del 37,4 % frente al 33 %; la rentabilidad implícita es del 8,3 %, por debajo de nuestro WACC (9,91 %) y del 8,8 % que pide el mercado con su prima. Es exigente: supone que el auge de los centros de datos sigue subiendo los precios después de 2027, cuando ya los vemos en máximos y con presión política para limitarlos. Con la prima del mercado el valor sube a 140,28 y sigue por debajo del precio. Lo que más mueve el valor es la tasa de descuento: con contratos a 20 años para todo el parque merecería un WACC de eléctrica (≈7,5 %), pero hoy contrata el 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gobernadores consiguen alargar los topes de PJM y bajar la capacidad; las baterías hunden los picos de ERCOT y el margen vuelve al 30-31 % de 2023-2024. Cogentrix se integra a menor precio de la energía. Ya le pasó entre 2019 y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la oportunidad de 2027 con Cogentrix y Meta; el margen sube al 34 % en 2028-2029 y luego se normaliza al 33 % con más competencia.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contratos con centros de datos (Comanche Peak entero, Helix, más subidas de potencia) y precios de capacidad altos más allá de 2030: el margen llega al 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5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114,13 USD (-24,8 %).</w:t>
      </w:r>
    </w:p>
    <w:p>
      <w:pPr>
        <w:spacing w:after="100"/>
      </w:pPr>
      <w:r>
        <w:t xml:space="preserve">La asimetría es mala: el alcista (150,70) apenas iguala el precio y el bajista (69,36) pierde un 54,3 %. Incluso con la prima del mercado el valor objetivo (140,28) queda por debajo del precio. Para que compense hay que creer en un régimen de precios altos durante muchos años, que es justo lo que los reguladores intentan evitar.</w:t>
      </w:r>
    </w:p>
    <w:p>
      <w:pPr>
        <w:pStyle w:val="Heading1"/>
      </w:pPr>
      <w:r>
        <w:t xml:space="preserve">22. Suma de partes</w:t>
      </w:r>
    </w:p>
    <w:p>
      <w:pPr>
        <w:pStyle w:val="Confianza"/>
        <w:spacing w:after="100"/>
      </w:pPr>
      <w:r>
        <w:t xml:space="preserve">Confianza: Media</w:t>
      </w:r>
    </w:p>
    <w:p>
      <w:pPr>
        <w:spacing w:after="100"/>
      </w:pPr>
      <w:r>
        <w:t xml:space="preserve">No aplica: la nuclear, el gas y la comercialización están integrados (la comercializadora compra a la propia generación) y la empresa publica el resultado por región, no por tecnología; separar la nuclear exigiría inventar su EBITDA.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5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122,34 USD (-19,4 % sobre 151,79).</w:t>
      </w:r>
    </w:p>
    <w:p>
      <w:pPr>
        <w:spacing w:after="100"/>
      </w:pPr>
      <w:r>
        <w:t xml:space="preserve">Pesos: DCF 50, escenarios 30, comparables 15 y transacciones 5. El DCF es el método más fiable para una empresa con la caja de 2026-2027 casi cerrada por las coberturas; los escenarios recogen el riesgo de precios. Los comparables pesan poco porque su PER está en la base del consenso (más alta que la nuestra) y porque media el sector entero en una burbuja de energía firme. Las transacciones (7-7,5 veces) son de carteras de gas sin nuclear y pesan un 5 %. La dispersión es enorme: transacciones 62,95, DCF 118,22, comparables 172,31-185,15 y objetivo medio de los analistas 210,25. La pregunta no es cuánto gana Vistra en 2027, que está cubierto, sino a qué tasa se descuenta su caja de 2030 en adelante.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(16.1x) × 1.1 (tope: la mediana de 5 años, 20.3x,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r>
    </w:tbl>
    <w:p>
      <w:pPr>
        <w:spacing w:after="160" w:before="0"/>
      </w:pPr>
    </w:p>
    <w:p>
      <w:pPr>
        <w:spacing w:after="100"/>
      </w:pPr>
      <w:r>
        <w:rPr>
          <w:b/>
          <w:bCs/>
        </w:rPr>
        <w:t xml:space="preserve">Objetivo a 12 meses (ponderado):</w:t>
      </w:r>
      <w:r>
        <w:t xml:space="preserve"> 168,44 USD · rentabilidad +11,6 % (base +22,7 %) · señal Mantener.</w:t>
      </w:r>
    </w:p>
    <w:p>
      <w:pPr>
        <w:spacing w:after="100"/>
      </w:pPr>
      <w:r>
        <w:t xml:space="preserve">Para comparar, con la regla v2 (historia al cierre, mismo precio): 9,0x / 16,1x / 20,9x, 10,0 % Mantener; con el tope anterior del base (×1,3, 14-oct mediodía): 13,0 %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(9,43) queda un 9 % por debajo del consenso (10,36) y el de 2026e (7,95) un 17 % por debajo de 9,58 [11]. La diferencia es de base: restamos la amortización del combustible nuclear (≈420 M) y el dividendo preferente (≈190 M), y no sumamos el crédito fiscal nuclear ni recompras no autorizadas. El base a 12 meses (185,32) queda un 11,9 % por debajo del objetivo medio de 210,25, que además viene bajando (BMO 210, Mizuho 169).</w:t>
      </w:r>
    </w:p>
    <w:p>
      <w:pPr>
        <w:keepNext/>
        <w:spacing w:after="100"/>
      </w:pPr>
      <w:r>
        <w:rPr>
          <w:b/>
          <w:bCs/>
        </w:rPr>
        <w:t xml:space="preserve">Del valor intrínseco al objetivo a 12 meses.</w:t>
      </w:r>
    </w:p>
    <w:p>
      <w:pPr>
        <w:spacing w:after="100"/>
      </w:pPr>
      <w:r>
        <w:t xml:space="preserve">El objetivo a 12 meses (168,44) está un 38 % por encima del valor intrínseco (122,34): el mercado paga por Vistra 16,1 veces nuestro BPA de 2027e y la regla supone que el múltiplo se acerca a su mediana reciente (20,3 veces), formada en 2024-2025 con la euforia de los centros de datos. El valor intrínseco, en cambio, descuenta la caja al 9,9 %. Cerrar la distancia exigiría contratos a largo plazo para buena parte del parque (que bajen la tasa de descuento) o precios altos más allá de 2030. El BPA crece un 33 % anual desde el ajustado de 2025 (4,46) hasta 2028e por la guía de 2026, Cogentrix y Meta: es la parte del crecimiento que la empresa ya ha cubierto; el control mide desde el GAAP (2,18), deprimido por las coberturas.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2027 por encima de 7.800 M más Cogentrix cerraría parte de la distancia con 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Cogentrix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de EBITDA desde 2027; 5 M de acciones nuevas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entregas a Meta y Comanche Peak para AWS (finales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fijos a 20 años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ampliar la banda de precios de capacidad de PJM a 2028/29 y 2029/30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Techo a la capacidad, ≈10.900 MW de Vistra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definitivo del Departamento de Energía (hasta 4.200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 barato las subidas de potencia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Subasta de capacidad de PJM 2028/29 ya liquidada; 2029/30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del margen de 2029-2030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política en los precios de PJM (topes de capacidad, subastas para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 (escenario bajista: 69,36)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del 94 % de 2027 y contratos con Meta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FERC sobre la banda de 2028/29-2029/30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bajos en ERCOT por baterías y solar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Comercializadora integrada y Comanche Peak contratado con AWS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 plazo de ERCOT para 2027-2028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una beta de 1,36 y bonos al 5,2 % hacen que pequeños cambios de WACC muevan mucho el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contratos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(3,3 veces el EBITDA) y garantías de coberturas en un evento extremo como Uri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de 6.295 M y grado de inversión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Depósitos de garantía y uso de las líneas de crédito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o sobrecoste de los centros de datos en Texas (Batch Zero) y de Comanche Peak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mantiene la puesta en marcha a finales de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del Batch Zero de ERCOT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Accidente nuclear o parada larga (Moss Landing ya mostró el riesgo de incendio)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y diversificación (≈50 GW)</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Disponibilidad comercial por debajo del 95 %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Cogentrix y nuevas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a 7-7,25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por encima de 9 veces el EBITDA</w:t>
            </w:r>
          </w:p>
        </w:tc>
      </w:tr>
    </w:tbl>
    <w:p>
      <w:pPr>
        <w:spacing w:after="160" w:before="0"/>
      </w:pPr>
    </w:p>
    <w:p>
      <w:pPr>
        <w:pStyle w:val="Heading2"/>
      </w:pPr>
      <w:r>
        <w:t xml:space="preserve">Pre-mortem</w:t>
      </w:r>
    </w:p>
    <w:p>
      <w:pPr>
        <w:spacing w:after="100"/>
      </w:pPr>
      <w:r>
        <w:t xml:space="preserve">Octubre de 2029: la acción ha perdido un 40 %. Lo que pasó: en 2027 la FERC aprobó alargar la banda de capacidad de PJM hasta 2030 y la subasta de 2029/30 salió a 180 USD/MW-día, la mitad que en 2028/29. Al mismo tiempo, las baterías de Texas pasaron de 15 a 30 GW y los picos de precio desaparecieron. El EBITDA de 2028 se quedó en 7.800 M, sin crecer desde 2027, y el mercado dejó de pagar a Vistra como una empresa de crecimiento: el PER volvió a 11-12 veces, cerca de su historia antes de 2024. Los contratos con centros de datos siguieron llegando, pero a precios más bajos, porque los hiperescaladores ya podían elegir entre muchos vendedores de gas. Con una deuda de 3 veces el EBITDA y el compromiso de recomprar 1.000 M al año, la empresa tuvo que frenar las recompras. Las señales estaban: precios a plazo de ERCOT cayendo desde octubre de 2025, la presión de los gobernadores desde enero de 2026 y la rebaja de los objetivos de los analistas en septiembre-octubre de 2026.</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+15 % (escenario alcista) a −20 % si la demanda de los centros de datos se frena</w:t>
      </w:r>
    </w:p>
    <w:p>
      <w:pPr>
        <w:spacing w:after="100"/>
      </w:pPr>
      <w:r>
        <w:t xml:space="preserve">La IA es la tesis, no la amenaza. Los centros de datos de IA necesitan energía firme y sin carbono, y Vistra tiene ≈6,4 GW nucleares: ya ha firmado unos 3.800 MW a 20 años con AWS y Meta y entra en Helix con NVIDIA [3, 4, 15]. La IA no sustituye su producto (los electrones no se automatizan). El riesgo es el contrario: que el gasto de los hiperescaladores en IA se frene (o que los chips consuman mucho menos), y los precios de la energía, que hoy descuentan ese crecimiento, bajen. Señal: los contratos nuevos (precio y plazo) y la cola de conexión de grandes cargas en ERCOT y PJM. Riesgo de IA para el negocio: bajo como sustitución, medio como dependencia de la demanda.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Las emisiones: el carbón (8.743 MW en siete centrales) está en Asset Closure o con fecha de cierre, y la nuclear y la solar dan acceso a contratos «sin carbono» con hiperescaladores [1, 15]. La seguridad: el incendio de las baterías de Moss Landing (enero de 2025) cuesta 175 M de remediación y abrió demandas [5]. Y la factura del consumidor: la presión política sobre los precios de capacidad es un asunto social que ya mueve el valor [21].</w:t>
      </w:r>
    </w:p>
    <w:p>
      <w:pPr>
        <w:pStyle w:val="Heading2"/>
      </w:pPr>
      <w:r>
        <w:t xml:space="preserve">Controversias</w:t>
      </w:r>
    </w:p>
    <w:p>
      <w:pPr>
        <w:spacing w:after="100"/>
      </w:pPr>
      <w:r>
        <w:t xml:space="preserve">Moss Landing (incendio de baterías, ene-2025): acuerdo con la EPA en julio de 2025 y coste estimado subido a 175 M en el 2T26 [5]. Tormenta Uri (2021): cargos de ERCOT y créditos a grandes clientes aplicados hasta 2025 [9]. No consta ninguna sanción a la empresa por fraude o supervisión de los mercados en los tres últimos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por MWh están los contratos con AWS y Meta, y qué parte del parque nuclear queda libre para contratar?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contratos a 20 años bajarían la tasa de descuento: es lo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PJM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EBITDA de 2029-2030 depende de que la capacidad de PJM siga por encima de 300 USD/MW-día?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ampliación de la banda es el riesgo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Helix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y qué plazo tienen los 1.000 M comprometidos en Helix, y cómo se contabilizan?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capital nuevo fuera de su negocio y sin cifras públicas.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ERCOT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bajó el margen de Texas de 2027 con los precios a plazo actuales y cuánto lo compensa la comercializadora?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precios de ERCOT explican la caída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¿Seguirán las recompras de 1.000 M al año con la deuda en 3,3 veces el EBITDA y las subidas de potencia por financiar?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sostienen el BPA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cúpula vendió 112,6 M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Contraste con la tesis de crecimiento que comunican.</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($VST)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alcista y de corto plazo: «demasiado barata», «comprar la caída», objetivos de 160-165 USD; algún mensaje nota que el hueco se cerró sin reacción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compra (Cogentrix y Meta compensan un ERCOT más flojo, subida de guía esperada) frente a «Hold» por el 2T mixto y un artículo que prefiere a Constellation a corto plazo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por la intervención en PJM sería una oportunidad porque los contratos con centros de datos siguen llegando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Pide prudencia por los precios de ERCOT y la pausa del Batch Zero; recuerda la compra del consejero delegado a ≈135 USD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(PER adelantado ≈14-15x)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14,6x usa el BPA ajustado del consenso; con nuestro BPA (sin coberturas no realizadas y con las amortizaciones del combustible nuclear) el PER de 2027e es más alto.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política en PJM y ERCOT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los topes en PJM y la pausa de ERCOT ya movieron el precio un 7-13 % en un día; el informe lo recoge como riesgo principal.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con hiperescaladores (AWS, Meta, Helix)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son reales (8-K) y dan ingresos fijos a 20 años, pero las subidas de potencia nuclear llegan en 2031-2034.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112,6 M en 12 meses frente a una compra de 1,2 M del consejero delegado; casi dos tercios con planes 10b5-1.</w:t>
            </w:r>
          </w:p>
        </w:tc>
      </w:tr>
    </w:tbl>
    <w:p>
      <w:pPr>
        <w:spacing w:after="160" w:before="0"/>
      </w:pPr>
    </w:p>
    <w:p>
      <w:pPr>
        <w:spacing w:after="100"/>
      </w:pPr>
      <w:r>
        <w:t xml:space="preserve">El sentimiento de los foros está dividido y mejora tras el préstamo del Departamento de Energía: los particulares ven a Vistra «barata» a 14-15 veces el BPA del consenso y compran caídas; los artículos de Seeking Alpha son mayoritariamente de compra [36, 37]. El análisis matiza esa lectura: el PER barato usa una base de BPA más alta que la nuestra, y el valor intrínseco queda por debajo del precio. El riesgo que la gente sí ve (la intervención política en PJM) es el principal del informe. No hay euforia ni capitulación que contradiga la recomendación.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6 explicados. Fuentes: 39 (18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 calculado frente a -3,26 publicado (con convertibles, el BPA diluido publicado ajusta el numerador: explícalo si la diferencia viene de ahí). Explicación: El beneficio neto es el atribuido a Vistra antes del dividendo de las acciones preferentes (150 M en 2022-2023, 192 M en 2024-2025); el BPA publicado lo descuenta. Con él cuadra: (944 − 192) / 345,7 = 2,18.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3,98 calculado frente a 3,58 publicado (con convertibles, el BPA diluido publicado ajusta el numerador: explícalo si la diferencia viene de ahí). Explicación: El beneficio neto es el atribuido a Vistra antes del dividendo de las acciones preferentes (150 M en 2022-2023, 192 M en 2024-2025); el BPA publicado lo descuenta. Con él cuadra: (944 − 192) / 345,7 = 2,18.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7,54 calculado frente a 7,00 publicado (con convertibles, el BPA diluido publicado ajusta el numerador: explícalo si la diferencia viene de ahí). Explicación: El beneficio neto es el atribuido a Vistra antes del dividendo de las acciones preferentes (150 M en 2022-2023, 192 M en 2024-2025); el BPA publicado lo descuenta. Con él cuadra: (944 − 192) / 345,7 = 2,18.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2,73 calculado frente a 2,18 publicado (con convertibles, el BPA diluido publicado ajusta el numerador: explícalo si la diferencia viene de ahí). Explicación: El beneficio neto es el atribuido a Vistra antes del dividendo de las acciones preferentes (150 M en 2022-2023, 192 M en 2024-2025); el BPA publicado lo descuenta. Con él cuadra: (944 − 192) / 345,7 = 2,18.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3,8 % en 2033e frente al 3,4 %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9,6 % real: genera una variación de circulante de 301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3.468 M de flujo libre medio en sus tres primeros años, frente a 1.365 M de media real en los tres últimos: justifica el salto (circulante, inversión, márgenes) o ajusta los supuestos. Explicación: El flujo libre histórico lleva la inversión de crecimiento (1.126 M en 2025), los depósitos de garantía y las compras; el flujo libre ajustado antes de crecimiento fue de 3.592 M en 2025 y la guía de 2026 es de 3.925-4.725 M [3, 4]. La proyección encaja con esa cifra menos la inversión de crecimiento prevista.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(10,47) supone un 68,7 % anual desde 2,18 (2025): explícalo en valoracion.objetivo_12m.comentario o la confianza es baja. Explicación: Se mide desde el BPA GAAP de 2025 (2,18), hundido por 808 M de coberturas no realizadas. En nuestra base ajustada el BPA de 2025 es 4,46 y el de 2028e 10,47 (+33 % anual), por la guía de 2026 (EBITDA ajustado 6.800-7.600 M, +22 % sobre 2025, con el 1S ya en +26 %), Cogentrix, Meta y las recompras. Explicado en el objetivo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y BPA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2025 (solo dan el trimestre comparable, no el de 2023); 2) XBRL trimestral de la SEC (no descargado por tiempo); 3) Yahoo (solo 4 trimestres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CR5 de la generación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de Vistra (no da cuotas); 2) EIA (capacidad por propietario no publicada en tabla resumen);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(EBITDA GAAP con coberturas: no comparable); 2) 10-K de CEG y NRG (no leídos por tiempo); 3) EBITDA ajustado de prensa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cada directivo en 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(cifras por persona sin porcentaje relevante: &lt; 1 %); 2) Form 4 (saldo tras la operación, no leído uno a uno); 3) Yahoo (solo el agregado: 0,77 % en manos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del consenso 2026-2027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da EBITDA estimado); 2) MarketScreener (no consultado por tiempo); 3) guía de la empresa (6.800-7.600 M en 2026; 7.400-7.800 M de «oportunidad» en 2027), usada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EBITDA estimado); 2) Stock Analysis (bloquea desde la nube); 3) cuentas de cada comparable (EBITDA GAAP con coberturas,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Vistra (no da calificaciones de terceros); 2) páginas de MSCI y Sustainalytics (requieren registro); 3)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segmentos, vencimientos de deuda, pensiones,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https://www.sec.gov/Archives/edgar/data/1692819/000169281926000006/vistra-20251231.htm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2017-2025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https://data.sec.gov/api/xbrl/companyfacts/CIK0001692819.json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Fourth Quarter and Full-Year 2025 Results (8-K, anexo 99.1; conciliaciones del EBITDA ajustado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https://www.sec.gov/Archives/edgar/data/1692819/000119312526073364/d21122dex991.htm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https://www.sec.gov/Archives/edgar/data/1692819/000169281926000017/vistra-20260630xearningsre.htm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deuda, Moss Landing)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https://www.sec.gov/Archives/edgar/data/1692819/000169281926000019/vistra-20260630.htm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https://www.sec.gov/Archives/edgar/data/1692819/000169281926000011/vistra-20260331xearningsre.htm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https://www.sec.gov/Archives/edgar/data/1692819/000119312525268033/d33941dex991.htm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https://www.sec.gov/Archives/edgar/data/1692819/000119312525174942/d929557dex991.htm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2022 Results (8-K, anexo 99.1; conciliaciones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https://www.sec.gov/Archives/edgar/data/1692819/000119312523055104/d472125dex991.htm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Reports 2020 Results (8-K, anexo 99.1; conciliaciones 2019-2020)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https://www.sec.gov/Archives/edgar/data/1692819/000119312521058302/d121629dex991.htm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historial de BPA trimestral frente a la estimación (earningsHistory)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 Power Annual, tabla 2.3: ingresos por venta de electricidad al cliente final, 2014-2024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https://www.eia.gov/electricity/annual/html/epa_02_03.html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 Power Annual, tabla 2.2: ventas de electricidad al cliente final (MWh), 2014-2024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Energy Information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https://www.eia.gov/electricity/annual/html/epa_02_02.html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Adds to its Industry-Leading Generation Portfolio with Acquisition of Cogentrix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https://www.sec.gov/Archives/edgar/data/1692819/000119312526002589/d62722dex991.htm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contratos de 20 años con Meta por 2.609 MW nucleares en PJM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https://www.sec.gov/Archives/edgar/data/1692819/000119312526008508/d20785d8k.htm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 de la subasta de capacidad de PJM 2028/2029 (10.924 MW a 325 USD/MW-día)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https://www.sec.gov/Archives/edgar/data/1692819/000114036126028454/ef20077988_8k.htm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to acquire 2.6-GW gas fleet for $1.9B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https://www.powermag.com/vistra-to-acquire-2-6-gw-gas-fleet-for-1-9b-citing-surging-u-s-power-demand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NRG Energy to acquire premier power portfolio from LS Power (12.000 M USD, 7,5x EBITDA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Inspectioneering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https://inspectioneering.com/news/2025-05-13/11571/nrg-energy-to-acquire-premier-power-portfolio-from-ls-power-transforming-genera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Department announces $4.2 billion investment to boost nuclear power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https://www.energy.gov/articles/energy-department-announces-42-billion-investment-boost-nuclear-power-and-help-lower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datos de mercado y consenso de comparables (quoteSummary,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Time to buy the dip on Vistra stock? (plan de la Casa Blanca y los gobernadores para PJM, 16-ene-2026)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https://www.nasdaq.com/articles/time-buy-dip-vistra-stock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2025,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https://www.sec.gov/Archives/edgar/data/1692819/000162828026019029/vistra-20260318.htm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4-may-2026: resultados de la junta de 29-abr-2026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https://www.sec.gov/Archives/edgar/data/1692819/000114036126018872/ef20072328_8k.htm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Vistra presentados entre 15-oct-2025 y 15-oct-2026 (52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https://www.sec.gov/cgi-bin/browse-edgar?action=getcompany&amp;CIK=0001692819&amp;type=4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stock fell 6% in three months; its CEO just bought the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https://www.tikr.com/blog/vistra-stock-fell-6-in-three-months-its-ceo-just-bought-the-dip-heres-what-hes-betting-on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VST, SPY y XLU hasta el 14-oct-2026 (precio, rentabilidades, betas, volatilidad,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a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stock fell 6% in a day after a 20% run. Here’s what its November 6 report needs to show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https://www.tikr.com/blog/vistra-stock-fell-6-in-a-day-after-a-20-run-heres-what-its-november-6-report-needs-to-show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stock is down 27% this year but analysts haven’t budged their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https://www.tikr.com/blog/vistra-stock-is-down-27-this-year-but-analysts-havent-budged-their-targets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(NYSE:VST) shares down 12.6% — what’s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https://www.marketbeat.com/instant-alerts/vistra-nysevst-shares-down-126-whats-next-2026-03-20/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stock is down 31% over the last year. Is it time to buy the dip? (ERCOT, Batch Zero)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https://www.tikr.com/blog/vistra-stock-is-down-31-over-the-last-year-is-it-time-to-buy-the-dip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 intends to loan Vistra $4.2B for nuclear fleet improvements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https://www.utilitydive.com/news/doe-intends-to-loan-vistra-42b-for-nuclear-fleet-improvements/832236/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VST (FERC rechaza el plan de recortes de PJM, 12-oct-2026; bonos subordinados de 1.500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https://seekingalpha.com/symbol/VST/news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24-sep-2026: emisión de 1.500 M USD en bonos subordinados al 7,0 % y 7,25 % con vencimiento 2057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https://www.sec.gov/Archives/edgar/data/1692819/000114036126037577/ef20082680_8k.htm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$VST (30 últimos,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https://stocktwits.com/symbol/VST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análisis de VST de jun-oct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crowd is dumping Vistra; why I would buy the stock while it is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https://www.fool.com/investing/2026/04/18/crowd-dumping-vistra-why-buy-stock-down/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Vistra Stock Rose 11% in June on a $10 Billion AI Power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https://www.tikr.com/blog/vistra-stock-rose-11-in-june-on-a-10-billion-ai-power-deal-heres-where-it-could-go-in-2026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91,3 %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acción ordinaria de Vistra Corp. en la NYSE (VST), en USD como las cuentas. Precio: cierre del 14-oct-2026 (151,79 USD); la sesión del 15-oct no había cerrado al hacer el análisis. EBITDA: el ajustado consolidado de la empresa (incluye el segmento Asset Closure), sin las coberturas no realizadas y con la amortización del combustible nuclear dentro de amortizaciones; la diferencia con el EBITDA publicado va en «no recurrentes». Los ingresos son los publicados y llevan la valoración de coberturas (−1.811 M en 2025), por eso saltan de un año a otro. BPA del objetivo a 12 meses y de la historia del PER: base ajustada propia (sin coberturas no realizadas, después del dividendo preferente), no el GAAP. Segmentos con dos años de ingresos (la empresa cambió su reparto en 2024). Cogentrix (pendiente de cierre) se cuenta en la proyección y en el puente.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Vistra Corp. (VST)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151,79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(132,66 – 217,10)</c:v>
                </c:pt>
                <c:pt idx="1">
                  <c:v>Precio objetivo de los analistas (106,00 – 305,00)</c:v>
                </c:pt>
                <c:pt idx="2">
                  <c:v>Comparables: PER NTM (155,99 – 187,60)</c:v>
                </c:pt>
                <c:pt idx="3">
                  <c:v>Transacciones precedentes (EV/EBITDA) (60,56 – 65,34)</c:v>
                </c:pt>
                <c:pt idx="4">
                  <c:v>DCF (WACC y g ± 0,5) (106,72 – 132,47)</c:v>
                </c:pt>
                <c:pt idx="5">
                  <c:v>Escenarios (bajista – alcista) (69,36 – 150,70)</c:v>
                </c:pt>
                <c:pt idx="6">
                  <c:v>DCF con la prima implícita del mercado (4,2 %)</c:v>
                </c:pt>
                <c:pt idx="7">
                  <c:v>Precio actual (151,79)</c:v>
                </c:pt>
              </c:strCache>
            </c:strRef>
          </c:cat>
          <c:val>
            <c:numRef>
              <c:f>Hoja1!$B$2:$B$9</c:f>
              <c:numCache>
                <c:formatCode>#,##0</c:formatCode>
                <c:ptCount val="8"/>
                <c:pt idx="0">
                  <c:v>132.66</c:v>
                </c:pt>
                <c:pt idx="1">
                  <c:v>106</c:v>
                </c:pt>
                <c:pt idx="2">
                  <c:v>155.99</c:v>
                </c:pt>
                <c:pt idx="3">
                  <c:v>60.56</c:v>
                </c:pt>
                <c:pt idx="4">
                  <c:v>106.72</c:v>
                </c:pt>
                <c:pt idx="5">
                  <c:v>69.36</c:v>
                </c:pt>
                <c:pt idx="6">
                  <c:v>130.25</c:v>
                </c:pt>
                <c:pt idx="7">
                  <c:v>151.03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(132,66 – 217,10)</c:v>
                </c:pt>
                <c:pt idx="1">
                  <c:v>Precio objetivo de los analistas (106,00 – 305,00)</c:v>
                </c:pt>
                <c:pt idx="2">
                  <c:v>Comparables: PER NTM (155,99 – 187,60)</c:v>
                </c:pt>
                <c:pt idx="3">
                  <c:v>Transacciones precedentes (EV/EBITDA) (60,56 – 65,34)</c:v>
                </c:pt>
                <c:pt idx="4">
                  <c:v>DCF (WACC y g ± 0,5) (106,72 – 132,47)</c:v>
                </c:pt>
                <c:pt idx="5">
                  <c:v>Escenarios (bajista – alcista) (69,36 – 150,70)</c:v>
                </c:pt>
                <c:pt idx="6">
                  <c:v>DCF con la prima implícita del mercado (4,2 %)</c:v>
                </c:pt>
                <c:pt idx="7">
                  <c:v>Precio actual (151,79)</c:v>
                </c:pt>
              </c:strCache>
            </c:strRef>
          </c:cat>
          <c:val>
            <c:numRef>
              <c:f>Hoja1!$C$2:$C$9</c:f>
              <c:numCache>
                <c:formatCode>#,##0</c:formatCode>
                <c:ptCount val="8"/>
                <c:pt idx="0">
                  <c:v>84.44</c:v>
                </c:pt>
                <c:pt idx="1">
                  <c:v>199</c:v>
                </c:pt>
                <c:pt idx="2">
                  <c:v>31.609999999999985</c:v>
                </c:pt>
                <c:pt idx="3">
                  <c:v>4.780000000000001</c:v>
                </c:pt>
                <c:pt idx="4">
                  <c:v>25.75</c:v>
                </c:pt>
                <c:pt idx="5">
                  <c:v>81.33999999999999</c:v>
                </c:pt>
                <c:pt idx="6">
                  <c:v>22.939999999999998</c:v>
                </c:pt>
                <c:pt idx="7">
                  <c:v>1.5200000000000102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Retail (comercialización)</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12797</c:v>
                </c:pt>
                <c:pt idx="1">
                  <c:v>14340</c:v>
                </c:pt>
              </c:numCache>
            </c:numRef>
          </c:val>
        </c:ser>
        <c:ser>
          <c:idx val="1"/>
          <c:order val="1"/>
          <c:tx>
            <c:strRef>
              <c:f>Hoja1!$C$1</c:f>
              <c:strCache>
                <c:ptCount val="1"/>
                <c:pt idx="0">
                  <c:v>Texas (generación ERCOT)</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5394</c:v>
                </c:pt>
                <c:pt idx="1">
                  <c:v>5353</c:v>
                </c:pt>
              </c:numCache>
            </c:numRef>
          </c:val>
        </c:ser>
        <c:ser>
          <c:idx val="2"/>
          <c:order val="2"/>
          <c:tx>
            <c:strRef>
              <c:f>Hoja1!$D$1</c:f>
              <c:strCache>
                <c:ptCount val="1"/>
                <c:pt idx="0">
                  <c:v>East (generación PJM, NY, NE)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5661</c:v>
                </c:pt>
                <c:pt idx="1">
                  <c:v>6174</c:v>
                </c:pt>
              </c:numCache>
            </c:numRef>
          </c:val>
        </c:ser>
        <c:ser>
          <c:idx val="3"/>
          <c:order val="3"/>
          <c:tx>
            <c:strRef>
              <c:f>Hoja1!$E$1</c:f>
              <c:strCache>
                <c:ptCount val="1"/>
                <c:pt idx="0">
                  <c:v>West (CAISO)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839</c:v>
                </c:pt>
                <c:pt idx="1">
                  <c:v>325</c:v>
                </c:pt>
              </c:numCache>
            </c:numRef>
          </c:val>
        </c:ser>
        <c:ser>
          <c:idx val="4"/>
          <c:order val="4"/>
          <c:tx>
            <c:strRef>
              <c:f>Hoja1!$F$1</c:f>
              <c:strCache>
                <c:ptCount val="1"/>
                <c:pt idx="0">
                  <c:v>Asset Closure</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39</c:v>
                </c:pt>
                <c:pt idx="1">
                  <c:v>74</c:v>
                </c:pt>
              </c:numCache>
            </c:numRef>
          </c:val>
        </c:ser>
        <c:ser>
          <c:idx val="5"/>
          <c:order val="5"/>
          <c:tx>
            <c:strRef>
              <c:f>Hoja1!$G$1</c:f>
              <c:strCache>
                <c:ptCount val="1"/>
                <c:pt idx="0">
                  <c:v>Eliminaciones y corporativo</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-7506</c:v>
                </c:pt>
                <c:pt idx="1">
                  <c:v>-8528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Retail (comercialización)</c:v>
                </c:pt>
                <c:pt idx="1">
                  <c:v>Texas (generación ERCOT)</c:v>
                </c:pt>
                <c:pt idx="2">
                  <c:v>East (generación PJM, NY, NE)</c:v>
                </c:pt>
                <c:pt idx="3">
                  <c:v>West (CAISO)</c:v>
                </c:pt>
                <c:pt idx="4">
                  <c:v>Asset Closure</c:v>
                </c:pt>
                <c:pt idx="5">
                  <c:v>Eliminaciones y corporativo</c:v>
                </c:pt>
              </c:strCache>
            </c:strRef>
          </c:cat>
          <c:val>
            <c:numRef>
              <c:f>Hoja1!$B$2:$B$7</c:f>
              <c:numCache>
                <c:formatCode>General</c:formatCode>
                <c:ptCount val="6"/>
                <c:pt idx="0">
                  <c:v>80.8</c:v>
                </c:pt>
                <c:pt idx="1">
                  <c:v>30.2</c:v>
                </c:pt>
                <c:pt idx="2">
                  <c:v>34.8</c:v>
                </c:pt>
                <c:pt idx="3">
                  <c:v>1.8</c:v>
                </c:pt>
                <c:pt idx="4">
                  <c:v>0.4</c:v>
                </c:pt>
                <c:pt idx="5">
                  <c:v>-48.1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Estados Unidos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2024</c:v>
                </c:pt>
              </c:strCache>
            </c:strRef>
          </c:cat>
          <c:val>
            <c:numRef>
              <c:f>Hoja1!$B$2:$B$7</c:f>
              <c:numCache>
                <c:formatCode>#,##0</c:formatCode>
                <c:ptCount val="6"/>
                <c:pt idx="0">
                  <c:v>401738</c:v>
                </c:pt>
                <c:pt idx="1">
                  <c:v>393639</c:v>
                </c:pt>
                <c:pt idx="2">
                  <c:v>422323</c:v>
                </c:pt>
                <c:pt idx="3">
                  <c:v>485249</c:v>
                </c:pt>
                <c:pt idx="4">
                  <c:v>491370</c:v>
                </c:pt>
                <c:pt idx="5">
                  <c:v>514396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Vistra</c:v>
                </c:pt>
                <c:pt idx="1">
                  <c:v>Constellation Energy</c:v>
                </c:pt>
                <c:pt idx="2">
                  <c:v>NRG Energy</c:v>
                </c:pt>
                <c:pt idx="3">
                  <c:v>Talen Energy</c:v>
                </c:pt>
                <c:pt idx="4">
                  <c:v>NextEra Energy</c:v>
                </c:pt>
                <c:pt idx="5">
                  <c:v>Calpine (en Constellation)</c:v>
                </c:pt>
              </c:strCache>
            </c:strRef>
          </c:cat>
          <c:val>
            <c:numRef>
              <c:f>Hoja1!$B$2:$B$7</c:f>
              <c:numCache>
                <c:formatCode>0.0"%"</c:formatCode>
                <c:ptCount val="6"/>
                <c:pt idx="0">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11809</c:v>
                </c:pt>
                <c:pt idx="1">
                  <c:v>11443</c:v>
                </c:pt>
                <c:pt idx="2">
                  <c:v>12077</c:v>
                </c:pt>
                <c:pt idx="3">
                  <c:v>13728</c:v>
                </c:pt>
                <c:pt idx="4">
                  <c:v>14779</c:v>
                </c:pt>
                <c:pt idx="5">
                  <c:v>17224</c:v>
                </c:pt>
                <c:pt idx="6">
                  <c:v>17738</c:v>
                </c:pt>
                <c:pt idx="7">
                  <c:v>22173</c:v>
                </c:pt>
                <c:pt idx="8">
                  <c:v>24833</c:v>
                </c:pt>
                <c:pt idx="9">
                  <c:v>26075</c:v>
                </c:pt>
                <c:pt idx="10">
                  <c:v>27118</c:v>
                </c:pt>
                <c:pt idx="11">
                  <c:v>28067</c:v>
                </c:pt>
                <c:pt idx="12">
                  <c:v>28909</c:v>
                </c:pt>
                <c:pt idx="13">
                  <c:v>29632</c:v>
                </c:pt>
                <c:pt idx="14">
                  <c:v>30373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3325</c:v>
                </c:pt>
                <c:pt idx="1">
                  <c:v>3685</c:v>
                </c:pt>
                <c:pt idx="2">
                  <c:v>1908</c:v>
                </c:pt>
                <c:pt idx="3">
                  <c:v>2994</c:v>
                </c:pt>
                <c:pt idx="4">
                  <c:v>4101</c:v>
                </c:pt>
                <c:pt idx="5">
                  <c:v>5539</c:v>
                </c:pt>
                <c:pt idx="6">
                  <c:v>5838</c:v>
                </c:pt>
                <c:pt idx="7">
                  <c:v>7095</c:v>
                </c:pt>
                <c:pt idx="8">
                  <c:v>8319</c:v>
                </c:pt>
                <c:pt idx="9">
                  <c:v>8865</c:v>
                </c:pt>
                <c:pt idx="10">
                  <c:v>9220</c:v>
                </c:pt>
                <c:pt idx="11">
                  <c:v>9402</c:v>
                </c:pt>
                <c:pt idx="12">
                  <c:v>9540</c:v>
                </c:pt>
                <c:pt idx="13">
                  <c:v>9778</c:v>
                </c:pt>
                <c:pt idx="14">
                  <c:v>10023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4">
                  <c:v>48.9</c:v>
                </c:pt>
                <c:pt idx="5">
                  <c:v>57.7</c:v>
                </c:pt>
                <c:pt idx="6">
                  <c:v>48.7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28.2</c:v>
                </c:pt>
                <c:pt idx="1">
                  <c:v>32.2</c:v>
                </c:pt>
                <c:pt idx="2">
                  <c:v>15.8</c:v>
                </c:pt>
                <c:pt idx="3">
                  <c:v>21.8</c:v>
                </c:pt>
                <c:pt idx="4">
                  <c:v>27.7</c:v>
                </c:pt>
                <c:pt idx="5">
                  <c:v>32.2</c:v>
                </c:pt>
                <c:pt idx="6">
                  <c:v>32.9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13.7</c:v>
                </c:pt>
                <c:pt idx="1">
                  <c:v>16.4</c:v>
                </c:pt>
                <c:pt idx="2">
                  <c:v>0.6</c:v>
                </c:pt>
                <c:pt idx="3">
                  <c:v>9.6</c:v>
                </c:pt>
                <c:pt idx="4">
                  <c:v>17</c:v>
                </c:pt>
                <c:pt idx="5">
                  <c:v>19.2</c:v>
                </c:pt>
                <c:pt idx="6">
                  <c:v>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7.9</c:v>
                </c:pt>
                <c:pt idx="1">
                  <c:v>5.6</c:v>
                </c:pt>
                <c:pt idx="2">
                  <c:v>-10.5</c:v>
                </c:pt>
                <c:pt idx="3">
                  <c:v>-8.9</c:v>
                </c:pt>
                <c:pt idx="4">
                  <c:v>10.1</c:v>
                </c:pt>
                <c:pt idx="5">
                  <c:v>15.4</c:v>
                </c:pt>
                <c:pt idx="6">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28.8</c:v>
                </c:pt>
                <c:pt idx="3">
                  <c:v>10.5</c:v>
                </c:pt>
                <c:pt idx="4">
                  <c:v>-20.9</c:v>
                </c:pt>
                <c:pt idx="5">
                  <c:v>13.6</c:v>
                </c:pt>
                <c:pt idx="6">
                  <c:v>43.4</c:v>
                </c:pt>
                <c:pt idx="7">
                  <c:v>-5.5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42</c:v>
                </c:pt>
                <c:pt idx="1">
                  <c:v>41</c:v>
                </c:pt>
                <c:pt idx="2">
                  <c:v>42</c:v>
                </c:pt>
                <c:pt idx="3">
                  <c:v>55</c:v>
                </c:pt>
                <c:pt idx="4">
                  <c:v>41</c:v>
                </c:pt>
                <c:pt idx="5">
                  <c:v>42</c:v>
                </c:pt>
                <c:pt idx="6">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4">
                  <c:v>36</c:v>
                </c:pt>
                <c:pt idx="5">
                  <c:v>49</c:v>
                </c:pt>
                <c:pt idx="6">
                  <c:v>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4">
                  <c:v>55</c:v>
                </c:pt>
                <c:pt idx="5">
                  <c:v>76</c:v>
                </c:pt>
                <c:pt idx="6">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1701</c:v>
                </c:pt>
                <c:pt idx="1">
                  <c:v>1574</c:v>
                </c:pt>
                <c:pt idx="2">
                  <c:v>-1844</c:v>
                </c:pt>
                <c:pt idx="3">
                  <c:v>-2119</c:v>
                </c:pt>
                <c:pt idx="4">
                  <c:v>2706</c:v>
                </c:pt>
                <c:pt idx="5">
                  <c:v>1259</c:v>
                </c:pt>
                <c:pt idx="6">
                  <c:v>129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928</c:v>
                </c:pt>
                <c:pt idx="1">
                  <c:v>636</c:v>
                </c:pt>
                <c:pt idx="2">
                  <c:v>-1274</c:v>
                </c:pt>
                <c:pt idx="3">
                  <c:v>-1227</c:v>
                </c:pt>
                <c:pt idx="4">
                  <c:v>1493</c:v>
                </c:pt>
                <c:pt idx="5">
                  <c:v>2659</c:v>
                </c:pt>
                <c:pt idx="6">
                  <c:v>944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6.8</c:v>
                </c:pt>
                <c:pt idx="1">
                  <c:v>7.4</c:v>
                </c:pt>
                <c:pt idx="2">
                  <c:v>0.3</c:v>
                </c:pt>
                <c:pt idx="3">
                  <c:v>5.7</c:v>
                </c:pt>
                <c:pt idx="4">
                  <c:v>12.1</c:v>
                </c:pt>
                <c:pt idx="5">
                  <c:v>15.9</c:v>
                </c:pt>
                <c:pt idx="6">
                  <c:v>12.8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9.9</c:v>
                </c:pt>
                <c:pt idx="1">
                  <c:v>9.9</c:v>
                </c:pt>
                <c:pt idx="2">
                  <c:v>9.9</c:v>
                </c:pt>
                <c:pt idx="3">
                  <c:v>9.9</c:v>
                </c:pt>
                <c:pt idx="4">
                  <c:v>9.9</c:v>
                </c:pt>
                <c:pt idx="5">
                  <c:v>9.9</c:v>
                </c:pt>
                <c:pt idx="6">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11.7</c:v>
                </c:pt>
                <c:pt idx="1">
                  <c:v>7.8</c:v>
                </c:pt>
                <c:pt idx="2">
                  <c:v>-15.3</c:v>
                </c:pt>
                <c:pt idx="3">
                  <c:v>-18.6</c:v>
                </c:pt>
                <c:pt idx="4">
                  <c:v>29.2</c:v>
                </c:pt>
                <c:pt idx="5">
                  <c:v>48.9</c:v>
                </c:pt>
                <c:pt idx="6">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3.05</c:v>
                </c:pt>
                <c:pt idx="1">
                  <c:v>2.4</c:v>
                </c:pt>
                <c:pt idx="2">
                  <c:v>4.8</c:v>
                </c:pt>
                <c:pt idx="3">
                  <c:v>4.05</c:v>
                </c:pt>
                <c:pt idx="4">
                  <c:v>2.1</c:v>
                </c:pt>
                <c:pt idx="5">
                  <c:v>2.57</c:v>
                </c:pt>
                <c:pt idx="6">
                  <c:v>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1201</c:v>
                </c:pt>
                <c:pt idx="1">
                  <c:v>3435</c:v>
                </c:pt>
                <c:pt idx="2">
                  <c:v>786</c:v>
                </c:pt>
                <c:pt idx="3">
                  <c:v>2362</c:v>
                </c:pt>
                <c:pt idx="4">
                  <c:v>2853</c:v>
                </c:pt>
                <c:pt idx="5">
                  <c:v>6559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374</c:v>
                </c:pt>
                <c:pt idx="1">
                  <c:v>0</c:v>
                </c:pt>
                <c:pt idx="2">
                  <c:v>0</c:v>
                </c:pt>
                <c:pt idx="3">
                  <c:v>0</c:v>
                </c:pt>
                <c:pt idx="4">
                  <c:v>0</c:v>
                </c:pt>
                <c:pt idx="5">
                  <c:v>3065</c:v>
                </c:pt>
                <c:pt idx="6">
                  <c:v>1900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243</c:v>
                </c:pt>
                <c:pt idx="1">
                  <c:v>266</c:v>
                </c:pt>
                <c:pt idx="2">
                  <c:v>290</c:v>
                </c:pt>
                <c:pt idx="3">
                  <c:v>302</c:v>
                </c:pt>
                <c:pt idx="4">
                  <c:v>313</c:v>
                </c:pt>
                <c:pt idx="5">
                  <c:v>305</c:v>
                </c:pt>
                <c:pt idx="6">
                  <c:v>306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656</c:v>
                </c:pt>
                <c:pt idx="1">
                  <c:v>0</c:v>
                </c:pt>
                <c:pt idx="2">
                  <c:v>471</c:v>
                </c:pt>
                <c:pt idx="3">
                  <c:v>1949</c:v>
                </c:pt>
                <c:pt idx="4">
                  <c:v>1245</c:v>
                </c:pt>
                <c:pt idx="5">
                  <c:v>1266</c:v>
                </c:pt>
                <c:pt idx="6">
                  <c:v>1028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Qatar Investment Authority (Seismic Holding)</c:v>
                </c:pt>
                <c:pt idx="3">
                  <c:v>FMR (Fidelity)</c:v>
                </c:pt>
                <c:pt idx="4">
                  <c:v>Quantum Capital Group (por Cogentrix)</c:v>
                </c:pt>
              </c:strCache>
            </c:strRef>
          </c:cat>
          <c:val>
            <c:numRef>
              <c:f>Hoja1!$B$2:$B$6</c:f>
              <c:numCache>
                <c:formatCode>0.0"%"</c:formatCode>
                <c:ptCount val="5"/>
                <c:pt idx="0">
                  <c:v>12.6</c:v>
                </c:pt>
                <c:pt idx="1">
                  <c:v>8.4</c:v>
                </c:pt>
                <c:pt idx="2">
                  <c:v>5.5</c:v>
                </c:pt>
                <c:pt idx="3">
                  <c:v>5.1</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18.2</c:v>
                </c:pt>
                <c:pt idx="1">
                  <c:v>24.9</c:v>
                </c:pt>
                <c:pt idx="2">
                  <c:v>2.5</c:v>
                </c:pt>
                <c:pt idx="3">
                  <c:v>-11.9</c:v>
                </c:pt>
                <c:pt idx="4">
                  <c:v>19.6</c:v>
                </c:pt>
                <c:pt idx="5">
                  <c:v>5.1</c:v>
                </c:pt>
                <c:pt idx="6">
                  <c:v>70.7</c:v>
                </c:pt>
                <c:pt idx="7">
                  <c:v>261.5</c:v>
                </c:pt>
                <c:pt idx="8">
                  <c:v>17.7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6.5</c:v>
                </c:pt>
                <c:pt idx="1">
                  <c:v>5</c:v>
                </c:pt>
                <c:pt idx="2">
                  <c:v>10.6</c:v>
                </c:pt>
                <c:pt idx="3">
                  <c:v>7.3</c:v>
                </c:pt>
                <c:pt idx="4">
                  <c:v>5.6</c:v>
                </c:pt>
                <c:pt idx="5">
                  <c:v>11.3</c:v>
                </c:pt>
                <c:pt idx="6">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6.5</c:v>
                </c:pt>
                <c:pt idx="1">
                  <c:v>6.5</c:v>
                </c:pt>
                <c:pt idx="2">
                  <c:v>6.5</c:v>
                </c:pt>
                <c:pt idx="3">
                  <c:v>6.5</c:v>
                </c:pt>
                <c:pt idx="4">
                  <c:v>6.5</c:v>
                </c:pt>
                <c:pt idx="5">
                  <c:v>6.5</c:v>
                </c:pt>
                <c:pt idx="6">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Cogentrix Energy (5,5 GW de gas en PJM, ISO-NE y ERCOT)</c:v>
                </c:pt>
                <c:pt idx="1">
                  <c:v>Lotus Infrastructure (2,6 GW de gas)</c:v>
                </c:pt>
                <c:pt idx="2">
                  <c:v>Cartera de LS Power (13 GW de gas) y CPower</c:v>
                </c:pt>
                <c:pt idx="3">
                  <c:v>Energy Harbor (4 GW nucleares y comercializadora)</c:v>
                </c:pt>
              </c:strCache>
            </c:strRef>
          </c:cat>
          <c:val>
            <c:numRef>
              <c:f>Hoja1!$B$2:$B$5</c:f>
              <c:numCache>
                <c:formatCode>0.0"x"</c:formatCode>
                <c:ptCount val="4"/>
                <c:pt idx="0">
                  <c:v>7.25</c:v>
                </c:pt>
                <c:pt idx="1">
                  <c:v>7</c:v>
                </c:pt>
                <c:pt idx="2">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2332</c:v>
                </c:pt>
                <c:pt idx="1">
                  <c:v>3757</c:v>
                </c:pt>
                <c:pt idx="2">
                  <c:v>4316</c:v>
                </c:pt>
                <c:pt idx="3">
                  <c:v>4646</c:v>
                </c:pt>
                <c:pt idx="4">
                  <c:v>4853</c:v>
                </c:pt>
                <c:pt idx="5">
                  <c:v>4957</c:v>
                </c:pt>
                <c:pt idx="6">
                  <c:v>5123</c:v>
                </c:pt>
                <c:pt idx="7">
                  <c:v>5252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23618</c:v>
                </c:pt>
                <c:pt idx="1">
                  <c:v>42435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151,79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69.36</c:v>
                </c:pt>
                <c:pt idx="1">
                  <c:v>118.22</c:v>
                </c:pt>
                <c:pt idx="2">
                  <c:v>150.7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151,79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(132,66 – 217,10)</c:v>
                </c:pt>
                <c:pt idx="1">
                  <c:v>Precio objetivo de los analistas (106,00 – 305,00)</c:v>
                </c:pt>
                <c:pt idx="2">
                  <c:v>Comparables: PER NTM (155,99 – 187,60)</c:v>
                </c:pt>
                <c:pt idx="3">
                  <c:v>Transacciones precedentes (EV/EBITDA) (60,56 – 65,34)</c:v>
                </c:pt>
                <c:pt idx="4">
                  <c:v>DCF (WACC y g ± 0,5) (106,72 – 132,47)</c:v>
                </c:pt>
                <c:pt idx="5">
                  <c:v>Escenarios (bajista – alcista) (69,36 – 150,70)</c:v>
                </c:pt>
                <c:pt idx="6">
                  <c:v>DCF con la prima implícita del mercado (4,2 %)</c:v>
                </c:pt>
                <c:pt idx="7">
                  <c:v>Precio actual (151,79)</c:v>
                </c:pt>
              </c:strCache>
            </c:strRef>
          </c:cat>
          <c:val>
            <c:numRef>
              <c:f>Hoja1!$B$2:$B$9</c:f>
              <c:numCache>
                <c:formatCode>#,##0</c:formatCode>
                <c:ptCount val="8"/>
                <c:pt idx="0">
                  <c:v>132.66</c:v>
                </c:pt>
                <c:pt idx="1">
                  <c:v>106</c:v>
                </c:pt>
                <c:pt idx="2">
                  <c:v>155.99</c:v>
                </c:pt>
                <c:pt idx="3">
                  <c:v>60.56</c:v>
                </c:pt>
                <c:pt idx="4">
                  <c:v>106.72</c:v>
                </c:pt>
                <c:pt idx="5">
                  <c:v>69.36</c:v>
                </c:pt>
                <c:pt idx="6">
                  <c:v>130.25</c:v>
                </c:pt>
                <c:pt idx="7">
                  <c:v>151.03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(132,66 – 217,10)</c:v>
                </c:pt>
                <c:pt idx="1">
                  <c:v>Precio objetivo de los analistas (106,00 – 305,00)</c:v>
                </c:pt>
                <c:pt idx="2">
                  <c:v>Comparables: PER NTM (155,99 – 187,60)</c:v>
                </c:pt>
                <c:pt idx="3">
                  <c:v>Transacciones precedentes (EV/EBITDA) (60,56 – 65,34)</c:v>
                </c:pt>
                <c:pt idx="4">
                  <c:v>DCF (WACC y g ± 0,5) (106,72 – 132,47)</c:v>
                </c:pt>
                <c:pt idx="5">
                  <c:v>Escenarios (bajista – alcista) (69,36 – 150,70)</c:v>
                </c:pt>
                <c:pt idx="6">
                  <c:v>DCF con la prima implícita del mercado (4,2 %)</c:v>
                </c:pt>
                <c:pt idx="7">
                  <c:v>Precio actual (151,79)</c:v>
                </c:pt>
              </c:strCache>
            </c:strRef>
          </c:cat>
          <c:val>
            <c:numRef>
              <c:f>Hoja1!$C$2:$C$9</c:f>
              <c:numCache>
                <c:formatCode>#,##0</c:formatCode>
                <c:ptCount val="8"/>
                <c:pt idx="0">
                  <c:v>84.44</c:v>
                </c:pt>
                <c:pt idx="1">
                  <c:v>199</c:v>
                </c:pt>
                <c:pt idx="2">
                  <c:v>31.609999999999985</c:v>
                </c:pt>
                <c:pt idx="3">
                  <c:v>4.780000000000001</c:v>
                </c:pt>
                <c:pt idx="4">
                  <c:v>25.75</c:v>
                </c:pt>
                <c:pt idx="5">
                  <c:v>81.33999999999999</c:v>
                </c:pt>
                <c:pt idx="6">
                  <c:v>22.939999999999998</c:v>
                </c:pt>
                <c:pt idx="7">
                  <c:v>1.5200000000000102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