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Tetra Tech, Inc.</w:t>
      </w:r>
    </w:p>
    <w:p>
      <w:pPr>
        <w:spacing w:after="60"/>
        <w:rPr>
          <w:color w:val="52514E"/>
          <w:sz w:val="22"/>
          <w:szCs w:val="22"/>
        </w:rPr>
      </w:pPr>
      <w:r>
        <w:rPr>
          <w:color w:val="52514E"/>
          <w:sz w:val="22"/>
          <w:szCs w:val="22"/>
        </w:rPr>
        <w:t xml:space="preserve">TTEK · Nasdaq Global Select (EE. UU.) · ISIN US88162G1031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39,81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+19,2 % (base +19,5 %)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28,27 USD · mercado 33,03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8.655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Tetra Tech,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TTEK / US88162G1031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(EE. UU.)</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consultoría e ingeniería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Pasadena (California) · 1966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tetratech.com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25,81 – 43,14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39,81 USD</w:t>
      </w:r>
      <w:r>
        <w:t xml:space="preserve"> frente a 33,61 · Rentabilidad a 12 meses </w:t>
      </w:r>
      <w:r>
        <w:rPr>
          <w:b/>
          <w:bCs/>
        </w:rPr>
        <w:t xml:space="preserve">+19,2 % (base +19,5 %)</w:t>
      </w:r>
      <w:r>
        <w:t xml:space="preserve"> · Valor intrínseco 28,27 USD · con la prima implícita del mercado: 33,03 (-1,7 %) · Alcista / bajista -0,1 % / -39,5 %</w:t>
      </w:r>
    </w:p>
    <w:p>
      <w:pPr>
        <w:spacing w:after="100"/>
      </w:pPr>
      <w:r>
        <w:rPr>
          <w:b/>
        </w:rPr>
        <w:t xml:space="preserve">La recomendación y por qué.</w:t>
      </w:r>
      <w:r>
        <w:t xml:space="preserve"> Mantener con convicción baja. El objetivo a 12 meses es de 39,81 USD (+19,2 % ponderado con dividendo, +19,5 % en el base), casi igual al objetivo medio de los analistas (40,33), pero el valor intrínseco es de 28,27 USD (−16 %). La regla de 12 meses descuenta que el PER adelantado vuelva de 19,1x a 21x, aún bajo su mediana de cinco años (24,1x); el DCF dice que, con un WACC del 9,6 %, el precio ya descuenta un crecimiento del 7,6 % anual, el plan 2030 casi entero. Sin valor intrínseco por encima del precio no se compra. La convicción subiría si la guía de FY2027 (18-nov-2026, estimada) muestra un orgánico del 6 % y margen +50 pb; bajaría si los ingresos netos por empleado dejan de subir.</w:t>
      </w:r>
    </w:p>
    <w:p>
      <w:pPr>
        <w:spacing w:after="100"/>
      </w:pPr>
      <w:r>
        <w:rPr>
          <w:b/>
        </w:rPr>
        <w:t xml:space="preserve">El negocio.</w:t>
      </w:r>
      <w:r>
        <w:t xml:space="preserve"> Tetra Tech es la consultora de agua y medio ambiente de referencia en EE. UU., con un 37 % de ventas internacionales (Reino Unido, Australia, Canadá). Usa muy poco capital y rinde un ROIC del 16,5 % (111 % sin fondo de comercio, que es el 85 % del capital porque crece comprando) frente a un WACC del 9,6 %: 6,9 puntos. Calidad: </w:t>
      </w:r>
      <w:r>
        <w:rPr>
          <w:b/>
        </w:rPr>
        <w:t xml:space="preserve">Sí</w:t>
      </w:r>
      <w:r>
        <w:t xml:space="preserve"> (pasa el filtro). Sostenibilidad del crecimiento «Sí»: el orgánico sin USAID ni catástrofes es del 8 % y la demanda de agua es regulatoria.</w:t>
      </w:r>
    </w:p>
    <w:p>
      <w:pPr>
        <w:spacing w:after="100"/>
      </w:pPr>
      <w:r>
        <w:rPr>
          <w:b/>
        </w:rPr>
        <w:t xml:space="preserve">Riesgo de IA (exposición media, sentido mixto).</w:t>
      </w:r>
      <w:r>
        <w:t xml:space="preserve"> El 52 % de los ingresos se cobra por horas o costes y el sector cayó un 23 % en 2026 por este miedo. Tetra Tech está menos expuesta que una consultora pura: hace trabajo de campo, permisos y responsabilidad técnica, y el 48 % es precio fijo (40,8 % hace un año), donde la productividad es margen propio. En el caso adverso, −10 % a −25 % a 3-5 años; la señal son los ingresos netos por empleado y el margen.</w:t>
      </w:r>
    </w:p>
    <w:p>
      <w:pPr>
        <w:spacing w:after="100"/>
      </w:pPr>
      <w:r>
        <w:rPr>
          <w:b/>
        </w:rPr>
        <w:t xml:space="preserve">Finanzas.</w:t>
      </w:r>
      <w:r>
        <w:t xml:space="preserve"> Ingresos de 5.443 M en FY2025 y ≈5.070 M en FY2026 (−7 % por USAID). Margen EBITDA del 12,9 %, al alza. FCF de ≈539 M en 12 meses (6,2 % de la capitalización). Deuda neta de 0,9 veces el EBITDA, con 575 M de convertibles al 2,25 % hasta 2028. Recompra disponible de 898 M.</w:t>
      </w:r>
    </w:p>
    <w:p>
      <w:pPr>
        <w:spacing w:after="100"/>
      </w:pPr>
      <w:r>
        <w:rPr>
          <w:b/>
        </w:rPr>
        <w:t xml:space="preserve">Equipo y gobierno.</w:t>
      </w:r>
      <w:r>
        <w:t xml:space="preserve"> Primer ejecutivo nuevo (Argus, feb-2026) con Batrack de presidente ejecutivo; guías cumplidas o batidas desde FY2021. Sin accionista de control; la remuneración premia el BPA y el precio, no el ROIC.</w:t>
      </w:r>
    </w:p>
    <w:p>
      <w:pPr>
        <w:spacing w:after="100"/>
      </w:pPr>
      <w:r>
        <w:rPr>
          <w:b/>
        </w:rPr>
        <w:t xml:space="preserve">Valoración.</w:t>
      </w:r>
      <w:r>
        <w:t xml:space="preserve"> DCF 29,82 USD, comparables 24-26, transacciones 36,65 (no ponderadas). PER adelantado de 19,1x frente a 13,9x de los comparables: el mercado ya paga la calidad. Nuestro BPA de FY2028 (1,90) coincide con el consenso (1,88).</w:t>
      </w:r>
    </w:p>
    <w:p>
      <w:pPr>
        <w:spacing w:after="100"/>
      </w:pPr>
      <w:r>
        <w:rPr>
          <w:b/>
        </w:rPr>
        <w:t xml:space="preserve">Riesgos y catalizadores.</w:t>
      </w:r>
      <w:r>
        <w:t xml:space="preserve"> IA (−10 % a −25 %), federal y Ucrania (−5 % a −10 %), compras caras (−5 %); catalizadores: 4T26 y guía de FY2027 en noviembre, AMP8 y PFAS, recompra. Los foros son moderadamente alcistas y señalan la IA como el riesgo principal, igual que este informe.</w:t>
      </w:r>
    </w:p>
    <w:p>
      <w:pPr>
        <w:spacing w:after="100"/>
      </w:pPr>
      <w:r>
        <w:rPr>
          <w:b/>
        </w:rPr>
        <w:t xml:space="preserve">Qué cambiaría la decisión.</w:t>
      </w:r>
      <w:r>
        <w:t xml:space="preserve"> Comprar por debajo de 28,27 USD (valor intrínseco) o si el orgánico de FY2027 sube al 6 % con margen +50 pb; vender por encima de 44,53 USD o si los ingresos netos por empleado caen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39,81 USD</w:t>
      </w:r>
      <w:r>
        <w:t xml:space="preserve"> (rentabilidad +19,2 % (base +19,5 %)) · Valor intrínseco: 28,27 USD (-15,9 % sobre 33,61) · con la prima implícita del mercado: 33,03 (-1,7 %)</w:t>
      </w:r>
    </w:p>
    <w:p>
      <w:pPr>
        <w:spacing w:after="100"/>
      </w:pPr>
      <w:r>
        <w:t xml:space="preserve">Tetra Tech es la mayor consultora de agua y medio ambiente de EE. UU. (puesto 3 del ENR en diseño) y una de las más rentables del sector: ROIC del 16,5 % con un capex del 0,4 % de las ventas, FCF de ≈539 M en 12 meses y una cartera de pedidos récord de 4.490 M [2, 3]. En 2025 perdió USAID (10,6 % de las ventas) y aun así subió tres veces la guía de FY2026: sin USAID ni catástrofes, los ingresos netos crecen un 8 % [3].</w:t>
      </w:r>
    </w:p>
    <w:p>
      <w:pPr>
        <w:spacing w:after="100"/>
      </w:pPr>
      <w:r>
        <w:t xml:space="preserve">A 33,61 USD el PER adelantado (19,1x) es el más bajo de su historia (mediana de cinco años 24,1x), porque el mercado teme que la IA abarate el trabajo de ingeniería por horas y que el Gobierno federal siga recortando. La regla de 12 meses ve +19 % si el múltiplo vuelve a 21x.</w:t>
      </w:r>
    </w:p>
    <w:p>
      <w:pPr>
        <w:spacing w:after="100"/>
      </w:pPr>
      <w:r>
        <w:t xml:space="preserve">Pero el DCF no acompaña: con un tipo a 10 años del 5,19 % y un WACC del 9,6 %, el precio ya descuenta un crecimiento del 7,6 % anual, casi el plan 2030 entero. Para invertir hay que creer que el agua (PFAS, AMP8, centros de datos) sostiene un orgánico del 6-8 % y que la IA sube el margen en el precio fijo en lugar de bajar las horas. Es una empresa de calidad a un precio justo, no barato.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1,57 = 26,38 · 21,0x × 1,90 = 39,90 · 25,5x × 2,08 = 53,04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 / 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 (nuestro base -1,1 %)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 / -39,5 %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9,6 %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28,27 y 44,53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44,53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de 12 meses da +19 % ponderado (v3) y el negocio pasa el filtro de calidad (ROIC − WACC de 6,9 puntos y sostenibilidad «Sí»), pero el valor intrínseco (28,27 USD) está un 16 % bajo el precio: el DCF con un WACC del 9,6 % no justifica ni el PER actual, y la regla no permite comprar. La v2 da +12 % ponderado. Mantener con convicción baja porque las dos lecturas se contradicen: el múltiplo está en mínimos de su historia y el valor fundamental no lo respalda. Pasaríamos a Comprar por debajo de 28 USD o si la guía de FY2027 (noviembre) muestra un orgánico del 6 % con margen +50 pb. Pruebas de robustez: SÓLIDA, con acción robusta «No mantener»: no entra en cartera y, quien la tenga, no pasa el filtro de mantener por encima de 33,26 USD.</w:t>
      </w:r>
    </w:p>
    <w:p>
      <w:pPr>
        <w:pStyle w:val="Heading2"/>
      </w:pPr>
      <w:r>
        <w:t xml:space="preserve">Qué cambiaría la recomendación</w:t>
      </w:r>
    </w:p>
    <w:p>
      <w:pPr>
        <w:pStyle w:val="ListParagraph"/>
        <w:numPr>
          <w:ilvl w:val="0"/>
          <w:numId w:val="2"/>
        </w:numPr>
        <w:spacing w:after="60"/>
      </w:pPr>
      <w:r>
        <w:t xml:space="preserve">Por debajo de 28,27 USD (valor intrínseco), comprar: la regla de 12 meses ya da más del 15 %.</w:t>
      </w:r>
    </w:p>
    <w:p>
      <w:pPr>
        <w:pStyle w:val="ListParagraph"/>
        <w:numPr>
          <w:ilvl w:val="0"/>
          <w:numId w:val="2"/>
        </w:numPr>
        <w:spacing w:after="60"/>
      </w:pPr>
      <w:r>
        <w:t xml:space="preserve">Si la guía de FY2027 muestra un orgánico ≥ 6 % con margen +50 pb, revisaríamos el base al alza.</w:t>
      </w:r>
    </w:p>
    <w:p>
      <w:pPr>
        <w:pStyle w:val="ListParagraph"/>
        <w:numPr>
          <w:ilvl w:val="0"/>
          <w:numId w:val="2"/>
        </w:numPr>
        <w:spacing w:after="60"/>
      </w:pPr>
      <w:r>
        <w:t xml:space="preserve">Si los ingresos netos por empleado caen dos trimestres seguidos (la IA cede productividad), pasaríamos a Vender.</w:t>
      </w:r>
    </w:p>
    <w:p>
      <w:pPr>
        <w:pStyle w:val="ListParagraph"/>
        <w:numPr>
          <w:ilvl w:val="0"/>
          <w:numId w:val="2"/>
        </w:numPr>
        <w:spacing w:after="60"/>
      </w:pPr>
      <w:r>
        <w:t xml:space="preserve">Si termina la financiación de Ucrania sin otro contrato federal que la compense, bajaríamos el base de FY2027.</w:t>
      </w:r>
    </w:p>
    <w:p>
      <w:pPr>
        <w:pStyle w:val="ListParagraph"/>
        <w:numPr>
          <w:ilvl w:val="0"/>
          <w:numId w:val="2"/>
        </w:numPr>
        <w:spacing w:after="60"/>
      </w:pPr>
      <w:r>
        <w:t xml:space="preserve">Por encima de 44,53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Dos cosas a la vez: que el crecimiento del plan 2030 se cumple casi entero (7,6 % anual en el DCF inverso) y, por el múltiplo, que la prima histórica de Tetra Tech no vuelve (PER de 19x, mínimo de su historia).</w:t>
      </w:r>
    </w:p>
    <w:p>
      <w:pPr>
        <w:keepNext/>
        <w:spacing w:after="100"/>
      </w:pPr>
      <w:r>
        <w:rPr>
          <w:b/>
          <w:bCs/>
        </w:rPr>
        <w:t xml:space="preserve">Lo que creemos nosotros.</w:t>
      </w:r>
    </w:p>
    <w:p>
      <w:pPr>
        <w:spacing w:after="100"/>
      </w:pPr>
      <w:r>
        <w:t xml:space="preserve">Que el negocio es de calidad y crece, pero menos (4,7 % al año) y con un margen que sube la mitad de lo prometido por la IA: valor de 28 USD, un 16 % bajo el precio.</w:t>
      </w:r>
    </w:p>
    <w:p>
      <w:pPr>
        <w:keepNext/>
        <w:spacing w:after="100"/>
      </w:pPr>
      <w:r>
        <w:rPr>
          <w:b/>
          <w:bCs/>
        </w:rPr>
        <w:t xml:space="preserve">Por qué podemos tener razón.</w:t>
      </w:r>
    </w:p>
    <w:p>
      <w:pPr>
        <w:spacing w:after="100"/>
      </w:pPr>
      <w:r>
        <w:t xml:space="preserve">Los datos de 2026 son buenos (tres subidas de guía, cartera récord), pero el tipo libre del 5,19 % hace caro cualquier crecimiento lejano y la IA no se verá en las cuentas hasta 2027-2028.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16,5 %</w:t>
      </w:r>
      <w:r>
        <w:t xml:space="preserve"> frente a un WACC del 9,6 %, con un capex del 0,4 % de las ventas.</w:t>
      </w:r>
    </w:p>
    <w:p>
      <w:pPr>
        <w:pStyle w:val="ListParagraph"/>
        <w:numPr>
          <w:ilvl w:val="0"/>
          <w:numId w:val="2"/>
        </w:numPr>
        <w:spacing w:after="60"/>
      </w:pPr>
      <w:r>
        <w:rPr>
          <w:b/>
        </w:rPr>
        <w:t xml:space="preserve">PER adelantado de 19,1x</w:t>
      </w:r>
      <w:r>
        <w:t xml:space="preserve">, el mínimo de su historia (mediana de cinco años 24,1x).</w:t>
      </w:r>
    </w:p>
    <w:p>
      <w:pPr>
        <w:pStyle w:val="ListParagraph"/>
        <w:numPr>
          <w:ilvl w:val="0"/>
          <w:numId w:val="2"/>
        </w:numPr>
        <w:spacing w:after="60"/>
      </w:pPr>
      <w:r>
        <w:rPr>
          <w:b/>
        </w:rPr>
        <w:t xml:space="preserve">Cartera de pedidos récord</w:t>
      </w:r>
      <w:r>
        <w:t xml:space="preserve"> de 4.490 M y tres subidas de guía en FY2026.</w:t>
      </w:r>
    </w:p>
    <w:p>
      <w:pPr>
        <w:pStyle w:val="ListParagraph"/>
        <w:numPr>
          <w:ilvl w:val="0"/>
          <w:numId w:val="2"/>
        </w:numPr>
        <w:spacing w:after="60"/>
      </w:pPr>
      <w:r>
        <w:rPr>
          <w:b/>
        </w:rPr>
        <w:t xml:space="preserve">Agua como motor</w:t>
      </w:r>
      <w:r>
        <w:t xml:space="preserve">: PFAS, AMP8 británico (105.000 M GBP) y centros de datos.</w:t>
      </w:r>
    </w:p>
    <w:p>
      <w:pPr>
        <w:pStyle w:val="ListParagraph"/>
        <w:numPr>
          <w:ilvl w:val="0"/>
          <w:numId w:val="2"/>
        </w:numPr>
        <w:spacing w:after="60"/>
      </w:pPr>
      <w:r>
        <w:rPr>
          <w:b/>
        </w:rPr>
        <w:t xml:space="preserve">Balance sano</w:t>
      </w:r>
      <w:r>
        <w:t xml:space="preserve">: deuda neta de 0,9 veces el EBITDA y recompra de 898 M.</w:t>
      </w:r>
    </w:p>
    <w:p>
      <w:pPr>
        <w:pStyle w:val="Heading2"/>
      </w:pPr>
      <w:r>
        <w:t xml:space="preserve">En contra</w:t>
      </w:r>
    </w:p>
    <w:p>
      <w:pPr>
        <w:pStyle w:val="ListParagraph"/>
        <w:numPr>
          <w:ilvl w:val="0"/>
          <w:numId w:val="2"/>
        </w:numPr>
        <w:spacing w:after="60"/>
      </w:pPr>
      <w:r>
        <w:rPr>
          <w:b/>
        </w:rPr>
        <w:t xml:space="preserve">Valor intrínseco de 28,27 USD</w:t>
      </w:r>
      <w:r>
        <w:t xml:space="preserve">, un 16 % bajo el precio.</w:t>
      </w:r>
    </w:p>
    <w:p>
      <w:pPr>
        <w:pStyle w:val="ListParagraph"/>
        <w:numPr>
          <w:ilvl w:val="0"/>
          <w:numId w:val="2"/>
        </w:numPr>
        <w:spacing w:after="60"/>
      </w:pPr>
      <w:r>
        <w:rPr>
          <w:b/>
        </w:rPr>
        <w:t xml:space="preserve">IA</w:t>
      </w:r>
      <w:r>
        <w:t xml:space="preserve">: el 52 % de los ingresos se cobra por horas o costes.</w:t>
      </w:r>
    </w:p>
    <w:p>
      <w:pPr>
        <w:pStyle w:val="ListParagraph"/>
        <w:numPr>
          <w:ilvl w:val="0"/>
          <w:numId w:val="2"/>
        </w:numPr>
        <w:spacing w:after="60"/>
      </w:pPr>
      <w:r>
        <w:rPr>
          <w:b/>
        </w:rPr>
        <w:t xml:space="preserve">Federal y Ucrania</w:t>
      </w:r>
      <w:r>
        <w:t xml:space="preserve">: ≈66 M por trimestre que pueden desaparecer.</w:t>
      </w:r>
    </w:p>
    <w:p>
      <w:pPr>
        <w:pStyle w:val="ListParagraph"/>
        <w:numPr>
          <w:ilvl w:val="0"/>
          <w:numId w:val="2"/>
        </w:numPr>
        <w:spacing w:after="60"/>
      </w:pPr>
      <w:r>
        <w:rPr>
          <w:b/>
        </w:rPr>
        <w:t xml:space="preserve">Fondo de comercio</w:t>
      </w:r>
      <w:r>
        <w:t xml:space="preserve"> del 85 % del capital invertido y un deterioro en 2025.</w:t>
      </w:r>
    </w:p>
    <w:p>
      <w:pPr>
        <w:pStyle w:val="ListParagraph"/>
        <w:numPr>
          <w:ilvl w:val="0"/>
          <w:numId w:val="2"/>
        </w:numPr>
        <w:spacing w:after="60"/>
      </w:pPr>
      <w:r>
        <w:rPr>
          <w:b/>
        </w:rPr>
        <w:t xml:space="preserve">Prima sobre los comparables</w:t>
      </w:r>
      <w:r>
        <w:t xml:space="preserve">: 19,4x frente a 13,9x.</w:t>
      </w:r>
    </w:p>
    <w:p>
      <w:pPr>
        <w:pStyle w:val="Heading2"/>
      </w:pPr>
      <w:r>
        <w:t xml:space="preserve">Qué tiene que pasar para que la tesis funcione</w:t>
      </w:r>
    </w:p>
    <w:p>
      <w:pPr>
        <w:spacing w:after="100"/>
      </w:pPr>
      <w:r>
        <w:t xml:space="preserve">La tesis depende de que el agua y el internacional crezcan más de lo que cae el federal y de que la IA suba el margen en lugar de bajar las horas facturables. La señal que diría que no se cumple: ingresos netos por empleado estancados, margen EBITDA ajustado que no sube los 50 pb anuales y una cartera de pedidos que deja de crecer.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netos (sin USAID ni catástrofes)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plan 2030 y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sobre ingresos netos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(9M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subida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 y precio fijo se ven aquí primero.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precio fijo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 (9M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Donde la productividad de la IA queda en casa.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federales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M de media (9M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Ucrania y recortes.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 19,4x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Tetra Tech nació en 1966 en Pasadena como consultora de ingeniería del agua y salió a bolsa en el Nasdaq en 1991 [1]. Con Dan Batrack (primer ejecutivo de 2005 a 2026) salió de la construcción y se convirtió en consultora de agua, medio ambiente y desarrollo internacional, creciendo con compras: Coffey (Australia, 2016), WYG (Reino Unido, 2019) y RPS (Reino Unido, 2023, ≈854 M, tras ganar la puja a WSP), que llevaron el internacional al 37 % de las ventas [1, 39]. En 2025 el Gobierno canceló casi todos los contratos de USAID (10,6 % de las ventas) y la empresa pactó 97 M por el caso de Hunters Point [2]. En feb-2026 Roger Argus relevó a Batrack, que sigue de presidente ejecutivo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Tetra Tech en Pasadena como consultora de ingeniería del agua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(TTEK).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 Batrack, en la empresa desde 1980, primer ejecutivo; presidente del consejo desde 2008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Coffey (Australia): base del negocio internacional en Asia-Pacífico.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WYG (Reino Unido) y salida de negocios no estratégicos de construcción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RPS Group (Reino Unido) por ≈854 M, tras superar la oferta de WSP; la parte internacional sube al 37 %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5:1 y día del inversor con la visión 2030: ventas +10-15 % anual y margen EBITDA +50 pb al año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Cancelación de casi todos los contratos de USAID (10,6 % de las ventas de FY2025); deterioro de 92,4 M; acuerdo de 97 M con el Gobierno por Hunters Point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Roger Argus sustituye a Batrack como primer ejecutivo (feb-2026); compra de Halvik y Providence; recompra ampliada a 898 M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Tetra Tech vende consultoría e ingeniería de agua, medio ambiente, infraestructuras resilientes, energía y desarrollo internacional, con ≈25.000 empleados [1]. Dos segmentos: GSG (Gobierno de EE. UU. federal, estatal y local, y organismos de desarrollo; 2.829 M en FY2025) y CIG (clientes comerciales de EE. UU. e internacionales de Reino Unido, Australia y Canadá; 2.680 M) [1, 2]. Por cliente, en FY2025: Gobierno federal 31,6 % (USAID 10,6 %, Defensa 11,6 %), estados y municipios 14,5 %, comercial 16,5 % e internacional 37,4 % [1]. En 9M FY26 el federal cayó un 32,5 % (salida de USAID) y el internacional subió un 9,9 % [2]. Hace sobre todo la parte inicial de los proyectos: estudios, muestreo, permisos, diseño y gestión de programas, no la obra.</w:t>
      </w:r>
    </w:p>
    <w:p>
      <w:pPr>
        <w:pStyle w:val="Heading2"/>
      </w:pPr>
      <w:r>
        <w:t xml:space="preserve">Cómo gana dinero</w:t>
      </w:r>
    </w:p>
    <w:p>
      <w:pPr>
        <w:spacing w:after="100"/>
      </w:pPr>
      <w:r>
        <w:t xml:space="preserve">Cobra por el trabajo de su plantilla técnica: en 9M FY26, el 48,0 % de los ingresos es a precio fijo, el 43,2 % por horas y materiales y el 8,8 % a coste más margen [2]. Un 15 % de los ingresos brutos son subcontratas que se repercuten casi sin margen; por eso la empresa sigue los «ingresos netos» (4.315-4.365 M de guía para FY2026) [3]. El margen EBITDA ajustado sobre ingresos netos es del 14,6 % (9M FY26) y sube por la mezcla: más agua y precio fijo, menos USAID [3]. Necesita muy poco capital (capex del 0,3-0,5 % de las ventas) y crece con compras pagadas con su caja libre. Cartera de pedidos de 4.490 M (≈1 año de ventas) [2].</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GSG (Government Services Group)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CIG (Commercial/International Services Group)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GSG (Government Services Group)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CIG (Commercial/International Services Group)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Miles de clientes: el mayor, el Gobierno federal (31,6 % en FY2025, menos del 25 % en 9M FY26), con muchos compradores (Defensa, EPA, Energía, Estado); ningún contrato pesa más del 5 % [1, 2]. Los contratos públicos pueden cancelarse por conveniencia, como pasó con USAID en 2025 [1]. En agua municipal, Reino Unido (AMP8) y Australia los contratos marco son plurianuales y se renuevan con frecuencia. Poder de precios moderado: las tarifas se negocian, pero el cambio a precio fijo y la especialización en agua y PFAS sostienen el margen, que ha subido cada año.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 M (sep-2025)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dos trimestres seguidos; 2.100 M en GSG y 2.400 M en CIG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subcontratas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 M (9M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 M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(+8 % sin USAID/DOS ni catástrofes)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medida que sigue la empresa: el trabajo de su propia plantilla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USAID / Departamento de Estado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M (9M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M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todos los contratos de USAID se cancelaron en feb-2025; queda Ucrania vía Estado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contratos a precio fijo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(9M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con la salida de USAID (coste más margen); horas y materiales 43,2 %, coste más margen 8,8 %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sobre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 (9M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plan 2030: +50 pb al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cobro (DSO)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los más bajos del sector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consultoría de diseño e ingeniería: las 500 mayores firmas con sede en EE. UU. facturaron ≈158.700 M USD en diseño en 2025 (+7,4 %), según ENR, con Tetra Tech en el puesto 3 [12]. La usamos como referencia de cuota (2,9 %). No incluye a las extranjeras (WSP, Arcadis, Sweco) ni el negocio en el Reino Unido y Australia, por lo que la cuota real en su mercado mundial es menor. Dentro, el nicho de agua y medio ambiente crece más que la media por PFAS, AMP8 y centros de datos [15]. La ficha sectorial del repositorio (consultoría de ingeniería de Europa y Norteamérica) da una mediana de PER adelantado de 12,4x, de margen EBITDA del 10,4 % y de ROIC del 11,8 % para once cotizadas, con Tetra Tech en el cuartil superior de margen y ROIC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≈158.700 M USD de ingresos de diseño de las 500 mayores firmas con sede en EE. UU. en 2025, +7,4 %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diseño, ENR Top 50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agua (PFAS, AMP8 británico, reutilización)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AMP8: 105.000 M GBP en 2025-2030; Tetra Tech diseña la mayor planta municipal de PFAS (Dayton)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y prioridades del Gobierno federal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USAID en 2025; federal −32,5 % en 9M FY26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el trabajo de ingeniería y consultoría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cayó un 23 % por el miedo a la IA en 2026; Tetra Tech la usa para subir el margen en precio fijo [13, 15,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M al año en centros de datos (agua y permisos)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Catástrofes y resiliencia climática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Trabajo de catástrofes en estados y municipios; sin él, +6 % en 9M FY26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(el mayor, Jacobs, ≈9 % del ENR) con márgenes EBITDA del 6-15 %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públicos con reglas de compra y cancelación por conveniencia (USAID), pero miles de clientes y contratos marco plurianuales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recurso clave son los ingenieros y científicos, escasos en agua; subcontratas el 15 %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referencias, seguros de responsabilidad y especialistas son barreras; entrar en agua municipal lleva años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el software de diseño sustituyen horas de documentación y diseño tipo; el trabajo de campo no [13, 15].</w:t>
            </w:r>
          </w:p>
        </w:tc>
      </w:tr>
    </w:tbl>
    <w:p>
      <w:pPr>
        <w:spacing w:after="160" w:before="0"/>
      </w:pPr>
    </w:p>
    <w:p>
      <w:pPr>
        <w:pStyle w:val="Heading2"/>
      </w:pPr>
      <w:r>
        <w:t xml:space="preserve">Ciclo</w:t>
      </w:r>
    </w:p>
    <w:p>
      <w:pPr>
        <w:spacing w:after="100"/>
      </w:pPr>
      <w:r>
        <w:t xml:space="preserve">El diseño en EE. UU. creció un 7,4 % en 2025 [12] y el agua sigue fuerte por PFAS, AMP8 y centros de datos [15]; la cartera de Tetra Tech está en récord (4.490 M) [2]. Lo negativo es político (USAID, federal), no cíclico. En 2009 y 2020 el gasto público sostuvo al sector; el riesgo de ciclo está en el comercial (petróleo, minería).</w:t>
      </w:r>
    </w:p>
    <w:p>
      <w:pPr>
        <w:pStyle w:val="Heading2"/>
      </w:pPr>
      <w:r>
        <w:t xml:space="preserve">Regulación</w:t>
      </w:r>
    </w:p>
    <w:p>
      <w:pPr>
        <w:spacing w:after="100"/>
      </w:pPr>
      <w:r>
        <w:t xml:space="preserve">La regulación crea la demanda: normas de agua potable de la EPA para PFAS (con plazos de cumplimiento a finales de la década), el plan AMP8 del regulador británico del agua y las leyes de infraestructuras de EE. UU. [1, 15]. Los contratos federales siguen el FAR y pueden cancelarse por conveniencia [1].</w:t>
      </w:r>
    </w:p>
    <w:p>
      <w:pPr>
        <w:pStyle w:val="Heading2"/>
      </w:pPr>
      <w:r>
        <w:t xml:space="preserve">Tendencias y disrupción</w:t>
      </w:r>
    </w:p>
    <w:p>
      <w:pPr>
        <w:spacing w:after="100"/>
      </w:pPr>
      <w:r>
        <w:t xml:space="preserve">Tres tendencias: el agua como inversión prioritaria (PFAS, reutilización, centros de datos), la IA en el diseño (menos horas por proyecto, más demanda de proyectos de datos y agua digital) y la consolidación (WSP, Jacobs y Tetra Tech compran consultoras medianas a 10-16x EBITDA) [13, 15, 39, 40, 41].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de los ingresos de diseño de las 500 mayores de EE. UU. (≈4.600 M de ≈158.700 M en 2025), puesto 3 del ENR [12]; en agua es uno de los dos o tres mayores de EE. UU. y del Reino Unido tras RPS.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del ENR; agua, infraestructuras y consultoría (PA Consulting) [12,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del ENR; transporte, agua y gestión de programas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(Golder, POWER Engineers); perdió RPS frente a Tetra Tech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y edificación en Norteamérica y Reino Unido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Arcadis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ARCAD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y resiliencia en Europa y EE. UU.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Sweco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Ingeniería y arquitectura en el norte de Europa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proyecto se gana por separado.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las redes y plantas de cada cliente, contratos marco plurianuales; el cliente puede cambiar en cada licitación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técnica en agua y PFAS (Dayton) y referencias exigidas en los concursos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12,9 %, en la parte alta del sector (6-15 %)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para programas grandes (AMP8, catástrofes); ROIC del 16,5 % frente al 11,3 % de mediana de los comparables [B4].</w:t>
            </w:r>
          </w:p>
        </w:tc>
      </w:tr>
    </w:tbl>
    <w:p>
      <w:pPr>
        <w:spacing w:after="160" w:before="0"/>
      </w:pPr>
    </w:p>
    <w:p>
      <w:pPr>
        <w:pStyle w:val="Heading2"/>
      </w:pPr>
      <w:r>
        <w:t xml:space="preserve">Amenazas</w:t>
      </w:r>
    </w:p>
    <w:p>
      <w:pPr>
        <w:spacing w:after="100"/>
      </w:pPr>
      <w:r>
        <w:t xml:space="preserve">Tres: (1) la IA y el software de diseño reducen horas de documentación y diseño tipo (probabilidad media a 5 años); (2) los grandes (WSP, Jacobs, AECOM) compiten en agua con más escala y compran especialistas (media); (3) la política federal (alta a corto plazo, ya en parte en el precio). El ROIC alto viene de la especialización y de usar poco capital, no de precios altos.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8,9 %</w:t>
      </w:r>
      <w:r>
        <w:t xml:space="preserve">, EBITDA </w:t>
      </w:r>
      <w:r>
        <w:rPr>
          <w:b/>
          <w:bCs/>
        </w:rPr>
        <w:t xml:space="preserve">13,7 %</w:t>
      </w:r>
      <w:r>
        <w:t xml:space="preserve">, BPA </w:t>
      </w:r>
      <w:r>
        <w:rPr>
          <w:b/>
          <w:bCs/>
        </w:rPr>
        <w:t xml:space="preserve">10,8 %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8,9 % anual de FY2017 a FY2025, con salto en FY2023 (+29 %) por RPS, y caerán ≈7 % en FY2026 por USAID y la menor actividad de catástrofes; sin ellos, los ingresos netos crecen un 8 % en 9M FY26 [2, 3]. El margen EBITDA (con los no recurrentes devueltos) subió del 8,6 % en FY2017 al 12,2 % en FY2025 y ≈12,9 % en los últimos 12 meses, por la mezcla (agua, internacional, precio fijo) y el apalancamiento de costes [3]. El BPA ajustado pasó de 0,43 USD (FY2017) a 1,56 (FY2025): TCAC del 17 %, con recompras pequeñas. El BPA publicado de FY2025 (0,93) lleva el litigio de Hunters Point (115 M) y el deterioro de USAID (92 M).</w:t>
      </w:r>
    </w:p>
    <w:p>
      <w:pPr>
        <w:pStyle w:val="Heading2"/>
      </w:pPr>
      <w:r>
        <w:t xml:space="preserve">Ajustes y partidas no recurrentes</w:t>
      </w:r>
    </w:p>
    <w:p>
      <w:pPr>
        <w:spacing w:after="100"/>
      </w:pPr>
      <w:r>
        <w:t xml:space="preserve">Devolvemos al EBITDA los no recurrentes que la empresa deja dentro: deterioros, litigios, costes de compras y ajustes de pagos aplazados (earn-outs), con la conciliación de cada nota anual [6, 9]. FY2025: 195 M (Hunters Point 115 M, deterioro de USAID 92 M, −12 M de pagos aplazados revertidos); FY2023: 62 M (costes de RPS y deterioros); FY2019: 52 M. La amortización incluye la de intangibles comprados (≈40 M al año), que la empresa no excluye de su BPA ajustado.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(30-jul-2026) la dirección subió la guía por tercera vez: ingresos netos de 4.315-4.365 M y BPA ajustado de 1,56-1,59 para FY2026, con un 4T de 0,45-0,48 [3]. Los mensajes: cartera de pedidos récord (4.490 M, +5 % en el trimestre), federal +12 % interanual en el 3T por Defensa y Halvik/Providence, agua municipal y Reino Unido (AMP8) creciendo a doble dígito, y margen +50 pb para FY2027 [3, 15]. Sobre la IA, el primer ejecutivo dijo que es «un habilitador»: el trabajo de campo y de primera fase está menos expuesto que el diseño rutinario y la IA puede subir el margen en precio fijo [15]. Los analistas preguntaron por Ucrania (66 M en el 3T, parecido en el 4T) y la guía de FY2027, que se dará en noviembre.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RPS Group (Reino Unido), comprada en ene-2023 por ≈854 M en caja: consolidada desde el 2T23.).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holgado: deuda neta de 579 M (0,9 veces el EBITDA) y covenant de apalancamiento de 1,24 veces [2]. El fondo de comercio (2.216 M) es el 54 % del activo y el 85 % del capital invertido: es el precio de las compras (RPS, Coffey, WYG). El circulante (clientes y activos de contrato menos proveedores y anticipos) es estable en el 12-13 % de las ventas, con un DSO de 56 días en el 3T26 [3]. Los convertibles de 2028 son baratos (2,25 %) y no diluyen al precio actual.</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2.465</w:t>
      </w:r>
      <w:r>
        <w:t xml:space="preserve">, conversión </w:t>
      </w:r>
      <w:r>
        <w:rPr>
          <w:b/>
          <w:bCs/>
        </w:rPr>
        <w:t xml:space="preserve">127 %</w:t>
      </w:r>
      <w:r>
        <w:t xml:space="preserve"> del beneficio neto; adquisiciones 1.408, dividendos 373, recompras 902.</w:t>
      </w:r>
    </w:p>
    <w:p>
      <w:pPr>
        <w:spacing w:after="100"/>
      </w:pPr>
      <w:r>
        <w:t xml:space="preserve">Conversión alta y limpia: FCF de 431 M en FY2025 (174 % del beneficio publicado, deprimido por no recurrentes que no son caja) y ≈539 M en los últimos 12 meses, con un capex del 0,3-0,5 % de las ventas [2, 3]. En FY2017-FY2025 la caja libre acumulada (≈2.700 M) pagó las compras (≈1.600 M, RPS incluida), los dividendos y recompras de ≈1.000 M. En 9M FY26 recompró 200 M a 31,29 USD de media [3]. Mantenimiento ≈ todo el capex: el crecimiento orgánico no necesita inversión, salvo circulante.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PwC desde 2004 con opinión favorable [1]. Tres puntos a vigilar. Primero, los no recurrentes casi todos los años (deterioros, litigios, costes de compras): 195 M en FY2025, 62 M en FY2023 y 52 M en FY2019; el BPA ajustado los quita todos. Segundo, la contabilidad de compras: pagos aplazados (earn-outs) que se revalúan contra la cuenta (−12 M en FY2025) y un fondo de comercio que ya tuvo un deterioro. Tercero, el reconocimiento por avance en contratos a precio fijo (48 %), que depende de estimaciones. Indicadores del motor: Altman Z de 4,49 (zona segura), Piotroski F de 7 (fuerte) y Beneish M de −2,65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recurrentes (deterioros, litigios, costes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≈40 M al año en FY2017-FY2025; los devolvemos al EBITDA pero son un coste real del modelo de compras.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aplazados por compras revaluados contra la cuenta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 M pendientes; los incluimos como deuda.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Reconocimiento por avance en precio fijo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cargos relevantes por contratos con pérdidas.</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2.050 M en FY2025 (el 85 % del capital invertido medio); ha subido más de un 5 % en 6 de 8 años: comprador en serie. ROIC publicado 16,5 %; sin fondo de comercio, 111,0 %.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20,2 % · </w:t>
      </w:r>
      <w:r>
        <w:rPr>
          <w:b/>
          <w:bCs/>
        </w:rPr>
        <w:t xml:space="preserve">WACC</w:t>
      </w:r>
      <w:r>
        <w:t xml:space="preserve">: 9,6 %.</w:t>
      </w:r>
    </w:p>
    <w:p>
      <w:pPr>
        <w:spacing w:after="100"/>
      </w:pPr>
      <w:r>
        <w:t xml:space="preserve">Tetra Tech crea valor: ROIC del 16,5 % en FY2025 frente a un WACC del 9,6 %, 6,9 puntos, y por encima del WACC todos los años desde FY2017 (12-20 %). Sin fondo de comercio (2.050 M en FY2025, el 85 % del capital invertido), el ROIC es del 111 %: el negocio operativo casi no usa capital y todo el capital es el precio de las compras. Como comprador en serie, el ROIC que cuenta es el publicado: mide si las compras rinden, y lo hacen (ROIC incremental histórico del 20,2 %). Frente a los comparables (mediana 11,3 %; WSP 7,8 %, Jacobs 8,5 %, Stantec 11,1 %) es de los más rentables; solo Exponent (30 %) lo supera [14, 27, 28, 29, 30, 31, 32, 33, 34]. Lo mueve la rotación (1,4-1,5 veces) y un margen operativo del 11 %.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230,8 M y 564,3 M disponibles en la línea de crédito renovable (964,3 M de capacidad total con el acordeón) a 28-jun-2026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(deuda bancaria garantizada y bonos convertibles sin calificación).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a largo de 801 M a 28-jun-2026: convertibles de 575 M al 2,25 % con vencimiento en ago-2028 (conversión a 39,31 USD, cobertura de dilución hasta 51,89) y 235 M de banco (préstamo de 200 M y 35 M de la línea, con 564 M disponibles) [2]. Pagos aplazados por compras de 114 M (43,6 M corrientes y 70,2 M a largo), que tratamos como deuda en el puente [2]. Arrendamientos operativos fuera de la deuda (US GAAP). Contingencias: reclamaciones de terceros por Hunters Point (la provisión de 115 M cubre el acuerdo de 97 M y 18 M más) [2].</w:t>
      </w:r>
    </w:p>
    <w:p>
      <w:pPr>
        <w:pStyle w:val="Heading1"/>
      </w:pPr>
      <w:r>
        <w:t xml:space="preserve">12. Asignación de capital</w:t>
      </w:r>
    </w:p>
    <w:p>
      <w:pPr>
        <w:pStyle w:val="Confianza"/>
        <w:spacing w:after="100"/>
      </w:pPr>
      <w:r>
        <w:t xml:space="preserve">Confianza: Alta</w:t>
      </w:r>
    </w:p>
    <w:p>
      <w:pPr>
        <w:spacing w:after="100"/>
      </w:pPr>
      <w:r>
        <w:t xml:space="preserve">Dividendo trimestral de 0,072 USD (+11 %; ≈0,27 al año, ≈17 % del beneficio), recompras y compras de consultoras especializadas [3, 11]. En FY2025 pagó 65 M de dividendos, recompró 250 M y compró CAW y SAGE (147 M); en 9M FY26, Halvik y Providence (232 M con pagos aplazados) y 200 M de recompras [2, 3]. Programa de recompra disponible: 898 M tras ampliarlo en 500 M el 10-sep-2026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Halvik (EE. UU., datos y ciberseguridad federal, 600 personas) y Providence (Australia, gestión de proyectos)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 39 M de earn-out (máximo 108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Halvik aporta ≈85 M de ventas en 9M FY2026; fondo de comercio de 179 M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Carron + Walsh (Irlanda) y SAGE Group (Australia, automatización)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43 M de earn-out (máximo 60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122 M; CIG crece un 3 % sin ellas en 9M FY2026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RPS Group (Reino Unido, consultoría de agua, energía y medio ambiente)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500 M y línea de crédito; refinanciado con 575 M de convertibles en ago-2023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la parte internacional al 37 % de las ventas; sin deterioros; base del crecimiento del agua en Reino Unido.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Amyx (EE. UU., TI y ciberseguridad federal, 500 personas)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GSG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la filial de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40,3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de 12,4 M no gravada en el 1S26 [2].</w:t>
            </w:r>
          </w:p>
        </w:tc>
      </w:tr>
    </w:tbl>
    <w:p>
      <w:pPr>
        <w:spacing w:after="160" w:before="0"/>
      </w:pPr>
    </w:p>
    <w:p>
      <w:pPr>
        <w:spacing w:after="100"/>
      </w:pPr>
      <w:r>
        <w:t xml:space="preserve">Buena asignadora: las compras han rendido (ROIC incremental del 20 %) y la deuda neta está en 0,9 veces el EBITDA. Dos reparos. Primero, RPS (≈854 M, 16x el EBITDA de 12 meses) se pagó cara para ganar a WSP y llevó el fondo de comercio al 85 % del capital; el deterioro de 92 M de USAID muestra que las compras también pueden perder valor por decisiones políticas. Segundo, las recompras de FY2025 (250 M) se hicieron a ≈40 USD, por encima del precio actual. La recompra de 898 M a 33 USD tendría más sentido si el valor intrínseco estuviera por encima del precio, que no es el caso con nuestro WACC.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R. Argus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feb-2026)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químico, más de 30 años en Tetra Tech: presidente de GSG (2018-2024), de CIG (2023-2025) y de desarrollo corporativo (compras, entre ellas RPS)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 L. Batrack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(primer ejecutivo 2005-2026)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1980; como primer ejecutivo llevó las ventas de ≈1.000 M a 5.400 M y la parte internacional al 37 %. Seguirá al menos dos años como presidente ejecutivo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Burdick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Tetra Tech desde 2003 (contralor 2004-2011); ex Ernst &amp; Young. Caja de explotación superior al beneficio neto más de 20 años seguidos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S. Weiss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CIG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años en la empresa; dirigió la práctica de energía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Shoemaker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innovación y sostenibilidad (Tetra Tech Delta)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Modelos de datos del agua y software de suscripción; antes presidenta de la empresa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Preston Hopson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jurídico y capital humano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AECOM y O'Melveny &amp; Myers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3,30-3,50 USD (antes del split)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3,79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4,00-4,20 USD (antes del split)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4,50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4,70-4,90 USD (antes del split) sin RPS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≈5,19 (1,04 tras el split), con RPS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4.565-4.765 M, BPA 1,40-1,50 (nov-2024)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4.617 M; BPA ajustado 1,56 pese a USAID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netos 4.050-4.250 M, BPA 1,40-1,55 (nov-2025)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subida tres veces: 4.315-4.365 M y BPA ajustado 1,56-1,59 (jul-2026)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Relevo ordenado en la cima: Roger Argus (antes presidente del grupo y responsable de GSG) es primer ejecutivo desde el 19-feb-2026 y Dan Batrack, primer ejecutivo de 2005 a 2026, sigue como presidente ejecutivo al menos dos años más [18, 19]. El director financiero, Steven Burdick, lleva desde 2011 [1]. Historial de guías muy bueno: cumplió o batió todas las de FY2021-FY2025 y subió tres veces la de FY2026 pese a USAID [6]. Insiders: un consejero (Feeler) compró 50.000 USD a 26,41 en may-2026; el contralor vendió 401.000 USD a 40,23 en feb-2026 [20].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 L. Batrack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R. Argus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Kirsten M. Volpi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(presiding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R. Birkenbeuel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Prashant Gandhi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R. Feeler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 Susan Hardwick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Eric W. Thornburg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0,05 / ventas 0,40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R. Feeler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Brian N. Carter (contralor)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Primer ejecutivo (Batrack): 11,62 M USD en FY2025 (1,25 M fijo, 2,51 M de variable anual y 7,80 M en acciones), 133 veces el salario mediano [17]. El variable anual depende de ingresos, beneficio operativo, caja y cartera de pedidos; las acciones por objetivos, del crecimiento del BPA (50 %) y de la rentabilidad relativa para el accionista (50 %): premian crecer y el precio, no el ROIC. Voto en la junta de 2026: 92,2 % a favor y 7,3 % en contra [19]. Hay cláusula de recuperación.</w:t>
      </w:r>
    </w:p>
    <w:p>
      <w:pPr>
        <w:pStyle w:val="Heading2"/>
      </w:pPr>
      <w:r>
        <w:t xml:space="preserve">Operaciones vinculadas, estructura de control y defensas</w:t>
      </w:r>
    </w:p>
    <w:p>
      <w:pPr>
        <w:spacing w:after="100"/>
      </w:pPr>
      <w:r>
        <w:t xml:space="preserve">Sin accionista de control: Vanguard (10,1 %) y BlackRock (9,7 %) son los mayores; consejeros y directivos, ≈0,3 % [17]. Una acción, un voto; consejo de 8 con 6 independientes y un consejero coordinador (Volpi); el presidente es ejecutivo (Batrack). Dos consejeras nuevas del sector del agua en 2025-26 (Hardwick, ex American Water; Thornburg, ex H2O America) [22, 23]. Sin operaciones vinculadas relevantes.</w:t>
      </w:r>
    </w:p>
    <w:p>
      <w:pPr>
        <w:pStyle w:val="Heading2"/>
      </w:pPr>
      <w:r>
        <w:t xml:space="preserve">Señales de alerta</w:t>
      </w:r>
    </w:p>
    <w:p>
      <w:pPr>
        <w:pStyle w:val="ListParagraph"/>
        <w:numPr>
          <w:ilvl w:val="0"/>
          <w:numId w:val="2"/>
        </w:numPr>
        <w:spacing w:after="60"/>
      </w:pPr>
      <w:r>
        <w:t xml:space="preserve">Acuerdo de 97 M con el Gobierno de EE. UU. (Ley de Reclamaciones Falsas y CERCLA) por la descontaminación de Hunters Point, con reclamaciones de terceros abiertas (provisión de 18 M) [2].</w:t>
      </w:r>
    </w:p>
    <w:p>
      <w:pPr>
        <w:pStyle w:val="ListParagraph"/>
        <w:numPr>
          <w:ilvl w:val="0"/>
          <w:numId w:val="2"/>
        </w:numPr>
        <w:spacing w:after="60"/>
      </w:pPr>
      <w:r>
        <w:t xml:space="preserve">Venta de 401.000 USD del contralor (feb-2026, a 40,2 USD) y compra de 50.000 USD de un consejero (may-2026, a 26,4 USD): importes pequeños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FY2026 subida por tercera vez el 30-jul-2026: ingresos netos de 4.315-4.365 M (antes 4.050-4.250 M en nov-2025) y BPA ajustado de 1,56-1,59 USD, con un 4T de 0,45-0,48 [3, 6]. Para FY2027 la dirección adelantó una mejora del margen de ≈50 pb y dará la guía completa con los resultados del 4T (mediados de noviembre) [15]. Plan a medio plazo («visión 2030», may-2024): ingresos +10-15 % al año (6-10 % orgánico y 4-5 % por compras) y margen EBITDA +50 pb al año [16]. El fin de USAID dejó FY2025-26 por debajo de ese ritmo; el margen sí lo cumple.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ingresos netos 4.354 M; BPA ajustado)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netos 4.543 M)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netos 4.625 M)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 46,00</w:t>
            </w:r>
          </w:p>
        </w:tc>
      </w:tr>
    </w:tbl>
    <w:p>
      <w:pPr>
        <w:spacing w:after="160" w:before="0"/>
      </w:pP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bl>
    <w:p>
      <w:pPr>
        <w:spacing w:after="160" w:before="0"/>
      </w:pPr>
    </w:p>
    <w:p>
      <w:pPr>
        <w:spacing w:after="100"/>
      </w:pPr>
      <w:r>
        <w:t xml:space="preserve">La acción gana un 4,3 % en un año frente al +16,9 % del S&amp;P 500 y cayó un 47,5 % desde el máximo de oct-2024 al mínimo de may-2026 [24]. Los hitos: la cancelación de USAID (feb-2025), el deterioro y el litigio de Hunters Point (2025) y la caída del sector por el miedo a la IA (−11,8 % el 12-feb-2026; WSP y Stantec −23 %) [13, 24]. Desde mayo rebota un 30 % con tres subidas de guía. La beta mensual de 5 años es de 0,89 y la volatilidad de 1 año del 36,9 %.</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en mínimos de su historia reciente: PER de los últimos 12 meses de 20,2x frente a una media de 30,2x en nueve años (−33 %) y EV/EBITDA de 14,0x frente a 18,6x (−25 %). La historia adelantada dice lo mismo: 19,1x hoy frente a una mediana de cinco años de 24,1x. La causa no es solo el tipo de interés (el bono a 10 años está en el 5,19 %) sino el riesgo percibido: USAID, federal e IA. Parte del cambio es estructural: la prima de 2021-2024 descontaba un crecimiento del 15 % anual que ya no hay; parte es temporal: la mezcla (agua, precio fijo) es mejor que entonces.</w:t>
      </w:r>
    </w:p>
    <w:p>
      <w:pPr>
        <w:pStyle w:val="Heading1"/>
      </w:pPr>
      <w:r>
        <w:t xml:space="preserve">18. Comparables cotizados</w:t>
      </w:r>
    </w:p>
    <w:p>
      <w:pPr>
        <w:pStyle w:val="Confianza"/>
        <w:spacing w:after="100"/>
      </w:pPr>
      <w:r>
        <w:t xml:space="preserve">Confianza: Media</w:t>
      </w:r>
    </w:p>
    <w:p>
      <w:pPr>
        <w:spacing w:after="100"/>
      </w:pPr>
      <w:r>
        <w:t xml:space="preserve">Consultoras de ingeniería, medio ambiente y agua que venden horas de técnicos sin riesgo de obra: Jacobs, AECOM, Stantec, WSP, Arcadis y Sweco (las mismas de la ficha sectorial [46]), más Exponent (consultoría científica) e ICF (consultora federal con negocio de medio ambiente y catástrofes). Fuera Montrose (sin datos) y las constructoras. PER adelantado de Stock Analysis sobre BPA ajustado [14, 27, 28, 29, 30, 31, 32, 33,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Jacobs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Arcadis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Exponent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ICF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 / 11,0x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13,9x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1,5x / 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Tetra Tech cotiza con prima: PER adelantado de 19,4x frente a 13,9x de mediana de los comparables y EV/EBITDA de 14,0x frente a 11,0x [14, 27, 28, 29, 30, 31, 32, 33, 34]. La prima se apoya en el ROIC (16,5 % frente a 11,3 %), el margen (12,9 % frente a 11,6 %) y la deuda baja (0,9 veces frente a 2,8). Exponent (28,7x, ROIC del 30 %) cobra más; AECOM (9,5x) y ICF (11,6x, muy federal) menos. Con los múltiplos de la mediana, el valor sale de 24-26 USD: el mercado ya paga la calidad, pero el sector entero está deprimido por la IA. Usamos el EV/EBITDA y el PER; los ingresos del consenso son netos y no los comparamos.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RPS Group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Tetra 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 p frente a los 206 p de WSP; 10,7x con sinergias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 Engineers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y transmisión; 12,5x con sinergias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NV5 Global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Acuren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ensayos e inspección; 9,2x con sinergias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Halvik y Providence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con earn-out; múltiplo no publicado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(12,8x – 15,6x)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30,45 – 37,66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del sector se pagan a 10-16 veces el EBITDA: RPS (Tetra Tech, 2023) a 16,0x, POWER Engineers (WSP, 2024) a 15,2x y NV5 (Acuren, 2025) a 10,3x [39, 40, 41]. Con la mediana (15,2x) Tetra Tech valdría 36,65 USD, un 9 % sobre el precio: con 8.600 M de capitalización y sin accionista de control podría interesar a un grupo mayor (WSP, Jacobs) o al capital riesgo, pero no hay indicios. No ponderamos las transacciones: los múltiplos son de empresas más pequeñas y llevan prima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−6,8 % (fijo): 9 meses publicados (3.739 M, −10 %) y un 4T de ≈1.330 M con la guía de ingresos netos [3]. FY2027 +4 %: la guía de la dirección (+50 pb de margen) y el consenso de ingresos netos (+4,3 %) [25], con Halvik y Providence el año completo y la salida de Ucrania. FY2028-FY2030 +5-5,5 % (agua, internacional, federal estable), por debajo del plan 2030 (6-10 % orgánico) y del histórico (8,9 % con compras); después baja al 4 %. Sin compras nuevas.</w:t>
      </w:r>
    </w:p>
    <w:p>
      <w:pPr>
        <w:keepNext/>
        <w:spacing w:after="100"/>
      </w:pPr>
      <w:r>
        <w:rPr>
          <w:b/>
          <w:bCs/>
        </w:rPr>
        <w:t xml:space="preserve">Márgenes.</w:t>
      </w:r>
    </w:p>
    <w:p>
      <w:pPr>
        <w:spacing w:after="100"/>
      </w:pPr>
      <w:r>
        <w:t xml:space="preserve">Margen EBITDA sobre ingresos brutos del 12,9 % en FY2026 (EBITDA de 654 M, igual que el consenso) [25] y +20-30 pb al año hasta el 14,0 % en FY2031, la mitad de los +50 pb del plan 2030 por la presión de la IA en el trabajo por horas. El consenso de FY2028 da 737 M de EBITDA, a un 0,7 % del nuestro.</w:t>
      </w:r>
    </w:p>
    <w:p>
      <w:pPr>
        <w:keepNext/>
        <w:spacing w:after="100"/>
      </w:pPr>
      <w:r>
        <w:rPr>
          <w:b/>
          <w:bCs/>
        </w:rPr>
        <w:t xml:space="preserve">Inversión y circulante.</w:t>
      </w:r>
    </w:p>
    <w:p>
      <w:pPr>
        <w:spacing w:after="100"/>
      </w:pPr>
      <w:r>
        <w:t xml:space="preserve">Capex del 0,45-0,6 % de las ventas (0,3-0,5 % en FY2017-FY2025) y amortización (con la de intangibles comprados) del 1,1 % bajando al 0,6 %, igual al capex en el último año. Circulante del 11,5 % de las ventas (12,3 % en FY2025; DSO a la baja, 56 días). Tipo fiscal del 27 %.</w:t>
      </w:r>
    </w:p>
    <w:p>
      <w:pPr>
        <w:keepNext/>
        <w:spacing w:after="100"/>
      </w:pPr>
      <w:r>
        <w:rPr>
          <w:b/>
          <w:bCs/>
        </w:rPr>
        <w:t xml:space="preserve">Coste del capital.</w:t>
      </w:r>
    </w:p>
    <w:p>
      <w:pPr>
        <w:spacing w:after="100"/>
      </w:pPr>
      <w:r>
        <w:t xml:space="preserve">Tasa libre del 5,19 % (bono a 10 años, 14-oct-2026) [37]; beta de 0,90, entre la mensual de 5 años (0,89) y la ajustada (0,93); prima de mercado del 5,5 %; coste de la deuda antes de impuestos del 5,0 % (convertibles al 2,25 % y banco a SOFR + margen); peso de la deuda del 9 % a valor de mercado. WACC del 9,6 %.</w:t>
      </w:r>
    </w:p>
    <w:p>
      <w:pPr>
        <w:keepNext/>
        <w:spacing w:after="100"/>
      </w:pPr>
      <w:r>
        <w:rPr>
          <w:b/>
          <w:bCs/>
        </w:rPr>
        <w:t xml:space="preserve">Valor terminal.</w:t>
      </w:r>
    </w:p>
    <w:p>
      <w:pPr>
        <w:spacing w:after="100"/>
      </w:pPr>
      <w:r>
        <w:t xml:space="preserve">Gordon con un crecimiento del 3,0 % (inflación ≈2,5 % y medio punto real por la demanda de agua), por debajo de la tasa libre. Implica 10,5 veces el EBITDA de salida, por debajo de la mediana de las transacciones (15,2x) y cerca de la de los comparables (11,0x).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(reinvierte el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 (histórico: 20,2 %)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frente al 3,0 %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(hoy: 2,9 %)</w:t>
            </w:r>
          </w:p>
        </w:tc>
      </w:tr>
    </w:tbl>
    <w:p>
      <w:pPr>
        <w:spacing w:after="160" w:before="0"/>
      </w:pPr>
    </w:p>
    <w:p>
      <w:pPr>
        <w:spacing w:after="100"/>
      </w:pPr>
      <w:r>
        <w:t xml:space="preserve">La proyección apenas necesita inversión neta de la amortización (reinversión acumulada de -16 M, con un capex bruto medio del 0,5 % de las ventas). En un negocio de activos ligeros, el crecimiento medio del 3,0 % tiene que salir de subir precios y de ganar volumen sin capital nuevo, y la prueba es el poder de precios y la cuota (3,0 % del mercado en FY2032e, frente al 2,9 %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 (USAID −65 %, menos catástrofes), precio +1 %, otros +1,2 % (Halvik y Providence, menos Noruega)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(agua y Reino Unido compensan Ucrania), precio +1 %, otros +1,5 % (compras del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con agua, PFAS y AMP8;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 precio +1 %.</w:t>
            </w:r>
          </w:p>
        </w:tc>
      </w:tr>
    </w:tbl>
    <w:p>
      <w:pPr>
        <w:spacing w:after="160" w:before="0"/>
      </w:pPr>
    </w:p>
    <w:p>
      <w:pPr>
        <w:spacing w:after="100"/>
      </w:pPr>
      <w:r>
        <w:t xml:space="preserve">Sí. Las pruebas del motor pasan: el crecimiento medio proyectado (3,0 % con FY2026; 4,7 % después) es un tercio del histórico (8,9 %), no exige capital (capex del 0,5 % de las ventas) y la cuota pasa solo del 2,9 % al 3,0 % del mercado de diseño de EE. UU. El rendimiento implícito alto (82 %) es propio de un negocio sin activos: el crecimiento comprado de FY2026-27 (Halvik y Providence) ya está pagado y en el puente, y no proyectamos compras nuevas. El crecimiento orgánico sin USAID ni catástrofes es del 8 % en ingresos netos (9M FY26), con el margen al alza, y la demanda (agua, PFAS, AMP8) es regulatoria y plurianual. La duda es la IA, que tratamos en riesgos y en el bajista; no es un crecimiento que dependa de ganar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14,0 %)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9,6 %)</w:t>
            </w:r>
          </w:p>
        </w:tc>
      </w:tr>
    </w:tbl>
    <w:p>
      <w:pPr>
        <w:spacing w:after="160" w:before="0"/>
      </w:pPr>
    </w:p>
    <w:p>
      <w:pPr>
        <w:spacing w:after="100"/>
      </w:pPr>
      <w:r>
        <w:t xml:space="preserve">El DCF da 29,82 USD por acción, un 11,3 % bajo el precio, con el valor terminal en el 70 % del valor. El DCF inverso dice que el precio descuenta que las ventas crezcan un 7,6 % al año en FY2027-FY2032 con nuestro margen (nosotros, 4,7 %), o un margen final del 15,5 % con nuestro crecimiento (nosotros, 14,0 %), y una rentabilidad implícita del 8,9 % frente a un WACC del 9,6 %. Es decir: a 33,61 USD el mercado ya paga que Tetra Tech cumpla casi entero su plan 2030 (6-10 % orgánico y +50 pb de margen al año). No es exigente frente a su historia (8,9 % de crecimiento y margen al alza), pero sí frente a un sector que la IA presiona. Con la prima del mercado (4,2 %, WACC del 8,5 %) el valor sube a 35,94 USD, en el precio: la discrepancia es de tasa y de crecimiento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Ucrania, el Gobierno federal recorta la EPA y Defensa, y la IA abarata el trabajo por horas: crecimiento del 1-2 % y margen del 12,5 %. Es lo que vivió el federal en FY2026 (−32 %).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FY2026 cumplida, agua y Reino Unido compensan Ucrania, crecimiento del 4-5,5 % y margen al 14 % en FY2031.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Agua y PFAS crecen al ritmo del plan 2030 y la IA sube el margen en el precio fijo: ventas +1,5 puntos al año y margen +0,7.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28,39 USD (-15,5 %).</w:t>
      </w:r>
    </w:p>
    <w:p>
      <w:pPr>
        <w:spacing w:after="100"/>
      </w:pPr>
      <w:r>
        <w:t xml:space="preserve">La asimetría es desfavorable con nuestro WACC: el alcista deja el valor en el precio (33,57 USD, −0,1 %) y el bajista pierde un 39,5 % (20,33). El bajista es verosímil: ya le pasó al federal en FY2026. Con la prima del mercado (WACC del 8,5 %), el alcista gana un 20 % y el bajista pierde un 29 % (0,71 veces). No compensa comprar a este precio por el DCF; la tesis de compra depende del múltiplo, no del valor.</w:t>
      </w:r>
    </w:p>
    <w:p>
      <w:pPr>
        <w:pStyle w:val="Heading1"/>
      </w:pPr>
      <w:r>
        <w:t xml:space="preserve">22. Suma de partes</w:t>
      </w:r>
    </w:p>
    <w:p>
      <w:pPr>
        <w:pStyle w:val="Confianza"/>
        <w:spacing w:after="100"/>
      </w:pPr>
      <w:r>
        <w:t xml:space="preserve">Confianza: Media</w:t>
      </w:r>
    </w:p>
    <w:p>
      <w:pPr>
        <w:spacing w:after="100"/>
      </w:pPr>
      <w:r>
        <w:t xml:space="preserve">No aplica: los dos segmentos (GSG y CIG) comparten marca, plantilla técnica y clientes de agua y medio ambiente, y no hay comparables puros que den múltiplos distintos con fiabilidad (los dos son consultoría de ingeniería).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28,27 USD (-15,9 % sobre 33,61).</w:t>
      </w:r>
    </w:p>
    <w:p>
      <w:pPr>
        <w:spacing w:after="100"/>
      </w:pPr>
      <w:r>
        <w:t xml:space="preserve">Pesos: DCF 50 %, escenarios 30 % y comparables 20 %, sin transacciones (prima de control y empresas más pequeñas) ni suma de partes. El DCF es el método más fiable para un negocio de flujos estables y sin capital; los comparables (24-26 USD con los múltiplos de la mediana) no recogen la mayor calidad de Tetra Tech y por eso pesan poco. La dispersión es alta: el DCF ±0,5 puntos de WACC va de 27,6 a 32,4 USD, los escenarios de 20 a 34 y las transacciones dan 37. El valor intrínseco sintético es de 28,27 USD (−15,9 %); con la prima del mercado, 33,03 (−1,7 %).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(19.1x) × 1.1 (tope: la mediana de 5 años, 24.1x,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r>
    </w:tbl>
    <w:p>
      <w:pPr>
        <w:spacing w:after="160" w:before="0"/>
      </w:pPr>
    </w:p>
    <w:p>
      <w:pPr>
        <w:spacing w:after="100"/>
      </w:pPr>
      <w:r>
        <w:rPr>
          <w:b/>
          <w:bCs/>
        </w:rPr>
        <w:t xml:space="preserve">Objetivo a 12 meses (ponderado):</w:t>
      </w:r>
      <w:r>
        <w:t xml:space="preserve"> 39,81 USD · rentabilidad +19,2 % (base +19,5 %) · señal Mantener.</w:t>
      </w:r>
    </w:p>
    <w:p>
      <w:pPr>
        <w:spacing w:after="100"/>
      </w:pPr>
      <w:r>
        <w:t xml:space="preserve">Para comparar, con la regla v2 (historia al cierre, mismo precio): 16,2x / 19,1x / 24,8x, 12,1 % Mantener; con el tope anterior del base (×1,3, 14-oct mediodía): 21,1 %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 (1,76 USD) está un 1,7 % por encima del de MarketScreener (1,73) y el de FY2028 (1,90) un 1,1 % por encima (1,88); el EBITDA coincide (FY2028: 742 M frente a 737 M). La pequeña diferencia está en las acciones: suponemos parte de la recompra anunciada. El precio base a 12 meses (39,90 USD) queda un 1,1 % bajo el objetivo medio de los analistas (40,33), dentro de su rango (36-46), que bajó en los últimos tres meses (RBC de 48 a 43).</w:t>
      </w:r>
    </w:p>
    <w:p>
      <w:pPr>
        <w:keepNext/>
        <w:spacing w:after="100"/>
      </w:pPr>
      <w:r>
        <w:rPr>
          <w:b/>
          <w:bCs/>
        </w:rPr>
        <w:t xml:space="preserve">Del valor intrínseco al objetivo a 12 meses.</w:t>
      </w:r>
    </w:p>
    <w:p>
      <w:pPr>
        <w:spacing w:after="100"/>
      </w:pPr>
      <w:r>
        <w:t xml:space="preserve">El BPA base de FY2028e (1,90) crece un 9-10 % al año desde el ajustado de FY2025 (1,56) y la guía de FY2026 (1,56-1,59), no un 27 % desde el publicado (0,93), que lleva 195 M de no recurrentes. La regla da +19 % ponderado porque el PER adelantado (19,1x) es el más bajo de su historia (mediana de cinco años 24,1x): basta con que vuelva a 21x. Pero el valor intrínseco (28,27 USD) está un 16 % bajo el precio: el DCF con un WACC del 9,6 % no justifica ni el PER de hoy. La distancia entre las dos cifras es la pregunta del informe: si el mercado volverá a pagar la prima histórica de Tetra Tech por el agua o si la IA y el fin de USAID la han borrado para siempre.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USAID; crecimiento orgánico del agua y del internacional; margen (+50 pb)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asignación del año fiscal federal 2027, prórrogas y financiación de Ucrania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Ucrania aporta ≈66 M por trimestre; federal ≈25 %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AMP8 en el Reino Unido (inversión de 105.000 M GBP en agua) y plazos de cumplimiento de PFAS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diseño y gestión de programas de agua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898 M (≈10 % de la capitalización)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BPA un 3-4 % al año si se ejecuta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los convertibles de 575 M (conversión a 39,31 USD, cobertura hasta 51,89)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solo por encima de 39,31; refinanciación barata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informes, estudios y diseño rutinario que se cobran por horas (52 % de los ingresos: 43 % horas y materiales y 9 % coste más margen) y el cliente pide quedarse con el ahorro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de modelo de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−25 % (bajista del DCF: −32 %)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Trabajo de campo y de primera fase (muestreo, permisos, catástrofes), 48 % a precio fijo donde el ahorro queda en casa, herramientas propias de agua digital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por empleado estancados con plantilla a la baja, o margen que no sube los 50 pb anuales prometidos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recortes federales: fin de la financiación de Ucrania (≈66 M por trimestre), Defensa o EPA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y presupuestario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Federal ya bajó un 32 % en 9M FY26; USAID pasó del 10,6 % de las ventas a ≈4 %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federales trimestrales por debajo de 280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fondo de comercio (2.216 M, 85 % del capital invertido): RPS se pagó a 16x EBITDA y USAID ya costó un deterioro de 92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con fondo de comercio del 16,5 %, por encima del WACC en todos los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nuevos o compras por encima de 15x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reputación (Hunters Point: acuerdo de 97 M y reclamaciones de terceros)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115 M en FY2025; acuerdo con el DOJ cerrado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Suspensión de contratos con la Marina o nuevas demandas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a precio fijo (48 % de los ingresos) y en el internacional (37 %: libra, dólar australiano y canadiense)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de 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márgenes estables y DSO de 56 días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por contratos con pérdidas o margen bruto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Relevo en la cúpula: primer ejecutivo nuevo (Argus, feb-2026) tras 21 años de Batrack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Batrack sigue de presidente ejecutivo y el director financiero lleva desde 2011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estrategia de compras o salida del director financiero</w:t>
            </w:r>
          </w:p>
        </w:tc>
      </w:tr>
    </w:tbl>
    <w:p>
      <w:pPr>
        <w:spacing w:after="160" w:before="0"/>
      </w:pPr>
    </w:p>
    <w:p>
      <w:pPr>
        <w:pStyle w:val="Heading2"/>
      </w:pPr>
      <w:r>
        <w:t xml:space="preserve">Pre-mortem</w:t>
      </w:r>
    </w:p>
    <w:p>
      <w:pPr>
        <w:spacing w:after="100"/>
      </w:pPr>
      <w:r>
        <w:t xml:space="preserve">Octubre de 2029: la acción vale 20 USD, un 40 % menos. Lo que pasó: en 2027 los clientes de agua y medio ambiente empezaron a pedir los estudios de impacto, los informes de cumplimiento y los diseños tipo hechos con IA, a la mitad de horas. Tetra Tech, con el 52 % de los ingresos por horas o costes, tuvo que bajar precios en las renovaciones mientras su plantilla técnica seguía costando lo mismo; el 48 % de precio fijo amortiguó, pero los competidores (WSP, Jacobs) usaron la misma IA para pujar más bajo. A la vez terminó la financiación de Ucrania y el Gobierno federal recortó la EPA. Las ventas crecieron un 1 % al año, el margen se quedó en el 12 % y el PER cayó a 14x, el de los comparables. La señal estaba en las notas: ingresos netos por empleado que no subían, margen sin los 50 pb anuales y una cartera de pedidos estable en valor pero con más contratos pequeños.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−25 % a 3-5 años en el caso adverso (el bajista del DCF, −32 %, lo cubre); +5-10 % si captura la productividad en el precio fijo</w:t>
      </w:r>
    </w:p>
    <w:p>
      <w:pPr>
        <w:spacing w:after="100"/>
      </w:pPr>
      <w:r>
        <w:t xml:space="preserve">La IA toca una parte importante del modelo, pero menos que en una consultora pura como Booz Allen. El 52 % de los ingresos (9M FY26) se cobra por horas o costes: ahí, un ingeniero con IA que redacta un estudio de impacto o un diseño tipo en la mitad de tiempo factura la mitad. El otro 48 % es precio fijo y sube (40,8 % hace un año): ahí la productividad es margen propio, y la empresa espera +50 pb al año. Gran parte del trabajo es físico y de responsabilidad legal (muestreo, permisos, plantas de PFAS, catástrofes, supervisión), que la IA no sustituye. El mercado ya castiga al sector (WSP y Stantec −23 % en 2026). Señal: ingresos netos por empleado y margen; si la plantilla cae más que los ingresos sin subir el margen, la IA cede valor al cliente.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(1) ética y calidad técnica: el caso de Hunters Point (empleados de una filial falsearon muestras de suelo en la limpieza del antiguo astillero de la Marina en San Francisco) costó 97 M y daño de reputación [2]; (2) capital humano: ≈25.000 empleados técnicos, la clave del negocio y de su exposición a la IA [1]; (3) el agua y el clima son el negocio, no un riesgo: PFAS, reutilización y resiliencia [15]. Las emisiones propias son irrelevantes para el valor (oficinas).</w:t>
      </w:r>
    </w:p>
    <w:p>
      <w:pPr>
        <w:pStyle w:val="Heading2"/>
      </w:pPr>
      <w:r>
        <w:t xml:space="preserve">Controversias</w:t>
      </w:r>
    </w:p>
    <w:p>
      <w:pPr>
        <w:spacing w:after="100"/>
      </w:pPr>
      <w:r>
        <w:t xml:space="preserve">Hunters Point: acuerdo de 97 M con el Gobierno (57 M por la Ley de Reclamaciones Falsas y 40 M por CERCLA), provisionado en FY2025 y cerrado en 2026, más reclamaciones de terceros [2, 42]. Sin sanciones nuevas en 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contratos por horas se ha renovado ya a precio fijo o con menos horas por la IA, y cuánto ha bajado la tarifa efectiva?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52 % de los ingresos se cobra por horas o costes; decide si la IA es amenaza u oportunidad.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guía de crecimiento orgánico de FY2027 sin Ucrania, catástrofes ni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+1,5 % de volumen en FY2027 y +4 % en FY2028; el plan 2030 pide 6-10 %.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Federal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federal depende de Ucrania y de agencias en revisión (EPA, Defensa)?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Federal cayó un 32 % en 9M FY26; Ucrania aporta ≈66 M por trimestre.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se pagó por Halvik y Providence (232 M) y qué rentabilidad se exige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es el 85 % del capital invertido; sin él el ROIC es del 111 %.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 los 898 M disponibles se piensa usar en FY2027 y cómo se pagarán los convertibles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BPA base (≈250 M de acciones).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alcistas («liderazgo en agua», «el mercado no ve la inflexión del 2T») y uno que la mete entre las medianas «que no se han movido en un año»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compraron en los 26-32 USD y ven el suelo hecho; algún mensaje bajista por compras de opciones de venta a 25 USD y la ruptura de la media de 200 sesiones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y prensa canadiense (comentarios de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«cotiza como si fuera software»: unos creen exagerado el miedo a la IA y otros que el modelo por horas está tocado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3T la acción cayó pese a subir la guía: dudas sobre la calidad del beneficio (Ucrania vía Estado, ganancias de earn-out)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el modelo por horas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52 % de las ventas se factura por horas o costes y el sector cayó un 23 % por este miedo; la empresa dice que su trabajo de campo y de primera fase es menos sustituible. Tiene sentido como riesgo, no como certeza: ver riesgos.ia.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USAID y dependencia federal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USAID ya cayó del 10,6 % a ≈4 % de las ventas; queda Ucrania (66 M en el 3T), que puede desaparecer. Sin él, los ingresos netos crecen un 8 %.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 PFAS, AMP8 británico y agua digital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municipal en EE. UU. +6 % sin catástrofes y Reino Unido creciendo a doble dígito; Dayton (mayor planta de PFAS municipal) es un ejemplo.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898 M de recompra disponible (10 % de la capitalización) y caja de explotación de 567 M en 12 meses.</w:t>
            </w:r>
          </w:p>
        </w:tc>
      </w:tr>
    </w:tbl>
    <w:p>
      <w:pPr>
        <w:spacing w:after="160" w:before="0"/>
      </w:pPr>
    </w:p>
    <w:p>
      <w:pPr>
        <w:spacing w:after="100"/>
      </w:pPr>
      <w:r>
        <w:t xml:space="preserve">El sentimiento es de optimismo prudente: los autores de Seeking Alpha ven a Tetra Tech como líder en agua y creen que el mercado no ve la mejora del 2T26, aunque alguno recomienda «no hacer nada» [42]. Los particulares de Stocktwits son mayoritariamente alcistas, con alguna cobertura con opciones a 25 USD [43], y los analistas de Stockchase están divididos por la IA [44]. No es extremo. El único riesgo que los foros señalan con más fuerza que el consenso es la IA, que tratamos en riesgos; ninguna cifra del informe sale de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46 (22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3,0 % en FY2032e frente al 2,9 %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11,5 % frente a 12,3 % real: genera una variación de circulante de -89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(1,90) supone un 26,9 % anual desde 0,93 (FY2025): explícalo en valoracion.objetivo_12m.comentario o la confianza es baja. Explicación: El último real (FY2025, 0,93 USD) está deprimido por 195 M de no recurrentes (Hunters Point 115 M, deterioro de USAID 92 M, menos 12 M de pagos aplazados revertidos). El BPA ajustado de FY2025 fue de 1,56 y la guía de FY2026 es de 1,56-1,59: desde ahí, el BPA base de FY2028e (1,90) supone un 9-10 % anual, en línea con la historia (TCAC del BPA ajustado FY2017-FY2025 del 17 %).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5, 8, 10, 35,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3T26: solo nueve meses del resultado de cada segmento con la segmentación nueva; 2) 10-K FY2025: segmentación anterior (no comparable); 3) notas de resultados: solo ingresos netos reexpresados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ENR Top 500 (solo ranking y total); 2) informes anuales de los cinco primeros (ingresos totales, no de diseño en EE. UU.); 3) estimación propia descartada por mezclar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ENR 2026 (solo el último año, +7,4 %); 2) series de ENR de años anteriores de pago; 3) EBI (Environmental Business International)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«Outperform» y 8 analistas); 2) Stock Analysis (de pago); 3) prensa de cambios de recomendación (RBC Outperform, Northcoast Comprar, National Bank Outperform)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(de pago para varios); 3) consenso de cada empresa en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publicadas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la empresa (no leído por tiempo); 2) MSCI ESG ratings corporate search (requiere navegador); 3) 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28-sep-2025 (negocio, clientes, contratos, riesgos,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Tetra Tech,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https://www.sec.gov/Archives/edgar/data/831641/000083164125000032/ttek-20250928.htm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3T del ejercicio 2026 (trimestre a 28-jun-2026; clientes, segmentos, compras, deuda,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Tetra Tech,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https://www.sec.gov/Archives/edgar/data/831641/000083164126000017/ttek-20260628.htm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del ejercicio 2026 (Exhibit 99.1; cuenta, balance, flujos, ingresos netos por segmento,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https://www.sec.gov/Archives/edgar/data/831641/000110465926088213/tm2621536d1_ex99-1.htm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https://www.sec.gov/Archives/edgar/data/831641/000110465926051486/tm2613029d1_ex99-1.htm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https://www.sec.gov/Archives/edgar/data/831641/000110465926007481/tm264341d1_ex99-1.htm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2025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https://www.sec.gov/Archives/edgar/data/831641/000110465925110537/tm2530975d1_ex99-1.htm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(trimestres de FY2023-FY2024)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https://www.sec.gov/Archives/edgar/data/831641/000110465924117683/tm2428315d1_ex99-1.htm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del ejercicio 2025 (USAID, deterioro del fondo de comercio,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https://www.sec.gov/Archives/edgar/data/831641/000110465925072237/tm2522044d1_ex99-1.htm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de FY2017-FY2022 (BPA ajustado, partidas no recurrentes)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https://www.sec.gov/Archives/edgar/data/831641/000110465922116502/tm2230107d1_ex99-1.htm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la SEC (companyfacts) de Tetra Tech,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https://data.sec.gov/api/xbrl/companyfacts/CIK0000831641.json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del programa de recompra en 500 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https://www.sec.gov/Archives/edgar/data/831641/000110465926106564/tm2625143d1_ex99-1.htm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Top 500 Design Firms (ingresos de diseño de 2025: 158.700 M, +7,4 %; Tetra Tech n.º 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Engineering News-Record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https://enr.com/toplists/2026-top-500-design-firms-preview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consultoras de ingeniería caen por el temor a la IA (WSP −23,1 %, Stantec −23,7 %; Jacobs, Aecom y Tetra Tech también)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(vía Stockwatch/Canjex)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https://www.stockwatch.com/News/Item/Z-C!STN-3822059/C/STN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Jacobs, AECOM, Stantec, WSP, Arcadis, Exponent, ICF y Sweco (márgenes, ROIC, múltiplos)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 (IA, PFAS, centros de datos, Reino Unido AMP8, Australia, Canadá)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Mitrade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https://www.mitrade.com/insights/news/live-news/article-8-1978181-20260808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lanza su visión 2030 en su primer día del inversor (ingresos +10-15 % anual, 6-10 % orgánico; margen EBITDA +50 pb al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https://www.businesswire.com/news/home/20240514397225/en/Tetra-Tech-Launched-Its-2030-Vision-at-Its-Inaugural-Investor-Day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https://www.sec.gov/Archives/edgar/data/831641/000110465926002458/tm2533152-2_def14a.htm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Roger Argus será primer ejecutivo; Dan Batrack, presidente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https://www.sec.gov/Archives/edgar/data/831641/000110465926001352/tm262000d1_ex99-1.htm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del 19-feb-2026 y nombramiento de Argus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https://www.sec.gov/Archives/edgar/data/831641/000110465926018205/tm266903d1_8k.htm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https://www.sec.gov/cgi-bin/browse-edgar?action=getcompany&amp;CIK=0000831641&amp;type=4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nombramientos de Argus (presidente) y Weiss (CIG)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https://www.sec.gov/Archives/edgar/data/831641/000110465925097567/tm2528147d1_ex99-1.htm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M. Susan Hardwick (ex CEO de American Water) entra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https://www.sec.gov/Archives/edgar/data/831641/000110465925123764/tm2534127d1_ex99-1.htm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Eric W. Thornburg (ex CEO de H2O America) entra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https://www.sec.gov/Archives/edgar/data/831641/000110465926035179/tm269832d1_ex99-1.htm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TTEK, SPY y XLI (precio, rango, volumen, rentabilidades, beta,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https://finance.yahoo.com/quote/TTEK/history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estimaciones anuales FY2026-FY2028 (ingresos netos, EBITDA ajustado, BPA, DPA)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https://uk.marketscreener.com/quote/stock/TETRA-TECH-INC-11172/finances/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consenso (8 analistas, objetivo medio 40,33 USD, 36-46)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https://uk.marketscreener.com/quote/stock/TETRA-TECH-INC-11172/consensus/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Tetra Tech (EV, ROIC, PER adelantado, posición corta 4,67 %)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https://stockanalysis.com/stocks/ttek/statistics/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AECOM (ACM)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Stantec (STN)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WSP Global (WSP, TSX)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https://stockanalysis.com/quote/tsx/WSP/statistics/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Arcadis (ARCAD, Euronext Ámsterdam)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https://stockanalysis.com/quote/ams/ARCAD/statistics/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Exponent (EXPO)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ICF International (ICFI)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Sweco (SWEC B, Nasdaq Estocolmo)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https://stockanalysis.com/quote/sto/SWEC.B/statistics/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ingresos de los comparables (próximo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14-oct-2026 (USD 1,1195; CAD 1,5918; SEK 11,1580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del Tesoro de EE. UU.: bono a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del S&amp;P 500 por meses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recomendada de Tetra Tech por RPS Group: 222 p/acción, ≈636 M GBP, 16,0x el EBITDA ajustado LTM pre-NIIF 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(anuncio de la Regla 2.7)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https://www.sec.gov/Archives/edgar/data/831641/000110465922102772/tm2226569d1_ex99-1.htm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comprará POWER Engineers por 1.780 M USD (15,2x el EBITDA ajustado 2024e pre-NIIF 16; 12,5x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https://www.wsp.com/en-us/news/2024/wsp-to-acquire-power-engineers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Acuren y NV5 anuncian su fusión: ≈1.700 M USD, 10,3x el EBITDA ajustado 2025e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https://www.businesswire.com/news/home/20250515498193/en/Acuren-Corporation-and-NV5-Global-Inc.-Announce-Merger-with-$2-Billion-Combined-Revenue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sobre TTEK (RSS, jul-oct 2026: «Market Leadership In Water», «The Do Nothing Club»)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https://seekingalpha.com/api/sa/combined/TTEK.xml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de $TTEK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https://api.stocktwits.com/api/2/streams/symbol/TTEK.json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consultoras de ingeniería caen por el temor a la IA (y comentarios de analistas en Stockchase)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 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https://stockchase.com/STN-T/page/1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«Tetra Tech slides as raised outlook meets profit quality doubts»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https://www.webull.com/news/15318848858498048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consultoría de ingeniería, arquitectura y medio ambiente (Europa y Norteamérica),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(repositorio, sectores/ingenieria-consultoria-2026-10-15.md)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15 oct 2026.</w:t>
      </w:r>
    </w:p>
    <w:p>
      <w:pPr>
        <w:pStyle w:val="Nota"/>
        <w:spacing w:after="100"/>
      </w:pPr>
      <w:r>
        <w:t xml:space="preserve">Ejercicio a finales de septiembre con la etiqueta del año en que termina (FY2026 = oct-2025 a sep-2026, cerrado el 27-sep-2026 y todavía sin publicar: resultados previstos a mediados de noviembre); trimestres con numeración fiscal (3T26 = abril-junio de 2026). Precio: cierre del 14-oct-2026 en el Nasdaq (33,61 USD; 30,02 EUR al cambio del BCE de 1,1195); la sesión del 15-oct no había cerrado. Cuentas del XBRL de la SEC (FY2017-FY2025) comprobadas con las notas de resultados; BPA y DPA de FY2017-FY2021 divididos por 5 por el split de feb-2024. Proyectamos ingresos brutos (con subcontratas), los del XBRL; la guía y el consenso van en ingresos netos (≈85 % de los brutos), así que comparamos EBITDA y BPA, no ventas. El BPA publicado de FY2025 (0,93) lleva el litigio de Hunters Point (115 M) y el deterioro por USAID (92 M); la historia de PER usa el BPA ajustado de la empresa (solo quita no recurrentes, no la amortización de compras). Arrendamientos operativos (US GAAP) fuera de la deuda. Comparables con el PER adelantado de Stock Analysis (BPA ajustado). Sin múltiplo publicado de las compras de Halvik y Providence.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Tetra Tech, Inc. (TTEK)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(25,81 – 43,14)</c:v>
                </c:pt>
                <c:pt idx="1">
                  <c:v>Precio objetivo de los analistas (36,00 – 46,00)</c:v>
                </c:pt>
                <c:pt idx="2">
                  <c:v>Comparables: PER NTM (21,23 – 30,09)</c:v>
                </c:pt>
                <c:pt idx="3">
                  <c:v>Transacciones precedentes (EV/EBITDA) (30,45 – 37,66)</c:v>
                </c:pt>
                <c:pt idx="4">
                  <c:v>DCF (WACC y g ± 0,5) (26,18 – 34,76)</c:v>
                </c:pt>
                <c:pt idx="5">
                  <c:v>Escenarios (bajista – alcista) (20,33 – 33,57)</c:v>
                </c:pt>
                <c:pt idx="6">
                  <c:v>DCF con la prima implícita del mercado (4,2 %)</c:v>
                </c:pt>
                <c:pt idx="7">
                  <c:v>Precio actual (33,61)</c:v>
                </c:pt>
              </c:strCache>
            </c:strRef>
          </c:cat>
          <c:val>
            <c:numRef>
              <c:f>Hoja1!$B$2:$B$9</c:f>
              <c:numCache>
                <c:formatCode>#,##0.0</c:formatCode>
                <c:ptCount val="8"/>
                <c:pt idx="0">
                  <c:v>25.81</c:v>
                </c:pt>
                <c:pt idx="1">
                  <c:v>36</c:v>
                </c:pt>
                <c:pt idx="2">
                  <c:v>21.23</c:v>
                </c:pt>
                <c:pt idx="3">
                  <c:v>30.45</c:v>
                </c:pt>
                <c:pt idx="4">
                  <c:v>26.18</c:v>
                </c:pt>
                <c:pt idx="5">
                  <c:v>20.33</c:v>
                </c:pt>
                <c:pt idx="6">
                  <c:v>32.8</c:v>
                </c:pt>
                <c:pt idx="7">
                  <c:v>33.44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(25,81 – 43,14)</c:v>
                </c:pt>
                <c:pt idx="1">
                  <c:v>Precio objetivo de los analistas (36,00 – 46,00)</c:v>
                </c:pt>
                <c:pt idx="2">
                  <c:v>Comparables: PER NTM (21,23 – 30,09)</c:v>
                </c:pt>
                <c:pt idx="3">
                  <c:v>Transacciones precedentes (EV/EBITDA) (30,45 – 37,66)</c:v>
                </c:pt>
                <c:pt idx="4">
                  <c:v>DCF (WACC y g ± 0,5) (26,18 – 34,76)</c:v>
                </c:pt>
                <c:pt idx="5">
                  <c:v>Escenarios (bajista – alcista) (20,33 – 33,57)</c:v>
                </c:pt>
                <c:pt idx="6">
                  <c:v>DCF con la prima implícita del mercado (4,2 %)</c:v>
                </c:pt>
                <c:pt idx="7">
                  <c:v>Precio actual (33,61)</c:v>
                </c:pt>
              </c:strCache>
            </c:strRef>
          </c:cat>
          <c:val>
            <c:numRef>
              <c:f>Hoja1!$C$2:$C$9</c:f>
              <c:numCache>
                <c:formatCode>#,##0.0</c:formatCode>
                <c:ptCount val="8"/>
                <c:pt idx="0">
                  <c:v>17.330000000000002</c:v>
                </c:pt>
                <c:pt idx="1">
                  <c:v>10</c:v>
                </c:pt>
                <c:pt idx="2">
                  <c:v>8.86</c:v>
                </c:pt>
                <c:pt idx="3">
                  <c:v>7.209999999999997</c:v>
                </c:pt>
                <c:pt idx="4">
                  <c:v>8.579999999999998</c:v>
                </c:pt>
                <c:pt idx="5">
                  <c:v>13.240000000000002</c:v>
                </c:pt>
                <c:pt idx="6">
                  <c:v>6.920000000000002</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GSG (Government Services Group)</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2300.7</c:v>
                </c:pt>
                <c:pt idx="1">
                  <c:v>2624.2</c:v>
                </c:pt>
                <c:pt idx="2">
                  <c:v>2828.6</c:v>
                </c:pt>
              </c:numCache>
            </c:numRef>
          </c:val>
        </c:ser>
        <c:ser>
          <c:idx val="1"/>
          <c:order val="1"/>
          <c:tx>
            <c:strRef>
              <c:f>Hoja1!$C$1</c:f>
              <c:strCache>
                <c:ptCount val="1"/>
                <c:pt idx="0">
                  <c:v>CIG (Commercial/International Services Group)</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2292.7</c:v>
                </c:pt>
                <c:pt idx="1">
                  <c:v>2634.4</c:v>
                </c:pt>
                <c:pt idx="2">
                  <c:v>2680.2</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Hoja1!$A$2:$A$4</c:f>
              <c:strCache>
                <c:ptCount val="3"/>
                <c:pt idx="0">
                  <c:v>FY2023</c:v>
                </c:pt>
                <c:pt idx="1">
                  <c:v>FY2024</c:v>
                </c:pt>
                <c:pt idx="2">
                  <c:v>FY2025</c:v>
                </c:pt>
              </c:strCache>
            </c:strRef>
          </c:cat>
          <c:val>
            <c:numRef>
              <c:f>Hoja1!$D$2:$D$4</c:f>
              <c:numCache>
                <c:formatCode>#,##0</c:formatCode>
                <c:ptCount val="3"/>
                <c:pt idx="0">
                  <c:v>-70.8</c:v>
                </c:pt>
                <c:pt idx="1">
                  <c:v>-59.9</c:v>
                </c:pt>
                <c:pt idx="2">
                  <c:v>-66.2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GSG (Government Services Group)</c:v>
                </c:pt>
                <c:pt idx="1">
                  <c:v>CIG (Commercial/International Services Group)</c:v>
                </c:pt>
                <c:pt idx="2">
                  <c:v>Eliminaciones</c:v>
                </c:pt>
              </c:strCache>
            </c:strRef>
          </c:cat>
          <c:val>
            <c:numRef>
              <c:f>Hoja1!$B$2:$B$4</c:f>
              <c:numCache>
                <c:formatCode>General</c:formatCode>
                <c:ptCount val="3"/>
                <c:pt idx="0">
                  <c:v>52</c:v>
                </c:pt>
                <c:pt idx="1">
                  <c:v>49.2</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 Gobierno federal (incluye trabajos en el extranjero)</c:v>
                </c:pt>
                <c:pt idx="1">
                  <c:v>EE. UU.: estados y municipios</c:v>
                </c:pt>
                <c:pt idx="2">
                  <c:v>EE. UU.: clientes comerciales</c:v>
                </c:pt>
                <c:pt idx="3">
                  <c:v>Internacional (sobre todo Australia, Canadá y Reino Unido)</c:v>
                </c:pt>
              </c:strCache>
            </c:strRef>
          </c:cat>
          <c:val>
            <c:numRef>
              <c:f>Hoja1!$B$2:$B$5</c:f>
              <c:numCache>
                <c:formatCode>0"%"</c:formatCode>
                <c:ptCount val="4"/>
                <c:pt idx="0">
                  <c:v>31.6</c:v>
                </c:pt>
                <c:pt idx="1">
                  <c:v>14.5</c:v>
                </c:pt>
                <c:pt idx="2">
                  <c:v>16.5</c:v>
                </c:pt>
                <c:pt idx="3">
                  <c:v>37.4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diseño, ENR Top 500))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147800</c:v>
                </c:pt>
                <c:pt idx="1">
                  <c:v>158700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Tetra Tech</c:v>
                </c:pt>
                <c:pt idx="1">
                  <c:v>Jacobs Solutions</c:v>
                </c:pt>
                <c:pt idx="2">
                  <c:v>AECOM</c:v>
                </c:pt>
                <c:pt idx="3">
                  <c:v>WSP Global</c:v>
                </c:pt>
                <c:pt idx="4">
                  <c:v>Stantec</c:v>
                </c:pt>
                <c:pt idx="5">
                  <c:v>Arcadis</c:v>
                </c:pt>
                <c:pt idx="6">
                  <c:v>Sweco</c:v>
                </c:pt>
              </c:strCache>
            </c:strRef>
          </c:cat>
          <c:val>
            <c:numRef>
              <c:f>Hoja1!$B$2:$B$8</c:f>
              <c:numCache>
                <c:formatCode>0.0"%"</c:formatCode>
                <c:ptCount val="7"/>
                <c:pt idx="0">
                  <c:v>11.1</c:v>
                </c:pt>
                <c:pt idx="1">
                  <c:v>5.9</c:v>
                </c:pt>
                <c:pt idx="2">
                  <c:v>4.7</c:v>
                </c:pt>
                <c:pt idx="3">
                  <c:v>10.3</c:v>
                </c:pt>
                <c:pt idx="4">
                  <c:v>12.3</c:v>
                </c:pt>
                <c:pt idx="5">
                  <c:v>6.6</c:v>
                </c:pt>
                <c:pt idx="6">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strCache>
            </c:strRef>
          </c:cat>
          <c:val>
            <c:numRef>
              <c:f>Hoja1!$B$2:$B$17</c:f>
              <c:numCache>
                <c:formatCode>#,##0</c:formatCode>
                <c:ptCount val="16"/>
                <c:pt idx="0">
                  <c:v>2753.4</c:v>
                </c:pt>
                <c:pt idx="1">
                  <c:v>2964.1</c:v>
                </c:pt>
                <c:pt idx="2">
                  <c:v>3107.3</c:v>
                </c:pt>
                <c:pt idx="3">
                  <c:v>2994.9</c:v>
                </c:pt>
                <c:pt idx="4">
                  <c:v>3213.5</c:v>
                </c:pt>
                <c:pt idx="5">
                  <c:v>3504</c:v>
                </c:pt>
                <c:pt idx="6">
                  <c:v>4522.6</c:v>
                </c:pt>
                <c:pt idx="7">
                  <c:v>5198.7</c:v>
                </c:pt>
                <c:pt idx="8">
                  <c:v>5442.6</c:v>
                </c:pt>
                <c:pt idx="9">
                  <c:v>5073</c:v>
                </c:pt>
                <c:pt idx="10">
                  <c:v>5275</c:v>
                </c:pt>
                <c:pt idx="11">
                  <c:v>5539</c:v>
                </c:pt>
                <c:pt idx="12">
                  <c:v>5844</c:v>
                </c:pt>
                <c:pt idx="13">
                  <c:v>6136</c:v>
                </c:pt>
                <c:pt idx="14">
                  <c:v>6412</c:v>
                </c:pt>
                <c:pt idx="15">
                  <c:v>6669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strCache>
            </c:strRef>
          </c:cat>
          <c:val>
            <c:numRef>
              <c:f>Hoja1!$C$2:$C$17</c:f>
              <c:numCache>
                <c:formatCode>#,##0</c:formatCode>
                <c:ptCount val="16"/>
                <c:pt idx="0">
                  <c:v>236.9</c:v>
                </c:pt>
                <c:pt idx="1">
                  <c:v>254.89999999999998</c:v>
                </c:pt>
                <c:pt idx="2">
                  <c:v>269.2</c:v>
                </c:pt>
                <c:pt idx="3">
                  <c:v>267.8</c:v>
                </c:pt>
                <c:pt idx="4">
                  <c:v>299.2</c:v>
                </c:pt>
                <c:pt idx="5">
                  <c:v>361</c:v>
                </c:pt>
                <c:pt idx="6">
                  <c:v>481.1</c:v>
                </c:pt>
                <c:pt idx="7">
                  <c:v>584.1</c:v>
                </c:pt>
                <c:pt idx="8">
                  <c:v>661.7</c:v>
                </c:pt>
                <c:pt idx="9">
                  <c:v>654</c:v>
                </c:pt>
                <c:pt idx="10">
                  <c:v>691</c:v>
                </c:pt>
                <c:pt idx="11">
                  <c:v>742</c:v>
                </c:pt>
                <c:pt idx="12">
                  <c:v>795</c:v>
                </c:pt>
                <c:pt idx="13">
                  <c:v>847</c:v>
                </c:pt>
                <c:pt idx="14">
                  <c:v>898</c:v>
                </c:pt>
                <c:pt idx="15">
                  <c:v>934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12.8</c:v>
                </c:pt>
                <c:pt idx="1">
                  <c:v>13</c:v>
                </c:pt>
                <c:pt idx="2">
                  <c:v>13.1</c:v>
                </c:pt>
                <c:pt idx="3">
                  <c:v>14.9</c:v>
                </c:pt>
                <c:pt idx="4">
                  <c:v>15.5</c:v>
                </c:pt>
                <c:pt idx="5">
                  <c:v>16.4</c:v>
                </c:pt>
                <c:pt idx="6">
                  <c:v>16</c:v>
                </c:pt>
                <c:pt idx="7">
                  <c:v>16.7</c:v>
                </c:pt>
                <c:pt idx="8">
                  <c:v>17.7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8.6</c:v>
                </c:pt>
                <c:pt idx="1">
                  <c:v>8.6</c:v>
                </c:pt>
                <c:pt idx="2">
                  <c:v>8.7</c:v>
                </c:pt>
                <c:pt idx="3">
                  <c:v>8.9</c:v>
                </c:pt>
                <c:pt idx="4">
                  <c:v>9.3</c:v>
                </c:pt>
                <c:pt idx="5">
                  <c:v>10.3</c:v>
                </c:pt>
                <c:pt idx="6">
                  <c:v>10.6</c:v>
                </c:pt>
                <c:pt idx="7">
                  <c:v>11.2</c:v>
                </c:pt>
                <c:pt idx="8">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6.9</c:v>
                </c:pt>
                <c:pt idx="1">
                  <c:v>7.3</c:v>
                </c:pt>
                <c:pt idx="2">
                  <c:v>7.7</c:v>
                </c:pt>
                <c:pt idx="3">
                  <c:v>8.1</c:v>
                </c:pt>
                <c:pt idx="4">
                  <c:v>8.6</c:v>
                </c:pt>
                <c:pt idx="5">
                  <c:v>9.5</c:v>
                </c:pt>
                <c:pt idx="6">
                  <c:v>9.3</c:v>
                </c:pt>
                <c:pt idx="7">
                  <c:v>9.8</c:v>
                </c:pt>
                <c:pt idx="8">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4.3</c:v>
                </c:pt>
                <c:pt idx="1">
                  <c:v>4.6</c:v>
                </c:pt>
                <c:pt idx="2">
                  <c:v>5.1</c:v>
                </c:pt>
                <c:pt idx="3">
                  <c:v>5.8</c:v>
                </c:pt>
                <c:pt idx="4">
                  <c:v>7.2</c:v>
                </c:pt>
                <c:pt idx="5">
                  <c:v>7.5</c:v>
                </c:pt>
                <c:pt idx="6">
                  <c:v>6</c:v>
                </c:pt>
                <c:pt idx="7">
                  <c:v>6.4</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9</c:v>
                </c:pt>
                <c:pt idx="1">
                  <c:v>15.7</c:v>
                </c:pt>
                <c:pt idx="2">
                  <c:v>5.6</c:v>
                </c:pt>
                <c:pt idx="3">
                  <c:v>1.9</c:v>
                </c:pt>
                <c:pt idx="4">
                  <c:v>-3.2</c:v>
                </c:pt>
                <c:pt idx="5">
                  <c:v>-14.8</c:v>
                </c:pt>
                <c:pt idx="6">
                  <c:v>-7.7</c:v>
                </c:pt>
                <c:pt idx="7">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105</c:v>
                </c:pt>
                <c:pt idx="1">
                  <c:v>85</c:v>
                </c:pt>
                <c:pt idx="2">
                  <c:v>90</c:v>
                </c:pt>
                <c:pt idx="3">
                  <c:v>79</c:v>
                </c:pt>
                <c:pt idx="4">
                  <c:v>76</c:v>
                </c:pt>
                <c:pt idx="5">
                  <c:v>79</c:v>
                </c:pt>
                <c:pt idx="6">
                  <c:v>79</c:v>
                </c:pt>
                <c:pt idx="7">
                  <c:v>74</c:v>
                </c:pt>
                <c:pt idx="8">
                  <c:v>78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27</c:v>
                </c:pt>
                <c:pt idx="1">
                  <c:v>23</c:v>
                </c:pt>
                <c:pt idx="2">
                  <c:v>28</c:v>
                </c:pt>
                <c:pt idx="3">
                  <c:v>16</c:v>
                </c:pt>
                <c:pt idx="4">
                  <c:v>17</c:v>
                </c:pt>
                <c:pt idx="5">
                  <c:v>18</c:v>
                </c:pt>
                <c:pt idx="6">
                  <c:v>17</c:v>
                </c:pt>
                <c:pt idx="7">
                  <c:v>17</c:v>
                </c:pt>
                <c:pt idx="8">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131.8</c:v>
                </c:pt>
                <c:pt idx="1">
                  <c:v>176</c:v>
                </c:pt>
                <c:pt idx="2">
                  <c:v>192.3</c:v>
                </c:pt>
                <c:pt idx="3">
                  <c:v>249</c:v>
                </c:pt>
                <c:pt idx="4">
                  <c:v>293.09999999999997</c:v>
                </c:pt>
                <c:pt idx="5">
                  <c:v>321.29999999999995</c:v>
                </c:pt>
                <c:pt idx="6">
                  <c:v>336</c:v>
                </c:pt>
                <c:pt idx="7">
                  <c:v>334.09999999999997</c:v>
                </c:pt>
                <c:pt idx="8">
                  <c:v>431.29999999999995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117.9</c:v>
                </c:pt>
                <c:pt idx="1">
                  <c:v>136.9</c:v>
                </c:pt>
                <c:pt idx="2">
                  <c:v>158.7</c:v>
                </c:pt>
                <c:pt idx="3">
                  <c:v>173.9</c:v>
                </c:pt>
                <c:pt idx="4">
                  <c:v>232.8</c:v>
                </c:pt>
                <c:pt idx="5">
                  <c:v>263.1</c:v>
                </c:pt>
                <c:pt idx="6">
                  <c:v>273.4</c:v>
                </c:pt>
                <c:pt idx="7">
                  <c:v>333.4</c:v>
                </c:pt>
                <c:pt idx="8">
                  <c:v>247.7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12</c:v>
                </c:pt>
                <c:pt idx="1">
                  <c:v>15.5</c:v>
                </c:pt>
                <c:pt idx="2">
                  <c:v>19.4</c:v>
                </c:pt>
                <c:pt idx="3">
                  <c:v>16</c:v>
                </c:pt>
                <c:pt idx="4">
                  <c:v>19.6</c:v>
                </c:pt>
                <c:pt idx="5">
                  <c:v>19.9</c:v>
                </c:pt>
                <c:pt idx="6">
                  <c:v>16.9</c:v>
                </c:pt>
                <c:pt idx="7">
                  <c:v>16.1</c:v>
                </c:pt>
                <c:pt idx="8">
                  <c:v>16.5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9.6</c:v>
                </c:pt>
                <c:pt idx="1">
                  <c:v>9.6</c:v>
                </c:pt>
                <c:pt idx="2">
                  <c:v>9.6</c:v>
                </c:pt>
                <c:pt idx="3">
                  <c:v>9.6</c:v>
                </c:pt>
                <c:pt idx="4">
                  <c:v>9.6</c:v>
                </c:pt>
                <c:pt idx="5">
                  <c:v>9.6</c:v>
                </c:pt>
                <c:pt idx="6">
                  <c:v>9.6</c:v>
                </c:pt>
                <c:pt idx="7">
                  <c:v>9.6</c:v>
                </c:pt>
                <c:pt idx="8">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12.7</c:v>
                </c:pt>
                <c:pt idx="1">
                  <c:v>14.4</c:v>
                </c:pt>
                <c:pt idx="2">
                  <c:v>16.2</c:v>
                </c:pt>
                <c:pt idx="3">
                  <c:v>17.2</c:v>
                </c:pt>
                <c:pt idx="4">
                  <c:v>20.5</c:v>
                </c:pt>
                <c:pt idx="5">
                  <c:v>21.8</c:v>
                </c:pt>
                <c:pt idx="6">
                  <c:v>21.1</c:v>
                </c:pt>
                <c:pt idx="7">
                  <c:v>20.6</c:v>
                </c:pt>
                <c:pt idx="8">
                  <c:v>13.7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0.7</c:v>
                </c:pt>
                <c:pt idx="1">
                  <c:v>0.51</c:v>
                </c:pt>
                <c:pt idx="2">
                  <c:v>0.58</c:v>
                </c:pt>
                <c:pt idx="3">
                  <c:v>0.5</c:v>
                </c:pt>
                <c:pt idx="4">
                  <c:v>0.15</c:v>
                </c:pt>
                <c:pt idx="5">
                  <c:v>0.2</c:v>
                </c:pt>
                <c:pt idx="6">
                  <c:v>1.51</c:v>
                </c:pt>
                <c:pt idx="7">
                  <c:v>1.01</c:v>
                </c:pt>
                <c:pt idx="8">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2027</c:v>
                </c:pt>
                <c:pt idx="1">
                  <c:v>2028</c:v>
                </c:pt>
                <c:pt idx="2">
                  <c:v>2029</c:v>
                </c:pt>
                <c:pt idx="3">
                  <c:v>2030</c:v>
                </c:pt>
              </c:strCache>
            </c:strRef>
          </c:cat>
          <c:val>
            <c:numRef>
              <c:f>Hoja1!$B$2:$B$5</c:f>
              <c:numCache>
                <c:formatCode>#,##0</c:formatCode>
                <c:ptCount val="4"/>
                <c:pt idx="0">
                  <c:v>0</c:v>
                </c:pt>
                <c:pt idx="1">
                  <c:v>595</c:v>
                </c:pt>
                <c:pt idx="2">
                  <c:v>25</c:v>
                </c:pt>
                <c:pt idx="3">
                  <c:v>190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c:v>
                </c:pt>
                <c:pt idx="1">
                  <c:v>68.3</c:v>
                </c:pt>
                <c:pt idx="2">
                  <c:v>84.2</c:v>
                </c:pt>
                <c:pt idx="3">
                  <c:v>68.5</c:v>
                </c:pt>
                <c:pt idx="4">
                  <c:v>84.9</c:v>
                </c:pt>
                <c:pt idx="5">
                  <c:v>49.1</c:v>
                </c:pt>
                <c:pt idx="6">
                  <c:v>854.3</c:v>
                </c:pt>
                <c:pt idx="7">
                  <c:v>93.7</c:v>
                </c:pt>
                <c:pt idx="8">
                  <c:v>97.3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21.7</c:v>
                </c:pt>
                <c:pt idx="1">
                  <c:v>24.5</c:v>
                </c:pt>
                <c:pt idx="2">
                  <c:v>29.7</c:v>
                </c:pt>
                <c:pt idx="3">
                  <c:v>34.7</c:v>
                </c:pt>
                <c:pt idx="4">
                  <c:v>40</c:v>
                </c:pt>
                <c:pt idx="5">
                  <c:v>46.1</c:v>
                </c:pt>
                <c:pt idx="6">
                  <c:v>52.1</c:v>
                </c:pt>
                <c:pt idx="7">
                  <c:v>58.8</c:v>
                </c:pt>
                <c:pt idx="8">
                  <c:v>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100</c:v>
                </c:pt>
                <c:pt idx="1">
                  <c:v>75</c:v>
                </c:pt>
                <c:pt idx="2">
                  <c:v>100</c:v>
                </c:pt>
                <c:pt idx="3">
                  <c:v>117.2</c:v>
                </c:pt>
                <c:pt idx="4">
                  <c:v>60</c:v>
                </c:pt>
                <c:pt idx="5">
                  <c:v>200</c:v>
                </c:pt>
                <c:pt idx="6">
                  <c:v>0</c:v>
                </c:pt>
                <c:pt idx="7">
                  <c:v>0</c:v>
                </c:pt>
                <c:pt idx="8">
                  <c:v>250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(conjunto)</c:v>
                </c:pt>
              </c:strCache>
            </c:strRef>
          </c:cat>
          <c:val>
            <c:numRef>
              <c:f>Hoja1!$B$2:$B$4</c:f>
              <c:numCache>
                <c:formatCode>0.0"%"</c:formatCode>
                <c:ptCount val="3"/>
                <c:pt idx="0">
                  <c:v>10.1</c:v>
                </c:pt>
                <c:pt idx="1">
                  <c:v>9.7</c:v>
                </c:pt>
                <c:pt idx="2">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67.6</c:v>
                </c:pt>
                <c:pt idx="1">
                  <c:v>12.6</c:v>
                </c:pt>
                <c:pt idx="2">
                  <c:v>8.4</c:v>
                </c:pt>
                <c:pt idx="3">
                  <c:v>67.8</c:v>
                </c:pt>
                <c:pt idx="4">
                  <c:v>35.3</c:v>
                </c:pt>
                <c:pt idx="5">
                  <c:v>47.5</c:v>
                </c:pt>
                <c:pt idx="6">
                  <c:v>-14</c:v>
                </c:pt>
                <c:pt idx="7">
                  <c:v>15.7</c:v>
                </c:pt>
                <c:pt idx="8">
                  <c:v>20</c:v>
                </c:pt>
                <c:pt idx="9">
                  <c:v>-15.2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12.1</c:v>
                </c:pt>
                <c:pt idx="1">
                  <c:v>15.7</c:v>
                </c:pt>
                <c:pt idx="2">
                  <c:v>18.6</c:v>
                </c:pt>
                <c:pt idx="3">
                  <c:v>20.1</c:v>
                </c:pt>
                <c:pt idx="4">
                  <c:v>27.5</c:v>
                </c:pt>
                <c:pt idx="5">
                  <c:v>19.5</c:v>
                </c:pt>
                <c:pt idx="6">
                  <c:v>18.5</c:v>
                </c:pt>
                <c:pt idx="7">
                  <c:v>22.8</c:v>
                </c:pt>
                <c:pt idx="8">
                  <c:v>14.4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0.0"x"</c:formatCode>
                <c:ptCount val="9"/>
                <c:pt idx="0">
                  <c:v>18.6</c:v>
                </c:pt>
                <c:pt idx="1">
                  <c:v>18.6</c:v>
                </c:pt>
                <c:pt idx="2">
                  <c:v>18.6</c:v>
                </c:pt>
                <c:pt idx="3">
                  <c:v>18.6</c:v>
                </c:pt>
                <c:pt idx="4">
                  <c:v>18.6</c:v>
                </c:pt>
                <c:pt idx="5">
                  <c:v>18.6</c:v>
                </c:pt>
                <c:pt idx="6">
                  <c:v>18.6</c:v>
                </c:pt>
                <c:pt idx="7">
                  <c:v>18.6</c:v>
                </c:pt>
                <c:pt idx="8">
                  <c:v>18.6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Tetra Tech</c:v>
                </c:pt>
                <c:pt idx="1">
                  <c:v>Jacobs Solutions</c:v>
                </c:pt>
                <c:pt idx="2">
                  <c:v>AECOM</c:v>
                </c:pt>
                <c:pt idx="3">
                  <c:v>Stantec</c:v>
                </c:pt>
                <c:pt idx="4">
                  <c:v>WSP Global</c:v>
                </c:pt>
                <c:pt idx="5">
                  <c:v>Arcadis</c:v>
                </c:pt>
                <c:pt idx="6">
                  <c:v>Sweco</c:v>
                </c:pt>
                <c:pt idx="7">
                  <c:v>Exponent</c:v>
                </c:pt>
                <c:pt idx="8">
                  <c:v>ICF International</c:v>
                </c:pt>
              </c:strCache>
            </c:strRef>
          </c:cat>
          <c:val>
            <c:numRef>
              <c:f>Hoja1!$B$2:$B$10</c:f>
              <c:numCache>
                <c:formatCode>0.0"x"</c:formatCode>
                <c:ptCount val="9"/>
                <c:pt idx="0">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RPS Group (Reino Unido)</c:v>
                </c:pt>
                <c:pt idx="1">
                  <c:v>POWER Engineers (EE. UU.)</c:v>
                </c:pt>
                <c:pt idx="2">
                  <c:v>NV5 Global (EE. UU.)</c:v>
                </c:pt>
                <c:pt idx="3">
                  <c:v>Halvik y Providence</c:v>
                </c:pt>
              </c:strCache>
            </c:strRef>
          </c:cat>
          <c:val>
            <c:numRef>
              <c:f>Hoja1!$B$2:$B$5</c:f>
              <c:numCache>
                <c:formatCode>0.0"x"</c:formatCode>
                <c:ptCount val="4"/>
                <c:pt idx="0">
                  <c:v>16</c:v>
                </c:pt>
                <c:pt idx="1">
                  <c:v>15.2</c:v>
                </c:pt>
                <c:pt idx="2">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FY2026e</c:v>
                </c:pt>
                <c:pt idx="1">
                  <c:v>FY2027e</c:v>
                </c:pt>
                <c:pt idx="2">
                  <c:v>FY2028e</c:v>
                </c:pt>
                <c:pt idx="3">
                  <c:v>FY2029e</c:v>
                </c:pt>
                <c:pt idx="4">
                  <c:v>FY2030e</c:v>
                </c:pt>
                <c:pt idx="5">
                  <c:v>FY2031e</c:v>
                </c:pt>
                <c:pt idx="6">
                  <c:v>FY2032e</c:v>
                </c:pt>
              </c:strCache>
            </c:strRef>
          </c:cat>
          <c:val>
            <c:numRef>
              <c:f>Hoja1!$B$2:$B$8</c:f>
              <c:numCache>
                <c:formatCode>#,##0</c:formatCode>
                <c:ptCount val="7"/>
                <c:pt idx="0">
                  <c:v>559</c:v>
                </c:pt>
                <c:pt idx="1">
                  <c:v>469</c:v>
                </c:pt>
                <c:pt idx="2">
                  <c:v>497</c:v>
                </c:pt>
                <c:pt idx="3">
                  <c:v>526</c:v>
                </c:pt>
                <c:pt idx="4">
                  <c:v>562</c:v>
                </c:pt>
                <c:pt idx="5">
                  <c:v>596</c:v>
                </c:pt>
                <c:pt idx="6">
                  <c:v>623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2470</c:v>
                </c:pt>
                <c:pt idx="1">
                  <c:v>5675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20.33</c:v>
                </c:pt>
                <c:pt idx="1">
                  <c:v>29.82</c:v>
                </c:pt>
                <c:pt idx="2">
                  <c:v>33.57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(25,81 – 43,14)</c:v>
                </c:pt>
                <c:pt idx="1">
                  <c:v>Precio objetivo de los analistas (36,00 – 46,00)</c:v>
                </c:pt>
                <c:pt idx="2">
                  <c:v>Comparables: PER NTM (21,23 – 30,09)</c:v>
                </c:pt>
                <c:pt idx="3">
                  <c:v>Transacciones precedentes (EV/EBITDA) (30,45 – 37,66)</c:v>
                </c:pt>
                <c:pt idx="4">
                  <c:v>DCF (WACC y g ± 0,5) (26,18 – 34,76)</c:v>
                </c:pt>
                <c:pt idx="5">
                  <c:v>Escenarios (bajista – alcista) (20,33 – 33,57)</c:v>
                </c:pt>
                <c:pt idx="6">
                  <c:v>DCF con la prima implícita del mercado (4,2 %)</c:v>
                </c:pt>
                <c:pt idx="7">
                  <c:v>Precio actual (33,61)</c:v>
                </c:pt>
              </c:strCache>
            </c:strRef>
          </c:cat>
          <c:val>
            <c:numRef>
              <c:f>Hoja1!$B$2:$B$9</c:f>
              <c:numCache>
                <c:formatCode>#,##0.0</c:formatCode>
                <c:ptCount val="8"/>
                <c:pt idx="0">
                  <c:v>25.81</c:v>
                </c:pt>
                <c:pt idx="1">
                  <c:v>36</c:v>
                </c:pt>
                <c:pt idx="2">
                  <c:v>21.23</c:v>
                </c:pt>
                <c:pt idx="3">
                  <c:v>30.45</c:v>
                </c:pt>
                <c:pt idx="4">
                  <c:v>26.18</c:v>
                </c:pt>
                <c:pt idx="5">
                  <c:v>20.33</c:v>
                </c:pt>
                <c:pt idx="6">
                  <c:v>32.8</c:v>
                </c:pt>
                <c:pt idx="7">
                  <c:v>33.44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(25,81 – 43,14)</c:v>
                </c:pt>
                <c:pt idx="1">
                  <c:v>Precio objetivo de los analistas (36,00 – 46,00)</c:v>
                </c:pt>
                <c:pt idx="2">
                  <c:v>Comparables: PER NTM (21,23 – 30,09)</c:v>
                </c:pt>
                <c:pt idx="3">
                  <c:v>Transacciones precedentes (EV/EBITDA) (30,45 – 37,66)</c:v>
                </c:pt>
                <c:pt idx="4">
                  <c:v>DCF (WACC y g ± 0,5) (26,18 – 34,76)</c:v>
                </c:pt>
                <c:pt idx="5">
                  <c:v>Escenarios (bajista – alcista) (20,33 – 33,57)</c:v>
                </c:pt>
                <c:pt idx="6">
                  <c:v>DCF con la prima implícita del mercado (4,2 %)</c:v>
                </c:pt>
                <c:pt idx="7">
                  <c:v>Precio actual (33,61)</c:v>
                </c:pt>
              </c:strCache>
            </c:strRef>
          </c:cat>
          <c:val>
            <c:numRef>
              <c:f>Hoja1!$C$2:$C$9</c:f>
              <c:numCache>
                <c:formatCode>#,##0.0</c:formatCode>
                <c:ptCount val="8"/>
                <c:pt idx="0">
                  <c:v>17.330000000000002</c:v>
                </c:pt>
                <c:pt idx="1">
                  <c:v>10</c:v>
                </c:pt>
                <c:pt idx="2">
                  <c:v>8.86</c:v>
                </c:pt>
                <c:pt idx="3">
                  <c:v>7.209999999999997</c:v>
                </c:pt>
                <c:pt idx="4">
                  <c:v>8.579999999999998</c:v>
                </c:pt>
                <c:pt idx="5">
                  <c:v>13.240000000000002</c:v>
                </c:pt>
                <c:pt idx="6">
                  <c:v>6.920000000000002</c:v>
                </c:pt>
                <c:pt idx="7">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