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Kainos Group plc</w:t>
      </w:r>
    </w:p>
    <w:p>
      <w:pPr>
        <w:spacing w:after="60"/>
        <w:rPr>
          <w:color w:val="52514E"/>
          <w:sz w:val="22"/>
          <w:szCs w:val="22"/>
        </w:rPr>
      </w:pPr>
      <w:r>
        <w:rPr>
          <w:color w:val="52514E"/>
          <w:sz w:val="22"/>
          <w:szCs w:val="22"/>
        </w:rPr>
        <w:t xml:space="preserve">KNOS · Bolsa de Londres (LSE, segmento principal) · ISIN GB00BZ0D6727 · Tecnología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13,20 GBP (1.320,00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14,96 GBP (1.496,00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+15,6 % (base +28,2 %)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7,15 GBP (715,00 GBp) · mercado 8,29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1.535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18,5x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Kainos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KNOS / GB00BZ0D6727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Londres (LSE, segmento principal)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 Servicios de TI y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Belfast (Irlanda del Norte) · 1986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https://www.kainos.com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13,20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 – 13,24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1.535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1.486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 M GBP/día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14,96 GBP (1.496,00 GBp)</w:t>
      </w:r>
      <w:r>
        <w:t xml:space="preserve"> frente a 13,20 (1.320,00 GBp) · Rentabilidad a 12 meses </w:t>
      </w:r>
      <w:r>
        <w:rPr>
          <w:b/>
          <w:bCs/>
        </w:rPr>
        <w:t xml:space="preserve">+15,6 % (base +28,2 %)</w:t>
      </w:r>
      <w:r>
        <w:t xml:space="preserve"> · Valor intrínseco 7,15 GBP (715,00 GBp) · con la prima implícita del mercado: 8,29 (829,00 GBp) (-37,2 %) · Alcista / bajista -33,3 % / -64,4 %</w:t>
      </w:r>
    </w:p>
    <w:p>
      <w:pPr>
        <w:spacing w:after="100"/>
      </w:pPr>
      <w:r>
        <w:rPr>
          <w:b/>
        </w:rPr>
        <w:t xml:space="preserve">La recomendación y por qué.</w:t>
      </w:r>
      <w:r>
        <w:t xml:space="preserve"> Mantener, con convicción media. El objetivo a 12 meses es de 14,96 GBP (1.496 p) frente a un precio de 13,20 GBP (cierre del 21-oct-2026): +15,6 % ponderado con el dividendo y +28,2 % en el base, con un bajista de −41 % y un alcista de +47 % (asimetría de 1,03). La regla a 12 meses pasa sus dos umbrales, pero el valor intrínseco (7,15 GBP, un 46 % por debajo del precio) no llega, y sin valor real no hay Comprar. La convicción es media porque el resultado depende de que el mercado siga pagando por Kainos su PER histórico (27-29x) y no el del sector (11x); bajaría si el margen del 1S FY2027 (9-nov) sale por debajo del 15 %.</w:t>
      </w:r>
    </w:p>
    <w:p>
      <w:pPr>
        <w:spacing w:after="100"/>
      </w:pPr>
      <w:r>
        <w:rPr>
          <w:b/>
        </w:rPr>
        <w:t xml:space="preserve">El negocio.</w:t>
      </w:r>
      <w:r>
        <w:t xml:space="preserve"> Kainos hace servicios digitales para la Administración británica y el NHS (56 % de las ventas), implanta Workday (25 %) y vende su propio software de pruebas para clientes de Workday (19 %, margen bruto del 78 %) [2]. No tiene deuda, el circulante es negativo y el ROIC está muy por encima del WACC en cualquier medida (≈ 57 % sin el circulante negativo). El veredicto de sostenibilidad es «Sí»: el crecimiento proyectado (8,3 % medio, por debajo del 12,9 % histórico) casi no necesita capital y el primer año lo cubre la cartera de 433,9 M; el riesgo no es de capital sino de precio por hora.</w:t>
      </w:r>
    </w:p>
    <w:p>
      <w:pPr>
        <w:spacing w:after="100"/>
      </w:pPr>
      <w:r>
        <w:rPr>
          <w:b/>
        </w:rPr>
        <w:t xml:space="preserve">Finanzas.</w:t>
      </w:r>
      <w:r>
        <w:t xml:space="preserve"> Las ventas crecieron un 17 % en FY2026 (431,1 M) y los pedidos un 32 %, pero el margen EBITDA contable cayó del 18,0 % de FY2024 al 14,1 % por contratistas, subcontratas, Seguridad Social, la comisión a Workday y bonus [2]. La caja bajó de 133,7 a 89,1 M por 55,7 M de recompras.</w:t>
      </w:r>
    </w:p>
    <w:p>
      <w:pPr>
        <w:spacing w:after="100"/>
      </w:pPr>
      <w:r>
        <w:rPr>
          <w:b/>
        </w:rPr>
        <w:t xml:space="preserve">Equipo y gobierno.</w:t>
      </w:r>
      <w:r>
        <w:t xml:space="preserve"> Fundadores al mando (Mooney 9 %, McCann 3 %), remuneración modesta (443 miles de GBP el consejero delegado) y aprobada con el 98,6 % [1, 15]. La cónyuge del director financiero vendió 5,9 M GBP en julio a 7,79 GBP, antes del avance que disparó la acción [16]: una sola venta, sin señal de fraude, pero no es una compra de los de dentro.</w:t>
      </w:r>
    </w:p>
    <w:p>
      <w:pPr>
        <w:spacing w:after="100"/>
      </w:pPr>
      <w:r>
        <w:rPr>
          <w:b/>
        </w:rPr>
        <w:t xml:space="preserve">Valoración.</w:t>
      </w:r>
      <w:r>
        <w:t xml:space="preserve"> Nuestro BPA coincide con el consenso (0,598 GBP en FY2029e frente a 0,605). El DCF da 7,63 GBP con un WACC del 11,35 % (9,02 con la prima del mercado) y el DCF inverso dice que el precio exige un 16 % de crecimiento anual hasta FY2034e o un margen del 27,8 %. Los comparables (PER de 11,2x) dan 4,7-7,8 GBP. Solo el PER histórico de Kainos alcanza el precio: de ahí el +15,6 % a 12 meses frente a un valor real muy inferior.</w:t>
      </w:r>
    </w:p>
    <w:p>
      <w:pPr>
        <w:spacing w:after="100"/>
      </w:pPr>
      <w:r>
        <w:rPr>
          <w:b/>
        </w:rPr>
        <w:t xml:space="preserve">Riesgos y catalizadores.</w:t>
      </w:r>
      <w:r>
        <w:t xml:space="preserve"> La IA es el riesgo central: más del 80 % de las ventas son horas de desarrollo e implantación que la IA abarata (bajista del DCF −38 %). Después, Workday (44 % de las ventas entre servicios y producto) y el gasto público británico (53 % entre sector público y sanidad). El catalizador inmediato son los resultados del 9-nov-2026. La acción ha subido un 64 % en tres meses (avisos P1 y P2), con causa propia: el avance de agosto.</w:t>
      </w:r>
    </w:p>
    <w:p>
      <w:pPr>
        <w:spacing w:after="100"/>
      </w:pPr>
      <w:r>
        <w:rPr>
          <w:b/>
        </w:rPr>
        <w:t xml:space="preserve">Qué cambiaría la decisión.</w:t>
      </w:r>
      <w:r>
        <w:t xml:space="preserve"> Por debajo de 7,15 GBP (715 p) pasaría a Comprar (el valor intrínseco llegaría al precio); por encima de 16,95 GBP, Vender. Un margen EBITDA ajustado del 1S FY2027 por encima del 17 % con pedidos al alza subiría el valor real; pedidos de Digital Services planos o una retención de Products por debajo del 85 % bajarían el objetivo.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14,96 GBP (1.496,00 GBp)</w:t>
      </w:r>
      <w:r>
        <w:t xml:space="preserve"> (rentabilidad +15,6 % (base +28,2 %)) · Valor intrínseco: 7,15 GBP (715,00 GBp) (-45,8 % sobre 13,20) · con la prima implícita del mercado: 8,29 (829,00 GBp) (-37,2 %)</w:t>
      </w:r>
    </w:p>
    <w:p>
      <w:pPr>
        <w:spacing w:after="100"/>
      </w:pPr>
      <w:r>
        <w:t xml:space="preserve">Kainos es una consultora de Belfast con tres negocios: servicios digitales para la Administración británica y el NHS, implantación de Workday y un software propio de pruebas para clientes de Workday con 89 M de ingresos recurrentes. Sin deuda y con circulante negativo, convierte en caja casi todo su beneficio; vendió 431 M en FY2026 (+17 %) con pedidos récord (505 M) [2].</w:t>
      </w:r>
    </w:p>
    <w:p>
      <w:pPr>
        <w:spacing w:after="100"/>
      </w:pPr>
      <w:r>
        <w:t xml:space="preserve">El precio (13,20 GBP, ≈ 26x el BPA contable de los próximos 12 meses) descuenta, según el DCF inverso, un 16 % de crecimiento anual durante siete años o un margen EBITDA del 28 %: el doble de lo que ha hecho nunca salvo en la pandemia. Los comparables cotizan a 11x.</w:t>
      </w:r>
    </w:p>
    <w:p>
      <w:pPr>
        <w:spacing w:after="100"/>
      </w:pPr>
      <w:r>
        <w:t xml:space="preserve">Para invertir hay que creer que la IA será para Kainos una fuente de proyectos y de margen, no un recorte de horas, y que el mercado seguirá pagando el múltiplo de una empresa de crecimiento. Las cifras de FY2026 apoyan la demanda (pedidos +32 %), pero no el margen (14,1 %), y los ingresos de IA crecen menos que la división (+11 %). Pagamos el precio de la historia y no el del riesgo: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 GBP (1.496,00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0,46 = 7,47 · 27,8x × 0,60 = 16,62 · 29,2x × 0,66 = 19,13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 / 28,2 %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 (nuestro base +30,6 %)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GBP (715,00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0,0100 GBP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 GBP (1.320,00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 / -64,4 %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11,3 % y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 GBP (829,00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7,15 (715,00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7,15 y 16,95 (715,00 y 1.695,00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16,95 (1.695,00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7,15 GBP (715 p): Comprar (el valor intrínseco llegaría al precio con la ponderada por encima del 15 %).</w:t>
      </w:r>
    </w:p>
    <w:p>
      <w:pPr>
        <w:pStyle w:val="ListParagraph"/>
        <w:numPr>
          <w:ilvl w:val="0"/>
          <w:numId w:val="2"/>
        </w:numPr>
        <w:spacing w:after="60"/>
      </w:pPr>
      <w:r>
        <w:t xml:space="preserve">Precio por encima de 16,95 GBP: Vender.</w:t>
      </w:r>
    </w:p>
    <w:p>
      <w:pPr>
        <w:pStyle w:val="ListParagraph"/>
        <w:numPr>
          <w:ilvl w:val="0"/>
          <w:numId w:val="2"/>
        </w:numPr>
        <w:spacing w:after="60"/>
      </w:pPr>
      <w:r>
        <w:t xml:space="preserve">Margen EBITDA ajustado del 1S FY2027 por encima del 17 % con pedidos al alza: revisar el base al alza (margen terminal del 18 %).</w:t>
      </w:r>
    </w:p>
    <w:p>
      <w:pPr>
        <w:pStyle w:val="ListParagraph"/>
        <w:numPr>
          <w:ilvl w:val="0"/>
          <w:numId w:val="2"/>
        </w:numPr>
        <w:spacing w:after="60"/>
      </w:pPr>
      <w:r>
        <w:t xml:space="preserve">Pedidos de Digital Services planos dos semestres o precio por día a la baja en los marcos públicos: bajar el base al escenario bajista.</w:t>
      </w:r>
    </w:p>
    <w:p>
      <w:pPr>
        <w:pStyle w:val="ListParagraph"/>
        <w:numPr>
          <w:ilvl w:val="0"/>
          <w:numId w:val="2"/>
        </w:numPr>
        <w:spacing w:after="60"/>
      </w:pPr>
      <w:r>
        <w:t xml:space="preserve">Workday anuncia pruebas automatizadas nativas o la retención de Products cae por debajo del 85 %: revisar Products y el múltiplo.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Kainos vuelve a ser una empresa de crecimiento: +25 % en FY2027, BPA de 0,60 GBP en FY2029 y un múltiplo de 25-30x, como en 2018-2024, sostenido por la IA como fuente de proyectos.</w:t>
      </w:r>
    </w:p>
    <w:p>
      <w:pPr>
        <w:keepNext/>
        <w:spacing w:after="100"/>
      </w:pPr>
      <w:r>
        <w:rPr>
          <w:b/>
          <w:bCs/>
        </w:rPr>
        <w:t xml:space="preserve">Lo que creemos nosotros.</w:t>
      </w:r>
    </w:p>
    <w:p>
      <w:pPr>
        <w:spacing w:after="100"/>
      </w:pPr>
      <w:r>
        <w:t xml:space="preserve">Coincidimos en el beneficio de los próximos tres años (nuestro BPA está a un 1-2 % del consenso), pero no en lo que vale a largo plazo: con el coste de capital de una empresa de beta 1,1 y márgenes del 16 %, el valor está en 7-9 GBP.</w:t>
      </w:r>
    </w:p>
    <w:p>
      <w:pPr>
        <w:keepNext/>
        <w:spacing w:after="100"/>
      </w:pPr>
      <w:r>
        <w:rPr>
          <w:b/>
          <w:bCs/>
        </w:rPr>
        <w:t xml:space="preserve">Por qué podemos tener razón.</w:t>
      </w:r>
    </w:p>
    <w:p>
      <w:pPr>
        <w:spacing w:after="100"/>
      </w:pPr>
      <w:r>
        <w:t xml:space="preserve">La IA ataca directamente lo que Kainos factura (horas), el margen no se ha recuperado y el resto del sector cotiza a 11x precisamente por eso. El múltiplo histórico de Kainos se formó con crecimientos del 20-30 % y márgenes del 18-23 % que hoy no tiene.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13,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Demanda fuerte</w:t>
      </w:r>
      <w:r>
        <w:t xml:space="preserve">: pedidos +32 % (505,3 M) y cartera +18 % (433,9 M) en FY2026 [2].</w:t>
      </w:r>
    </w:p>
    <w:p>
      <w:pPr>
        <w:pStyle w:val="ListParagraph"/>
        <w:numPr>
          <w:ilvl w:val="0"/>
          <w:numId w:val="2"/>
        </w:numPr>
        <w:spacing w:after="60"/>
      </w:pPr>
      <w:r>
        <w:rPr>
          <w:b/>
        </w:rPr>
        <w:t xml:space="preserve">Producto propio de calidad</w:t>
      </w:r>
      <w:r>
        <w:t xml:space="preserve">: Workday Products con ARR de 89 M (+23 %) y margen bruto del 78 % [2].</w:t>
      </w:r>
    </w:p>
    <w:p>
      <w:pPr>
        <w:pStyle w:val="ListParagraph"/>
        <w:numPr>
          <w:ilvl w:val="0"/>
          <w:numId w:val="2"/>
        </w:numPr>
        <w:spacing w:after="60"/>
      </w:pPr>
      <w:r>
        <w:rPr>
          <w:b/>
        </w:rPr>
        <w:t xml:space="preserve">Balance sin deuda</w:t>
      </w:r>
      <w:r>
        <w:t xml:space="preserve">: 89,1 M de caja y circulante negativo; FCF de ≈ 48 M [1].</w:t>
      </w:r>
    </w:p>
    <w:p>
      <w:pPr>
        <w:pStyle w:val="ListParagraph"/>
        <w:numPr>
          <w:ilvl w:val="0"/>
          <w:numId w:val="2"/>
        </w:numPr>
        <w:spacing w:after="60"/>
      </w:pPr>
      <w:r>
        <w:rPr>
          <w:b/>
        </w:rPr>
        <w:t xml:space="preserve">Guía al alza</w:t>
      </w:r>
      <w:r>
        <w:t xml:space="preserve">: FY2027 «cómodamente por encima» de 509 M; consenso hoy en 541 M [9, 22].</w:t>
      </w:r>
    </w:p>
    <w:p>
      <w:pPr>
        <w:pStyle w:val="ListParagraph"/>
        <w:numPr>
          <w:ilvl w:val="0"/>
          <w:numId w:val="2"/>
        </w:numPr>
        <w:spacing w:after="60"/>
      </w:pPr>
      <w:r>
        <w:rPr>
          <w:b/>
        </w:rPr>
        <w:t xml:space="preserve">Equipo alineado</w:t>
      </w:r>
      <w:r>
        <w:t xml:space="preserve">: fundadores con ≈ 12 % entre el consejero delegado y el financiero [1].</w:t>
      </w:r>
    </w:p>
    <w:p>
      <w:pPr>
        <w:pStyle w:val="Heading2"/>
      </w:pPr>
      <w:r>
        <w:t xml:space="preserve">En contra</w:t>
      </w:r>
    </w:p>
    <w:p>
      <w:pPr>
        <w:pStyle w:val="ListParagraph"/>
        <w:numPr>
          <w:ilvl w:val="0"/>
          <w:numId w:val="2"/>
        </w:numPr>
        <w:spacing w:after="60"/>
      </w:pPr>
      <w:r>
        <w:rPr>
          <w:b/>
        </w:rPr>
        <w:t xml:space="preserve">Riesgo de IA central</w:t>
      </w:r>
      <w:r>
        <w:t xml:space="preserve">: más del 80 % de las ventas son horas de desarrollo e implantación [2].</w:t>
      </w:r>
    </w:p>
    <w:p>
      <w:pPr>
        <w:pStyle w:val="ListParagraph"/>
        <w:numPr>
          <w:ilvl w:val="0"/>
          <w:numId w:val="2"/>
        </w:numPr>
        <w:spacing w:after="60"/>
      </w:pPr>
      <w:r>
        <w:rPr>
          <w:b/>
        </w:rPr>
        <w:t xml:space="preserve">Márgenes a la baja</w:t>
      </w:r>
      <w:r>
        <w:t xml:space="preserve">: EBITDA contable del 14,1 % en FY2026 frente al 18,0 % en FY2024 [2].</w:t>
      </w:r>
    </w:p>
    <w:p>
      <w:pPr>
        <w:pStyle w:val="ListParagraph"/>
        <w:numPr>
          <w:ilvl w:val="0"/>
          <w:numId w:val="2"/>
        </w:numPr>
        <w:spacing w:after="60"/>
      </w:pPr>
      <w:r>
        <w:rPr>
          <w:b/>
        </w:rPr>
        <w:t xml:space="preserve">Valor real muy por debajo</w:t>
      </w:r>
      <w:r>
        <w:t xml:space="preserve">: valor intrínseco de 7,15 GBP, un 46 % menos que el precio.</w:t>
      </w:r>
    </w:p>
    <w:p>
      <w:pPr>
        <w:pStyle w:val="ListParagraph"/>
        <w:numPr>
          <w:ilvl w:val="0"/>
          <w:numId w:val="2"/>
        </w:numPr>
        <w:spacing w:after="60"/>
      </w:pPr>
      <w:r>
        <w:rPr>
          <w:b/>
        </w:rPr>
        <w:t xml:space="preserve">Múltiplo exigente</w:t>
      </w:r>
      <w:r>
        <w:t xml:space="preserve">: ≈ 26x el BPA contable frente a 11x del sector [23].</w:t>
      </w:r>
    </w:p>
    <w:p>
      <w:pPr>
        <w:pStyle w:val="ListParagraph"/>
        <w:numPr>
          <w:ilvl w:val="0"/>
          <w:numId w:val="2"/>
        </w:numPr>
        <w:spacing w:after="60"/>
      </w:pPr>
      <w:r>
        <w:rPr>
          <w:b/>
        </w:rPr>
        <w:t xml:space="preserve">Dependencias</w:t>
      </w:r>
      <w:r>
        <w:t xml:space="preserve">: Workday (44 % de las ventas) y el gasto público británico (53 %) [2].</w:t>
      </w:r>
    </w:p>
    <w:p>
      <w:pPr>
        <w:pStyle w:val="Heading2"/>
      </w:pPr>
      <w:r>
        <w:t xml:space="preserve">Qué tiene que pasar para que la tesis funcione</w:t>
      </w:r>
    </w:p>
    <w:p>
      <w:pPr>
        <w:spacing w:after="100"/>
      </w:pPr>
      <w:r>
        <w:t xml:space="preserve">La tesis depende de que la IA no reduzca el precio por hora más deprisa de lo que Kainos gana proyectos y de que el margen vuelva al 16 % contable al sustituir contratistas. La señal de que no se cumple: margen EBITDA ajustado del 1S FY2027 por debajo del 15 %, pedidos de Digital Services planos dos semestres o retención de Products por debajo del 85 %.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 (2S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recuperación de márgenes del base llega.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Digital Services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 M (+29 %)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semestres sin crecer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que la IA quita horas.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y retención de Workday Products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M; 90 %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Retención &lt; 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más margen y más expuesto a Workday.</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Contratistas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250 al cierre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sustitución es la palanca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IA y datos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 M (+11 %)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Crecimiento &lt; al de Digital Services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Dice si la IA suma más de lo que resta.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24,5x / 18,5x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37,6x / 26,1x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Kainos nace en 1986 en Belfast como empresa conjunta de ICL y de Queen's University Belfast (a través de Qubis, que aún tiene el 8,7 %). Brendan Mooney la dirige desde 2001 y la saca a bolsa en Londres en 2015. Crece con dos apuestas: los servicios digitales para la Administración británica (la «GOV.UK» de los trámites en línea) y Workday, de la que es socio desde 2011 y para la que desarrolla un producto propio de pruebas. La pandemia (servicios digitales del NHS) llevó la acción a un máximo en 2021; el frenazo de 2023-25 y una sucesión fallida en la dirección la hundieron un 71 %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Belfast como empresa conjunta de ICL y Queen's University Belfast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Brendan Mooney,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Kainos se hace socio de servicios de Workday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Londres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digitales de la pandemia para el NHS; ventas de 234,7 M en FY2021 con un margen EBITDA del 22,8 %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Russell Sloan sustituye a Mooney como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estratégico con Workday (julio; ≈ 7,8 M GBP al año de comisión) y vuelta de Mooney como consejero delegado (diciembre)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−4 % y reestructuración de 8,4 M con 190 despidos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Davis Pier en Canadá (sep-2025); Workday vende en exclusiva el «Pay Transparency Analyzer powered by Kainos»; pedidos +32 % y ventas +17 % en FY2026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Kainos es una consultora informática de Belfast con tres negocios: hace servicios digitales para la Administración británica y el NHS (Digital Services, 56 % de las ventas), implanta el software de RRHH y finanzas de Workday en grandes empresas y organismos (Workday Services, 25 %) y vende su propio software de pruebas y control para clientes de Workday (Workday Products, 19 %) [2].</w:t>
      </w:r>
    </w:p>
    <w:p>
      <w:pPr>
        <w:pStyle w:val="Heading2"/>
      </w:pPr>
      <w:r>
        <w:t xml:space="preserve">Cómo gana dinero</w:t>
      </w:r>
    </w:p>
    <w:p>
      <w:pPr>
        <w:spacing w:after="100"/>
      </w:pPr>
      <w:r>
        <w:t xml:space="preserve">Factura sobre todo por horas y por proyecto (tiempo y materiales o precio fijo) con un margen bruto del 36 % en Digital Services y del 46 % en Workday Services, y cobra suscripciones de software con un margen bruto del 78 % en Workday Products. Products da el 19 % de las ventas pero el 26 % de la contribución de las divisiones (23,6 de 92,0 M en FY2026) [2].</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Workday Products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Workday Products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Por sector, el 35 % de los ingresos es sector público, el 18 % sanidad (casi todo NHS) y el 47 % sector comercial (sobre todo clientes de Workday); el 86 % de los ingresos viene de clientes existentes. Por región, Reino Unido e Irlanda el 59 %, Norteamérica el 32 % y Europa central el 8 % [2]. La empresa no publica el peso de su mayor cliente.</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(bookings)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382,4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505,3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Digital Services 261,3 M (+29 %) con contratos grandes del Home Office, Transporte, DVSA y NHS England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contratada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 año de ventas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Workday Products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ingresos del 90 % (93 % en FY2025); 696 clientes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y contratistas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Contratistas de 69 a 259: capacidad cara que la empresa quiere sustituir por empleados en FY2027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NPS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descenso relevante; coincide con el uso de contratistas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IA y datos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 de Digital Services (21 % en FY2025): crecen menos que la división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servicios de TI (desarrollo de servicios digitales a medida e implantación de software empresarial) para la Administración y la sanidad británicas, y el ecosistema de socios de Workday (implantación y software complementario) en Europa y Norteamérica.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 sector público británico gasta más de 26.000 M GBP al año en tecnología, de los que ≈ 14.500 M van a contratistas, gestores de servicios externos y consultores [11]. Workday facturó 9.552 M USD en su ejercicio FY2026 (+13 %), con 8.833 M de suscripciones (+14,5 %) y guía de +12-13 % para FY2027 [12]; el gasto de servicios de implantación del ecosistema no se publica.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Modernización de sistemas heredados de la Administración y del NHS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Gobierno reconoce que el 28 % de sus sistemas centrales son heredados y que la tecnología pública está por detrás de la privada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 público británico (revisiones de gasto, elecciones)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años</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de 2024 antes de las elecciones bajó las ventas de Digital Services; la revisión de gasto de 2025 priorizó la productividad digital [2,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Workday</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 años</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+14,5 % en FY2026 y guía de +12-13 %; menos clientes nuevos grandes y más ampliaciones (planificación, finanzas)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en el desarrollo de software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años</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Abarata el desarrollo por horas (resta) y abre proyectos de IA y datos (suma: 45,8 M en FY2026, +11 %)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laboral británico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años</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subida de la Seguridad Social de abril de 2025 costó 3,0 M a Kainos en FY2026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competidores (grandes integradores, consultoras, pymes del marco Digital Outcomes) y contratos que se licitan.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Administración compra por concurso con marcos de precio; Workday decide qué socios recomienda.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es el talento técnico y Workday, que cobra una comisión a sus socios (≈ 7,8 M en FY2026)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y las herramientas de bajo código reducen las horas de desarrollo; Workday puede llevar funciones de pruebas a su producto.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entrantes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Hacen falta acreditaciones de seguridad y referencias públicas; en Workday, certificación de socio.</w:t>
            </w:r>
          </w:p>
        </w:tc>
      </w:tr>
    </w:tbl>
    <w:p>
      <w:pPr>
        <w:spacing w:after="160" w:before="0"/>
      </w:pPr>
    </w:p>
    <w:p>
      <w:pPr>
        <w:pStyle w:val="Heading2"/>
      </w:pPr>
      <w:r>
        <w:t xml:space="preserve">Ciclo</w:t>
      </w:r>
    </w:p>
    <w:p>
      <w:pPr>
        <w:spacing w:after="100"/>
      </w:pPr>
      <w:r>
        <w:t xml:space="preserve">Tras el bache de 2024-25, el gasto digital público británico y la demanda de Workday se han recuperado: pedidos +32 % en FY2026 y avance de agosto por encima del consenso [2, 14].</w:t>
      </w:r>
    </w:p>
    <w:p>
      <w:pPr>
        <w:pStyle w:val="Heading2"/>
      </w:pPr>
      <w:r>
        <w:t xml:space="preserve">Regulación</w:t>
      </w:r>
    </w:p>
    <w:p>
      <w:pPr>
        <w:spacing w:after="100"/>
      </w:pPr>
      <w:r>
        <w:t xml:space="preserve">Contratación pública británica (Procurement Act 2023, en vigor desde feb-2025), acreditaciones de seguridad de la Administración y del NHS; marco de IA responsable del Gobierno.</w:t>
      </w:r>
    </w:p>
    <w:p>
      <w:pPr>
        <w:pStyle w:val="Heading2"/>
      </w:pPr>
      <w:r>
        <w:t xml:space="preserve">Tendencias y disrupción</w:t>
      </w:r>
    </w:p>
    <w:p>
      <w:pPr>
        <w:spacing w:after="100"/>
      </w:pPr>
      <w:r>
        <w:t xml:space="preserve">La Administración británica quiere menos dependencia de los grandes integradores y más proveedores medianos; la IA entra en casi todos los proyectos. En Workday, el cliente pide más automatización y pruebas, que es el nicho de Workday Products.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mayores proveedores medianos de servicios digitales a la Administración británica (7.º proveedor de IA al sector público desde 2018, con 66 M en contratos adjudicados) y uno de los mayores socios de Workday del mundo, con el producto de pruebas automatizadas líder del ecosistema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Accenture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socio de Workday del mundo y gran proveedor del Gobierno británico; EV/EBITDA 10,7x y PER 16,3x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CAP.PA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proveedor del sector público británico (HMRC, DWP); PER 9,0x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CGI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GIB</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Integrador de Administración en Reino Unido y Canadá, donde Kainos crece; PER 11,4x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Sopra Steria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SOP.PA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de servicios compartidos del Gobierno británico y del NHS; PER 9,1x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TPXimpact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TPX.L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Consultora digital de sector público, mucho más pequeña; compite en los mismos contratos del marco Digital Outcomes [2].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Deloitte, PwC e IBM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Grandes socios de implantación de Workday; no cotizan o el negocio es una parte pequeña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de usuarios; las referencias públicas ayudan a ganar contratos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86 % de los ingresos viene de clientes existentes; los sistemas públicos que construye Kainos los mantiene Kainos; Smart está integrado en el ciclo de actualizaciones de Workday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Reputación en la Administración y en Workday (NPS 61); acreditaciones de seguridad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Plantilla en Belfast, Polonia y otros centros más baratos que Londres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nicho de pruebas para Workday hay pocos competidores (Tricentis, Opkey) y Kainos tiene ≈ 700 clientes [1].</w:t>
            </w:r>
          </w:p>
        </w:tc>
      </w:tr>
    </w:tbl>
    <w:p>
      <w:pPr>
        <w:spacing w:after="160" w:before="0"/>
      </w:pPr>
    </w:p>
    <w:p>
      <w:pPr>
        <w:pStyle w:val="Heading2"/>
      </w:pPr>
      <w:r>
        <w:t xml:space="preserve">Amenazas</w:t>
      </w:r>
    </w:p>
    <w:p>
      <w:pPr>
        <w:spacing w:after="100"/>
      </w:pPr>
      <w:r>
        <w:t xml:space="preserve">Lo que más puede erosionar el foso es la IA generativa, que reduce las horas de desarrollo que Kainos factura y facilita que el cliente o Workday hagan en casa lo que hoy hace Kainos (pruebas, integraciones). Después, la dependencia del presupuesto británico y de la relación con Workday.</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FY2021-FY2026: ingresos </w:t>
      </w:r>
      <w:r>
        <w:rPr>
          <w:b/>
          <w:bCs/>
        </w:rPr>
        <w:t xml:space="preserve">12,9 %</w:t>
      </w:r>
      <w:r>
        <w:t xml:space="preserve">, EBITDA </w:t>
      </w:r>
      <w:r>
        <w:rPr>
          <w:b/>
          <w:bCs/>
        </w:rPr>
        <w:t xml:space="preserve">2,6 %</w:t>
      </w:r>
      <w:r>
        <w:t xml:space="preserve">, BPA </w:t>
      </w:r>
      <w:r>
        <w:rPr>
          <w:b/>
          <w:bCs/>
        </w:rPr>
        <w:t xml:space="preserve">1,8 %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234,7 M GBP en FY2021 a 431,1 M en FY2026 (TCAC 12,9 %), pero con un bache: tras el pico de FY2024 (382,4 M) cayeron en FY2025 (367,2 M, −4 %) por el frenazo del gasto público británico antes de las elecciones y la menor demanda de implantaciones de Workday, y volvieron a crecer un 17 % en FY2026 (Digital Services +23 %, 20 % orgánico) [2, 3]. El margen EBITDA contable (EBIT + toda la amortización, incluida la de derechos de uso) ha bajado de un 22,8 % en FY2021 (año de covid, con la demanda del NHS) y un 18,0 % en FY2024 a un 13,1 % en FY2025 y un 14,1 % en FY2026 [2, 7]. La caída de FY2026 con más ventas tiene causas concretas: contratistas y subcontratas para dar capacidad (+14,0 M y +15,4 M frente a FY2025), comisión a Workday por el acuerdo de socio (+2,3 M), subida de la Seguridad Social británica (+3,0 M) y bonus más altos (+11,5 M) [2]. No recurrentes: reestructuración de 8,4 M en FY2025 (190 despidos; 6,2 M tras impuestos) y plusvalías de ≈ 2,15 M en FY2024 (venta de inmovilizado y revalorización del inmueble de inversión) [3, 6]. El DPA de FY2021 incluye un extraordinario de 6,7 p.</w:t>
      </w:r>
    </w:p>
    <w:p>
      <w:pPr>
        <w:pStyle w:val="Heading2"/>
      </w:pPr>
      <w:r>
        <w:t xml:space="preserve">Ajustes y partidas no recurrentes</w:t>
      </w:r>
    </w:p>
    <w:p>
      <w:pPr>
        <w:spacing w:after="100"/>
      </w:pPr>
      <w:r>
        <w:t xml:space="preserve">La empresa publica un BAI ajustado (67,1 M en FY2026) que excluye la remuneración en acciones (5,4 M), la remuneración ligada a compras (2,1 M), la amortización de intangibles comprados (1,3 M) y los costes de compras (0,1 M); su BPA ajustado diluido fue de 41,1 p frente a 35,1 p contable [2]. En este informe se usa el resultado CONTABLE: la remuneración en acciones es un coste recurrente (≈ 1,2 % de las ventas) y se trata como gasto.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Kainos publica por semestres (1S = abr-sep; 2S = oct-mar, calculado como el año menos el semestre). EBITDA AJUSTADO de la empresa (sin remuneración en acciones ni costes de compras); BPA contable diluido. El 2S FY2025 lleva la reestructuración de 8,4 M en el BPA. Avance del 1S FY2027 (18-ago-2026): ingresos y beneficio del año «cómodamente por encima» del consenso de entonces (509 M de ventas y 77 M de BAI ajustado); resultados del semestre el 9-nov-2026 [2, 4, 5,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Davis Pier (consultora canadiense de sector público), consolidada desde sep-2025: 7,9 M en caja + 3,8 M en acciones; 4,6 M de ingresos en seis meses (≈ 1 % del grupo).; FY2024: RapidIT y Cloudbera (servicios Workday), compradas en jun-2023 por 22,9 M netos de caja.).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Balance muy sólido y de poco capital: fondo de comercio de 44,3 M (compras de 2022-2025), intangibles de 8,9 M e inmovilizado de 13,1 M (más 3,9 M de un inmueble de inversión), frente a un patrimonio de 100,4 M. El circulante comercial (clientes 55,7 + devengados 39,5 − proveedores y otros 76,5 − diferidos 60,8) es negativo: −42,1 M, un −9,8 % de las ventas. La caja bajó de 133,7 a 89,1 M en FY2026 por las recompras (55,7 M), el dividendo (34,6 M), Davis Pier (7,9 M) y la nueva sede de Belfast (≈ 5,9 M) [1, 2]. La «caja neta» de la empresa incluye los depósitos a plazo y no resta los arrendamientos.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FY2021-FY2026: FCF </w:t>
      </w:r>
      <w:r>
        <w:rPr>
          <w:b/>
          <w:bCs/>
        </w:rPr>
        <w:t xml:space="preserve">317</w:t>
      </w:r>
      <w:r>
        <w:t xml:space="preserve">, conversión </w:t>
      </w:r>
      <w:r>
        <w:rPr>
          <w:b/>
          <w:bCs/>
        </w:rPr>
        <w:t xml:space="preserve">130 %</w:t>
      </w:r>
      <w:r>
        <w:t xml:space="preserve"> del beneficio neto; adquisiciones 48, dividendos 172, recompras 78.</w:t>
      </w:r>
    </w:p>
    <w:p>
      <w:pPr>
        <w:spacing w:after="100"/>
      </w:pPr>
      <w:r>
        <w:t xml:space="preserve">El flujo operativo (57,7 M en FY2026) es estable entre 45 y 69 M desde FY2021; la conversión en caja del beneficio operativo ajustado fue del 99 % (112 % en FY2025). El capex es pequeño (8,0 M en FY2026, inflado por la sede de Belfast; 1,5-5,8 M antes) y no hay I+D capitalizada (18,7 M de I+D, todo a gasto). Intereses cobrados de la caja (3,5 M) en inversión; intereses pagados de arrendamientos en financiación. Desinversiones: 6,2 M en FY2025 por la venta del inmueble de inversión [1, 2, 3]. El flujo libre (operativo − capex − arrendamientos) fue de ≈ 48,5 M en FY2026: con dividendos de 34,6 M y recompras de 55,7 M, la empresa devolvió más de lo que generó y gastó caja.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(FY2026)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y sencillas: sin deuda, sin capitalización de I+D, con ingresos reconocidos por avance en contratos de precio fijo (la parte con más juicio) y suscripciones de software. La diferencia entre BPA ajustado y contable es moderada (41,1 frente a 35,1 p) y se debe sobre todo a la remuneración en acciones [1,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frente a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6,0 p (17 %) en FY2026: remuneración en acciones 5,4 M, remuneración ligada a compras 2,1 M, amortización de intangibles comprados 1,3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devengados (activos de contrato)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Subieron de 22,7 a 39,5 M en FY2026 (del 6 al 9 % de las ventas) con los contratos grandes de sector público y sanidad; es reconocimiento por avance aún sin facturar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en caja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operativo/EBITDA ajustado del 84 % en FY2026 y por encima del 100 % en FY2025; los diferidos (60,8 M) siguen subiendo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Reestructuración no recurrente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una en seis años (8,4 M en FY2025, 190 despidos); no se repitió en FY2026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44 M en FY2026 (el 299 % del capital invertido medio); ha subido más de un 5 % en 3 de 5 años: comprador en serie.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0,0 % · </w:t>
      </w:r>
      <w:r>
        <w:rPr>
          <w:b/>
          <w:bCs/>
        </w:rPr>
        <w:t xml:space="preserve">WACC</w:t>
      </w:r>
      <w:r>
        <w:t xml:space="preserve">: 11,3 %.</w:t>
      </w:r>
    </w:p>
    <w:p>
      <w:pPr>
        <w:spacing w:after="100"/>
      </w:pPr>
      <w:r>
        <w:t xml:space="preserve">Kainos es un negocio de muy poco capital: no tiene deuda, el circulante comercial es negativo (−42,1 M, por los cobros anticipados de suscripciones y proyectos) y el capex es del 1-2 % de las ventas. Por eso el ROIC del motor (293,7 % en FY2026; 142-385 % desde FY2021) no es informativo: el capital invertido neto de caja es de solo 14 M. Con el capital operativo con fondo de comercio el ROIC es del ≈ 143 %, y sin contar el circulante negativo, del ≈ 57 % [1]. El ROE es del 35,7 % con un patrimonio reducido por las recompras. Lo que sí importa es el margen: el NOPAT pasó de 44 M en FY2024 a 37 M en FY2025 y 40 M en FY2026 con un 13 % más de ventas, porque el margen EBITDA contable cayó del 18,0 % al 14,1 % (contratistas, Seguridad Social, comisión de Workday y bonus) [2]. La calidad pasa con mucha holgura (ROIC − WACC muy por encima de 5 puntos en cualquier medida); el riesgo no está en el capital sino en el precio por hora que puede cobrar.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Caja y depósitos a plazo de 89,1 M GBP a 31-mar-2026 (82,8 M de caja + 6,2 M de depósitos), tras devolver 55,7 M en recompras y pagar 34,6 M de dividendos en el año. Después del cierre: recompra de 11,6 M (programa terminado el 15-may-2026) y dividendo final de 19,8 p (≈ 23,0 M, ex-dividendo el 1-oct, se paga el 23-oct-2026)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calificación crediticia (no tiene deuda).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Arrendamientos (NIIF 16) de 6,1 M. Ingresos diferidos (cobros anticipados de clientes, sobre todo suscripciones de Workday Products) de 60,8 M, frente a 39,5 M de ingresos devengados pendientes de facturar: el circulante comercial es negativo y financia parte de la caja [1, 2].</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crecimiento orgánico, dividendo progresivo (≈ 2,5 veces de cobertura del BPA ajustado), compras pequeñas que encajen y, si sobra caja, devoluciones extraordinarias. Tres programas de recompra entre nov-2024 y may-2026 (90 M GBP en total); el consejo no tiene planes de lanzar otro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Cloudator, Une y Blackline Group (servicios Workday en Europa y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Ampliaron Workday Services en Alemania y EE. UU.; Blackline salió después del negocio de procurement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Planalyse (planificación Workday Adaptive)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base de la práctica de planificación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RapidIT y Cloudbera (servicios Workday en EE. UU. y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Workday Services, cuyos ingresos cayeron en FY2025 [3,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Davis Pier (consultora canadiense de sector público)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(7,9 M) y acciones (3,8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M de ingresos en seis meses; base de Digital Services en Norteamérica (+127 % en FY2026) [2].</w:t>
            </w:r>
          </w:p>
        </w:tc>
      </w:tr>
    </w:tbl>
    <w:p>
      <w:pPr>
        <w:spacing w:after="160" w:before="0"/>
      </w:pPr>
    </w:p>
    <w:p>
      <w:pPr>
        <w:spacing w:after="100"/>
      </w:pPr>
      <w:r>
        <w:t xml:space="preserve">La asignación de capital es prudente: compras pequeñas y recompras con caja sobrante. Pero las recompras de FY2025-26 (≈ 90 M a 7-9 GBP) dejaron la caja en el mínimo de cinco años justo cuando el negocio necesitaba capacidad (contratistas, sede de Belfast)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Brendan Mooney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2001 a 2023, cuando dejó el cargo a Russell Sloan; volvió el 11-dic-2024 tras la salida de Sloan. Tiene 10,7 M de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McCann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2011 y también de operaciones desde 2023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Rosaleen Blair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del consejo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2021 y presidenta desde el 24-sep-2024; fundó Alexander Mann Solutions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ventas de dos dígitos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 (374,8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línea con el consenso (≈ 400 M) en el avance de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382,4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Rebajada en dos avances (oct-2024 y ene-2025) por el frenazo público y de Workday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367,2 M (−4 %)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BAI ajustado en línea; luego ventas por encima del consenso (406,5 M) y BAI en línea (66,4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431,1 M y 67,1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«Cómodamente por encima» del consenso de 509 M de ventas y 77 M de BAI ajustado (18-ago-2026)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(1S el 9-nov-2026)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Pendiente</w:t>
            </w:r>
          </w:p>
        </w:tc>
      </w:tr>
    </w:tbl>
    <w:p>
      <w:pPr>
        <w:spacing w:after="160" w:before="0"/>
      </w:pPr>
    </w:p>
    <w:p>
      <w:pPr>
        <w:spacing w:after="100"/>
      </w:pPr>
      <w:r>
        <w:t xml:space="preserve">Equipo fundador muy alineado (Mooney tiene el 9 % y McCann el 3 %), con una etapa fallida de sucesión (Russell Sloan, 2023-24) que terminó con la vuelta de Mooney. La guía se incumplió en FY2024-25, cuando el mercado se frenó, y se ha cumplido o superado desde FY2026 [1, 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Rosaleen Blair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Brendan Mooney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McCann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de operaciones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Kidd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Shruthi Chindalur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(presidenta en funciones)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(FY2026)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5,93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Brendan Mooney (consejero delegado)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Qubis Ltd (Queen's University Belfast)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9,34 % a 8,67 % (3-sep-2026)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Gannon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Liontrust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5 % (11-mar-2026)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6,36 % a 4,50 % (5-oct-2026)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Gannon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Richard McCann (director financiero)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la venta de su cónyuge del 1-jul-2026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Kerry McCann (cónyuge del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760.911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 (plan SAYE)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McCann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Ejercicio de opciones (PSP)</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Brendan Mooney y Richard McCann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Concesión de acciones (PSP)</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Brendan Mooney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Ejercicio de opciones (PSP)</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McCann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Transferencia a su cónyuge</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443 miles de GBP en FY2026 (fijo 239, bonus 191, largo plazo 11), muy por debajo del mercado: Mooney es accionista fundador. El director financiero cobró 518 miles. Bonus por ingresos (30 %), BAI ajustado (40 %) y pedidos (30 %), con un máximo del 150 % del salario; plan de acciones (PSP) por crecimiento del BPA (50 %), rentabilidad frente al techMARK (30 %) y objetivos ESG (20 %), con malus y clawback no usados. La junta del 22-sep-2026 aprobó el informe con el 98,6 % [1, 15].</w:t>
      </w:r>
    </w:p>
    <w:p>
      <w:pPr>
        <w:pStyle w:val="Heading2"/>
      </w:pPr>
      <w:r>
        <w:t xml:space="preserve">Operaciones vinculadas, estructura de control y defensas</w:t>
      </w:r>
    </w:p>
    <w:p>
      <w:pPr>
        <w:spacing w:after="100"/>
      </w:pPr>
      <w:r>
        <w:t xml:space="preserve">Sin accionista de control: los fundadores y directivos (Mooney, los Gannon, McCann) y Qubis suman ≈ 30 %. Una acción, un voto; sin blindajes [1].</w:t>
      </w:r>
    </w:p>
    <w:p>
      <w:pPr>
        <w:pStyle w:val="Heading2"/>
      </w:pPr>
      <w:r>
        <w:t xml:space="preserve">Señales de alerta</w:t>
      </w:r>
    </w:p>
    <w:p>
      <w:pPr>
        <w:pStyle w:val="ListParagraph"/>
        <w:numPr>
          <w:ilvl w:val="0"/>
          <w:numId w:val="2"/>
        </w:numPr>
        <w:spacing w:after="60"/>
      </w:pPr>
      <w:r>
        <w:t xml:space="preserve">Venta de 760.911 acciones (≈ 5,9 M GBP a 7,79 GBP) de la cónyuge del director financiero el 1-jul-2026, siete semanas antes del avance que subió la acción casi un 20 % [16].</w:t>
      </w:r>
    </w:p>
    <w:p>
      <w:pPr>
        <w:pStyle w:val="ListParagraph"/>
        <w:numPr>
          <w:ilvl w:val="0"/>
          <w:numId w:val="2"/>
        </w:numPr>
        <w:spacing w:after="60"/>
      </w:pPr>
      <w:r>
        <w:t xml:space="preserve">Qubis y Baillie Gifford reducen participación en sep-oct 2026, tras la subida [18].</w:t>
      </w:r>
    </w:p>
    <w:p>
      <w:pPr>
        <w:pStyle w:val="ListParagraph"/>
        <w:numPr>
          <w:ilvl w:val="0"/>
          <w:numId w:val="2"/>
        </w:numPr>
        <w:spacing w:after="60"/>
      </w:pPr>
      <w:r>
        <w:t xml:space="preserve">Dos cambios en la cúpula en 24 meses: vuelta de Mooney como consejero delegado (dic-2024) y nueva presidenta (sep-2024); salida de Katie Davis del consejo en la junta de 2026 [1, 19].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Avance del 18-ago-2026: ingresos y beneficio de FY2027 (a 31-mar-2027) «cómodamente por encima» del consenso de entonces (509,3 M de ventas y 77,1 M de BAI ajustado); mejora de margen en el 2S cuando se sustituyan contratistas. Resultados del 1S el 9-nov-2026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 analistas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10,65 – 15,00</w:t>
            </w:r>
          </w:p>
        </w:tc>
      </w:tr>
    </w:tbl>
    <w:p>
      <w:pPr>
        <w:spacing w:after="160" w:before="0"/>
      </w:pPr>
    </w:p>
    <w:p>
      <w:pPr>
        <w:pStyle w:val="Heading2"/>
      </w:pPr>
      <w:r>
        <w:t xml:space="preserve">Revisiones de estimaciones</w:t>
      </w:r>
    </w:p>
    <w:p>
      <w:pPr>
        <w:spacing w:after="100"/>
      </w:pPr>
      <w:r>
        <w:t xml:space="preserve">El BPA ajustado de FY2027 de Yahoo subió de 0.48425 GBP hace 90 días a 0,525 tras el avance de agosto; Berenberg subió su objetivo de 1.185 a 1.330 p y Stifel de 1.282 a 1.395 p [14, 23]. El BPA de MarketScreener (0,464 en FY2027) está en una base cercana a la contable; el de Yahoo y S&amp;P (0,52) es el ajustado de la empresa [22, 23, 27].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cayó un 71,5 % desde el máximo de nov-2021 (más de 25 GBP) hasta abr-2025, con la caída de márgenes y de ventas, y ha recuperado con fuerza: +87,8 % desde el mínimo de feb-2026 (6,86 GBP) y +64 % en tres meses tras el avance de agosto. Está en máximos de 52 semanas y aún un 37 % por debajo del máximo de cinco años. Beta mensual de 5 años frente al FTSE 250 de 1,23 (ajustada 1,15; semanal de 2 años 1,18); volatilidad del 42 % [21].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 +63,5 % / +57,3 % / +37,4 %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+87,8 %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7,7 % el 10-dic-2025 sin hecho propio publicado ese día (RNS y prensa revisados); el anuncio de diciembre fue la ampliación en Polonia de Workday Services [2,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software y servicios por las herramientas de IA (Claude Cowork, 3-feb-2026: −8,5 % ese día; −5,5 % el 11-feb); mínimo de 52 semanas de 6,86 GBP el 25-feb y PER adelantado en mínimos de una década [21,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15,4 % en el mes hasta el 30-jun (−5,2 % el 18-jun), con el sentimiento del sector tecnológico; sin hecho propio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del 18-ago-2026: FY2027 «cómodamente por encima» del consenso (509 M y 77 M); la acción sube casi un 20 % ese día y Berenberg y Stifel suben objetivos [9,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FY2026: ventas +7 % (196,1 M), BAI ajustado −16 % por contratistas y costes, nueva recompra de 30 M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Liontrust baja del 5 % (4,996 %)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cierre de FY2026: ingresos por encima del consenso (406,5 M) y BAI ajustado en línea (66,4 M)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ventas +17 %, BAI ajustado +2 %, pedidos +32 %, margen a la baja por contratistas; dividendo de 29,6 p y sin nueva recompra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cónyuge del director financiero vende 760.911 acciones a 7,79 GBP (≈ 5,9 M GBP), siete semanas antes del avance que subió la acción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1S FY2027: ventas y beneficio del año «cómodamente por encima» del consenso; resultados del semestre el 9-nov-2026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Berenberg sube el objetivo de 1.185 a 1.330 p (compra); Stifel de 1.282 a 1.395 p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Qubis (Queen's University Belfast) baja del 9,34 % al 8,67 %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informe de remuneración aprobado con el 98,6 %; Katie Davis deja el consejo; 116,26 M de acciones con derecho de voto el 1-oct [15, 19,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Baillie Gifford baja del 6,36 % al 4,50 %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subido un 64 % en tres meses y está en su máximo de 52 semanas (avisos P1 y P2), por una causa propia y comprobada: el avance del 18-ago-2026, que subió las estimaciones del consenso (BPA de FY2027 de 0,484 a 0,525 GBP en Yahoo [23]). No hay ningún hecho pendiente que cambie la decisión: ni oferta, ni ampliación, ni litigio. La venta de la persona vinculada al director financiero (1-jul) fue una sola y anterior a la subida; las ventas de Qubis y Baillie Gifford son toma de beneficios de accionistas antiguos. Veredicto: no cambia. Los resultados del 1S FY2027 (9-nov-2026) son la siguiente prueba [17, 18].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Precio de cierre de cada ejercicio (31 de marzo) de Yahoo, en GBP [21]. El PER adelantado (precio ÷ BPA contable del ejercicio siguiente) se calcula en la valoración; el cierre de FY2021 (14,92 GBP, 52x) es de la burbuja de 2021 y se excluye.</w:t>
      </w:r>
    </w:p>
    <w:p>
      <w:pPr>
        <w:pStyle w:val="Heading1"/>
      </w:pPr>
      <w:r>
        <w:t xml:space="preserve">18. Comparables cotizados</w:t>
      </w:r>
    </w:p>
    <w:p>
      <w:pPr>
        <w:pStyle w:val="Confianza"/>
        <w:spacing w:after="100"/>
      </w:pPr>
      <w:r>
        <w:t xml:space="preserve">Confianza: Media</w:t>
      </w:r>
    </w:p>
    <w:p>
      <w:pPr>
        <w:spacing w:after="100"/>
      </w:pPr>
      <w:r>
        <w:t xml:space="preserve">Servicios de TI cotizados que compiten con Kainos en la Administración británica, en la implantación de Workday o en ingeniería digital: Accenture, Capgemini, CGI, Sopra Steria, EPAM, Cognizant, Globant, Reply, Nagarro y Netcompany. Fuera: Endava (empresa en apuros, PER 2,5x) y TPXimpact (demasiado pequeña). Ninguno tiene la mezcla de Kainos (≈ 19 % de software propio en suscripción).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Kainos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Accenture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CGI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Sopra Steria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EPAM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Cognizant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Nagarro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Netcompany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 / 8,2x / 9,9x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11,2x / 15,4x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1,2x / 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 mediana del PER de los próximos 12 meses de los comparables es de 11,2x y la de EV/EBITDA de 8,3x: el sector cotiza en mínimos de una década por el miedo a la IA. Kainos cotiza a ≈ 25x su BPA contable de los próximos 12 meses (≈ 22x el ajustado): más del doble que el sector. Lo justifican en parte la caja neta, Workday Products (margen bruto del 78 %) y un crecimiento previsto mayor (+25 % en FY2027 con compras y contratos nuevos), pero la prima es grande [23, 24].</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1780"/>
        <w:gridCol w:w="1676"/>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WNS (externalización de procesos y TI)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Capgemini</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3.300 M USD; prima del 17 % sobre el último cierre; negocio de externalización, no comparable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Ordina (servicios TI en Países Bajos)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Sopra Steria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518 M EUR por el capital con 429 M de ventas (≈ 1,2x las ventas); prima del 36 % [29].</w:t>
            </w:r>
          </w:p>
        </w:tc>
      </w:tr>
    </w:tbl>
    <w:p>
      <w:pPr>
        <w:spacing w:after="160" w:before="0"/>
      </w:pPr>
    </w:p>
    <w:p>
      <w:pPr>
        <w:spacing w:after="160" w:before="0"/>
      </w:pPr>
    </w:p>
    <w:p>
      <w:pPr>
        <w:spacing w:after="100"/>
      </w:pPr>
      <w:r>
        <w:t xml:space="preserve">Hay pocas transacciones con múltiplos publicados en el nicho de Kainos: las compras de socios de Workday (Alight a Wipro en 2019, Cognizant a Collaborative Solutions y Accenture a Sierra-Cedar en 2020) no publicaron cifras completas; Valtech compró Kin + Carta en 2024 por 239 M GBP con 195,9 M de ventas (≈ 1,2x). Las primas de control del sector rondan el 17-36 %. No se usan en la valoración (peso 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(+24 %, fijo) se apoya en la cartera contratada de 433,9 M (+18 %), en pedidos de 505,3 M (+32 %), en Davis Pier un año entero y en el avance del 18-ago-2026, que dio ventas «cómodamente por encima» de 509 M; el consenso está hoy en 541 M y nosotros en 534,6 M [2, 9, 22]. Después, 9 % en FY2028e (consenso 585 M; nosotros 582,7) y convergencia al 3,5 % en FY2034e: por debajo de la TCAC histórica (12,9 % FY2021-FY2026) y del crecimiento de Workday (+12-13 %), porque la IA presiona las horas facturables.</w:t>
      </w:r>
    </w:p>
    <w:p>
      <w:pPr>
        <w:keepNext/>
        <w:spacing w:after="100"/>
      </w:pPr>
      <w:r>
        <w:rPr>
          <w:b/>
          <w:bCs/>
        </w:rPr>
        <w:t xml:space="preserve">Márgenes.</w:t>
      </w:r>
    </w:p>
    <w:p>
      <w:pPr>
        <w:spacing w:after="100"/>
      </w:pPr>
      <w:r>
        <w:t xml:space="preserve">Margen EBITDA contable (con la remuneración en acciones como coste) del 14,5 % en FY2027e, 15,5 % en FY2028e y 16,0 % después. FY2026 fue del 14,1 % con 29 M de contratistas y subcontratas que la empresa quiere sustituir por plantilla; la mediana de FY2022-FY2026 es del 15,7 % y FY2024 llegó al 18,0 % [2, 7]. No proyectamos volver al 18 %: la IA y la competencia por concurso bajan el precio por hora, y la comisión a Workday (≈ 7,8 M al año) se queda [2].</w:t>
      </w:r>
    </w:p>
    <w:p>
      <w:pPr>
        <w:keepNext/>
        <w:spacing w:after="100"/>
      </w:pPr>
      <w:r>
        <w:rPr>
          <w:b/>
          <w:bCs/>
        </w:rPr>
        <w:t xml:space="preserve">Inversión y circulante.</w:t>
      </w:r>
    </w:p>
    <w:p>
      <w:pPr>
        <w:spacing w:after="100"/>
      </w:pPr>
      <w:r>
        <w:t xml:space="preserve">Capex del 2,5 % de las ventas en FY2027e (sede de Belfast) y del 1,5-1,6 % después (1,5-5,8 M al año en FY2021-FY2025); amortización del 1,4 %; I+D a gasto (18,7 M en FY2026, sin capitalizar). Circulante del −9 % de las ventas (−9,8 % en FY2026): los cobros anticipados financian el crecimiento [1, 2].</w:t>
      </w:r>
    </w:p>
    <w:p>
      <w:pPr>
        <w:keepNext/>
        <w:spacing w:after="100"/>
      </w:pPr>
      <w:r>
        <w:rPr>
          <w:b/>
          <w:bCs/>
        </w:rPr>
        <w:t xml:space="preserve">Coste del capital.</w:t>
      </w:r>
    </w:p>
    <w:p>
      <w:pPr>
        <w:spacing w:after="100"/>
      </w:pPr>
      <w:r>
        <w:t xml:space="preserve">Tasa libre del 5,30 % (gilt a 10 años, 16-oct-2026 [24]); beta de 1,10, entre la ajustada mensual de 5 años frente al FTSE 250 (1,15; 1,23 sin ajustar) y la del sector de servicios de TI, porque los cinco años recogen la burbuja y la caída de 2021-2025 [21]; prima de mercado del 5,5 % y sin prima adicional (el riesgo de IA va en el escenario bajista, no en la tasa); sin deuda. WACC del 11,35 %. Con la prima implícita del mercado (4,2 % [25]) sería del 9,92 % y el DCF daría 9,02 GBP.</w:t>
      </w:r>
    </w:p>
    <w:p>
      <w:pPr>
        <w:keepNext/>
        <w:spacing w:after="100"/>
      </w:pPr>
      <w:r>
        <w:rPr>
          <w:b/>
          <w:bCs/>
        </w:rPr>
        <w:t xml:space="preserve">Valor terminal.</w:t>
      </w:r>
    </w:p>
    <w:p>
      <w:pPr>
        <w:spacing w:after="100"/>
      </w:pPr>
      <w:r>
        <w:t xml:space="preserve">Crecimiento a perpetuidad del 2,5 % (inflación británica a largo plazo y algo de volumen); el múltiplo de salida implícito es de 7,9x el EBITDA, cerca de la mediana de los comparables (8,3x [23]). Con un múltiplo de salida de 12x el valor terminal subiría de 1.022 a 1.549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 (reinvierte el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 (histórico: 0,0 %)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 frente al 8,3 %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-18 M, con un capex bruto medio del 1,6 % de las ventas). En un negocio de activos ligeros, el crecimiento medio del 8,3 %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plantilla y contratistas +21 % al cierre de FY2026 y cartera +18 %; precio +2 %; otros +4 %: Davis Pier un año entero y el producto de transparencia salarial que vende Workday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6,5 % (contratos grandes del sector público y sanitario en marcha, Norteamérica, ARR de Products) y precio del 2,5 %; consenso +8,1 %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5,5 % y precio del 2,5 %: menos horas por proyecto por la IA, compensadas con más proyectos de IA y datos.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y precio del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3,5 % y precio del 2,5 %: converge hacia el crecimiento de Workday a largo plazo y del gasto público nominal.</w:t>
            </w:r>
          </w:p>
        </w:tc>
      </w:tr>
    </w:tbl>
    <w:p>
      <w:pPr>
        <w:spacing w:after="160" w:before="0"/>
      </w:pPr>
    </w:p>
    <w:p>
      <w:pPr>
        <w:spacing w:after="100"/>
      </w:pPr>
      <w:r>
        <w:t xml:space="preserve">El crecimiento proyectado (8,3 % medio en FY2027e-FY2034e, 24 % en el primer año y 3,5-9 % después) está por debajo del histórico (12,9 %) y casi no necesita capital: el negocio crece con personas y con circulante negativo, y el motor no encuentra problemas de financiación (crecimiento financiable del 29 %). El primer año está respaldado por la cartera contratada (433,9 M, ≈ 81 % de las ventas de FY2027e) y por el avance de agosto [2, 9]. Lo que podría romperlo no es el capital sino el precio por hora: si la IA reduce las horas que el cliente paga más deprisa de lo que Kainos gana proyectos nuevos, el volumen caería. Lo recogemos en el bajista (−4 puntos de crecimiento y −2,5 de margen), no en el base, porque hoy los pedidos crecen un 32 % y los ingresos de IA y datos un 11 % [2].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 (base: 16,0 %)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11,3 %)</w:t>
            </w:r>
          </w:p>
        </w:tc>
      </w:tr>
    </w:tbl>
    <w:p>
      <w:pPr>
        <w:spacing w:after="160" w:before="0"/>
      </w:pPr>
    </w:p>
    <w:p>
      <w:pPr>
        <w:spacing w:after="100"/>
      </w:pPr>
      <w:r>
        <w:t xml:space="preserve">El DCF da 7,63 GBP por acción (763 p), un 42 % por debajo del precio (13,20 GBP), con el 55 % del valor en el terminal; con la prima implícita del mercado (WACC 9,92 %) serían 9,02 GBP, aún un 32 % por debajo. El DCF inverso dice que el precio necesita un 16 % de crecimiento anual en FY2028e-FY2034e (nuestro base: 6,1 %) o un margen EBITDA del 27,8 % (nuestro base: 16 %), o aceptar una rentabilidad del 7,5 % anual. Ni la historia de Kainos (margen máximo del 22,8 % en el año de la pandemia) ni el sector (márgenes del 10-19 % [23]) sostienen eso.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abarata el desarrollo y la implantación: los clientes públicos y los de Workday piden menos horas o precios más bajos, Workday integra pruebas automatizadas en su plataforma y el gasto público británico se aprieta tras el presupuesto. Crecimiento 4 puntos menor desde FY2028e (5 % y 4 %), margen EBITDA 2,5 puntos más bajo (13,5 %) y WACC 0,5 puntos mayor: 4,70 GBP por acción.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FY2027e de +24 % con la cartera y el avance de agosto, crecimiento que converge del 9 % al 3,5 % y margen que se recupera al 16 % al sustituir contratistas: 7,63 GBP por acción.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se convierte en el principal integrador de IA de la Administración británica, Norteamérica sigue al +50-100 % y Workday Products acelera con Workday como canal: 1,5 puntos más de crecimiento y 1 punto más de margen (17 %): 8,80 GBP por acción.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GBP) · precio actual 13,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7,19 GBP (-45,5 %).</w:t>
      </w:r>
    </w:p>
    <w:p>
      <w:pPr>
        <w:spacing w:after="100"/>
      </w:pPr>
      <w:r>
        <w:t xml:space="preserve">Los tres escenarios del DCF quedan por debajo del precio (4,70, 7,63 y 8,80 GBP; ponderado 7,19): aun en el alcista, el valor intrínseco está un 33 % por debajo de 13,20 GBP. El precio solo se justifica con un múltiplo como el de la historia de Kainos (PER de 27-29x), no con sus flujos descontados al coste de capital. Esa es la tensión del informe: a 12 meses la regla común da +15,6 % ponderado porque el PER histórico es alto, pero el valor real no llega al precio.</w:t>
      </w:r>
    </w:p>
    <w:p>
      <w:pPr>
        <w:pStyle w:val="Heading1"/>
      </w:pPr>
      <w:r>
        <w:t xml:space="preserve">22. Suma de partes</w:t>
      </w:r>
    </w:p>
    <w:p>
      <w:pPr>
        <w:pStyle w:val="Confianza"/>
        <w:spacing w:after="100"/>
      </w:pPr>
      <w:r>
        <w:t xml:space="preserve">Confianza: Baja</w:t>
      </w:r>
    </w:p>
    <w:p>
      <w:pPr>
        <w:spacing w:after="100"/>
      </w:pPr>
      <w:r>
        <w:t xml:space="preserve">No se usa como método, pero sirve de prueba: aunque Workday Products (contribución de 23,6 M en FY2026, margen bruto del 78 %, ARR de 89 M) valiera 20 veces su contribución (472 M) y los servicios (Digital Services y Workday Services, 68,4 M de contribución menos 23,7 M de costes centrales = 44,7 M) la mediana del sector (8,3x, 371 M), con la caja neta ajustada (≈ 48 M), saldrían ≈ 891 M: 7,6 GBP por acción, lejos de 13,20 [2, 23].</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GBP) · precio actual 13,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7,15 GBP (-45,8 % sobre 13,20).</w:t>
      </w:r>
    </w:p>
    <w:p>
      <w:pPr>
        <w:spacing w:after="100"/>
      </w:pPr>
      <w:r>
        <w:t xml:space="preserve">Pesos: DCF 45 %, escenarios 40 % y comparables 15 %; transacciones 0 % (no hay operaciones comparables con múltiplos publicados) y sin suma de partes como método. Los comparables (PER de 11,2x y EV/EBITDA de 8,3x) dan 4,5-7,8 GBP: el sector de servicios de TI cotiza en mínimos por el miedo a la IA y Kainos lleva más del doble de múltiplo. El valor objetivo de 7,15 GBP es la síntesis; con la prima del mercado, 8,29 GBP. Todas las medidas de valor real quedan por debajo del precio; solo el PER histórico de la propia Kainos lo alcanza. El mismo miedo a la IA pesa sobre los servicios de TI europeos analizados hoy (Reply) [34].</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(26.5x) a mitad de camino hacia la mediana de 5 años (29.2x)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r>
    </w:tbl>
    <w:p>
      <w:pPr>
        <w:spacing w:after="160" w:before="0"/>
      </w:pPr>
    </w:p>
    <w:p>
      <w:pPr>
        <w:spacing w:after="100"/>
      </w:pPr>
      <w:r>
        <w:rPr>
          <w:b/>
          <w:bCs/>
        </w:rPr>
        <w:t xml:space="preserve">Objetivo a 12 meses (ponderado):</w:t>
      </w:r>
      <w:r>
        <w:t xml:space="preserve"> 14,96 GBP (1.496,00 GBp) · rentabilidad +15,6 % (base +28,2 %) · señal Mantener.</w:t>
      </w:r>
    </w:p>
    <w:p>
      <w:pPr>
        <w:spacing w:after="100"/>
      </w:pPr>
      <w:r>
        <w:t xml:space="preserve">Para comparar, con la regla v2 (historia al cierre, mismo precio): 20,1x / 25,0x / 32,5x, 16,9 %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coincide con el consenso de MarketScreener, que está en una base cercana a la contable: 0,453 frente a 0,464 GBP en FY2027e (−2 %), 0,534 frente a 0,537 en FY2028e y 0,598 frente a 0,605 en FY2029e [22]. Las ventas también (534,6 frente a 541,0 M en FY2027e; 629,3 frente a 648,7 en FY2029e). La diferencia está en el múltiplo: nuestro objetivo ponderado (14,96 GBP) y el del base (16,62) quedan un 18 % y un 31 % por encima del objetivo medio de los analistas (12,73 GBP, 11 analistas), que equivale a ≈ 21x nuestro BPA de FY2029e. La regla común aplica la historia de Kainos (mediana adelantada de 29,2x), que es de cuando crecía al 20-30 % anual; los analistas aplican múltiplos más cercanos al sector (11x).</w:t>
      </w:r>
    </w:p>
    <w:p>
      <w:pPr>
        <w:keepNext/>
        <w:spacing w:after="100"/>
      </w:pPr>
      <w:r>
        <w:rPr>
          <w:b/>
          <w:bCs/>
        </w:rPr>
        <w:t xml:space="preserve">Del valor intrínseco al objetivo a 12 meses.</w:t>
      </w:r>
    </w:p>
    <w:p>
      <w:pPr>
        <w:spacing w:after="100"/>
      </w:pPr>
      <w:r>
        <w:t xml:space="preserve">Objetivo a 12 meses de 14,96 GBP (1.496 p) ponderado: +15,6 % con el dividendo (2,2 %) y +28,2 % en el base (16,62 GBP), con un bajista de 7,47 GBP (−41 %) y un alcista de 19,13 GBP (+47 %): asimetría de 1,03. La regla v2 de control da 16,9 % ponderado y 15,5 % en el base. Los números a 12 meses superan los umbrales de compra, pero el valor intrínseco (7,15 GBP) está un 46 % por debajo del precio, así que la regla da Mantener. Un bajista del −41 % pesa: el mínimo de cinco años (16,1x) es de febrero de 2026, cuando el mercado descontó que la IA hundiría a las consultoras.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margen con menos contratistas y del crecimiento con los contratos grandes; confirma o no el «cómodamente por encima» de agosto.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de Workday y presupuesto británico de otoño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implantaciones de Workday y marco de gasto público para 2027-28.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cierre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frente a 541 M de consenso y BAI ajustado frente a ≈ 84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 ARR de Products (¿100 M?) y política de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 la nueva sede de Belfast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el capex extraordinario.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funciones de IA de Workday (pruebas, agentes) y adjudicaciones de los marcos digitales del Gobierno británico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Dirán si la IA quita trabajo a los socios o abre proyectos nuevos.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el desarrollo y la implantación por horas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(escenario bajista del DCF: 4,70 frente a 7,63 GBP); a 12 meses, −41 % con el PER mínimo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Kainos vende proyectos de IA (45,8 M) y es el 7.º proveedor de IA del sector público británico; los proyectos públicos piden acreditación y responsabilidad que la IA no da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o cartera de Digital Services planos o a la baja dos semestres seguidos; precio medio por día a la baja en los marcos públicos.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Workday</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 concentración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 si Workday integra pruebas automatizadas o reduce el papel de los socios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Workday vende un producto de Kainos en exclusiva y tiene un acuerdo estratégico con ella desde 2024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ingresos de Products por debajo del 85 % (90 % hoy) o anuncio de herramientas de pruebas nativas de Workday.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público británico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 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(un año de crecimiento nulo en Digital Services)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con el Home Office, Transporte y NHS England; Canadá crece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gasto o presupuesto con recortes en tecnología; pedidos públicos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márgenes no se recuperan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punto de margen EBITDA permanente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Sustitución de contratistas por plantilla prometida para el 2S FY2027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del 1S FY2027 por debajo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exigente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a 12 meses si vuelve al PER mínimo de cinco años (16,1x)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crecimiento previsto por encima del sector.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decepción en los resultados del 9-nov-2026.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contratos grandes de precio fijo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largo en la Administración; ingresos devengados vigilados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devengados por encima del 10 % de las ventas o provisiones por contratos onerosos.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Talento y calidad del servicio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en Belfast y Polonia; plan de acciones para empleados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NPS por debajo de 55 (61 hoy) o rotación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y ventas en la misma divisa en cada país.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Libra muy fuerte frente al dólar (EE. UU. es el 26 % de las ventas).</w:t>
            </w:r>
          </w:p>
        </w:tc>
      </w:tr>
    </w:tbl>
    <w:p>
      <w:pPr>
        <w:spacing w:after="160" w:before="0"/>
      </w:pPr>
    </w:p>
    <w:p>
      <w:pPr>
        <w:pStyle w:val="Heading2"/>
      </w:pPr>
      <w:r>
        <w:t xml:space="preserve">Pre-mortem</w:t>
      </w:r>
    </w:p>
    <w:p>
      <w:pPr>
        <w:spacing w:after="100"/>
      </w:pPr>
      <w:r>
        <w:t xml:space="preserve">Octubre de 2029: la acción vale un 40 % menos. Lo que pasó: en 2027 las herramientas de IA para programar y configurar software maduraron y los clientes públicos empezaron a pedir los mismos sistemas con la mitad de horas; los marcos de contratación del Gobierno bajaron las tarifas por día y Digital Services, que había crecido un 23 % en FY2026, se quedó plano en FY2028. A la vez, Workday metió pruebas automatizadas con IA en su plataforma y la retención de Workday Products bajó del 90 % al 80 %; Workday Services sufrió porque los clientes implantaban más rápido y con menos consultores. Los márgenes no volvieron al 16 % porque el precio caía más deprisa que los costes. El mercado, que pagaba 26x el beneficio por la historia de crecimiento, pasó a pagar el múltiplo del sector (11-16x). Lo habrían anticipado los pedidos de Digital Services (sin crecer dos semestres), la retención de Products por debajo del 85 % y el margen del 1S FY2027 por debajo del 15 %.</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−20 a −40 % a 3-5 años si se cumple el bajista; +5-10 % si Kainos captura los proyectos de IA del sector público</w:t>
      </w:r>
    </w:p>
    <w:p>
      <w:pPr>
        <w:spacing w:after="100"/>
      </w:pPr>
      <w:r>
        <w:t xml:space="preserve">Más del 80 % de las ventas son horas de desarrollo, integración e implantación (Digital Services 56 %, Workday Services 25 %), justo lo que la IA generativa abarata: el cliente puede pedir lo mismo con menos horas o hacerlo en casa. Resta también en Products si Workday integra pruebas automatizadas. Suma porque la Administración necesita integradores acreditados para meter IA en sistemas críticos: Kainos facturó 45,8 M en IA y datos (+11 %), es el 7.º proveedor de IA del sector público británico y usa IA en su propia entrega, lo que puede subir su margen si mantiene el precio por proyecto. Hoy pesa más la amenaza: los ingresos de IA crecen menos que la división y el mercado ya castigó al sector en febrero. Señal: pedidos y precio por día de Digital Services, y retención de Products [2, 28, 33].</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Kainos es el talento (3.475 personas, con contratistas de 69 a 259 en FY2026 y un NPS de clientes que bajó de 70 a 61), la seguridad de los datos de los sistemas públicos y sanitarios que construye y mantiene (un incidente costaría contratos y acreditaciones) y el «valor social» que puntúa en las licitaciones públicas británicas (≈ 10 % de la nota en muchos concursos). Las emisiones son pequeñas (oficinas y viajes) y la nueva sede de Belfast es la principal inversión física [1, 2].</w:t>
      </w:r>
    </w:p>
    <w:p>
      <w:pPr>
        <w:pStyle w:val="Heading2"/>
      </w:pPr>
      <w:r>
        <w:t xml:space="preserve">Controversias</w:t>
      </w:r>
    </w:p>
    <w:p>
      <w:pPr>
        <w:spacing w:after="100"/>
      </w:pPr>
      <w:r>
        <w:t xml:space="preserve">No se han encontrado sanciones, litigios ni incidentes de seguridad relevantes en los últimos tres años en los informes anuales ni en la prensa revisada; el único hecho laboral notable son los 190 despidos de la reestructuración de FY2025 [1,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bajado el precio por día o las horas por proyecto en los contratos públicos renovados en 2026, y qué parte de los contratos es de precio fijo (donde la IA mejora el margen de Kainos)?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amenaza u oportunidad para el 80 %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EBITDA ajustado espera la dirección en el 2S FY2027 al sustituir contratistas, y cuántos contratistas quedan?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volver al 16 % contable; cada punto vale ≈ 6 %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dice el acuerdo estratégico con Workday sobre exclusividad, duración y comisión (7,8 M al año), y qué pasaría si Workday lanza pruebas nativas?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Workday Services y Products son el 44 % de las ventas y el 39 % de la contribución.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bajó la retención de ingresos de Products del 93 % al 90 %?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de más margen y el que justifica la prima de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FY2027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+24-25 % es de contratos grandes que no se repiten y qué parte de Davis Pier?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crecimiento recurrente de puntual para FY2028e.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no hay recompra nueva con la acción al doble que hace ocho meses, y cuál es la caja mínima que quiere mantener 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se hicieron a 7-9 GBP; la política futura cambia el BPA.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(ii view)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avance de agosto: demanda sólida, clientes y regiones diversificados, IA como motor; riesgos citados: IA, dependencia de Workday y que la acción «no es barata» [14, 26,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Kalkine Media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febrero se atribuye a la venta de software por las herramientas de IA (Claude Cowork) y deja el PER adelantado en mínimos de una década (≈ 14,8x)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(KNNNF)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Artículos de 2025 con la tesis de recuperación tras el bache; ninguno reciente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motor de demanda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Parcial: los ingresos de IA y datos crecieron un 11 % (45,8 M), menos que Digital Services (+23 %); el avance de agosto cita la demanda de proyectos de IA [14].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el desarrollo por horas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y central: más de la mitad de las ventas son horas de desarrollo e implantación; aún no se ve en los precios ni en los pedidos (+32 %)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márgenes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la promete para el 2S FY2027 al sustituir contratistas; el margen EBITDA ajustado del 2S FY2026 (15,4 %) aún estaba lejos del 20 % de FY2024 [26, 31].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exigente tras la subida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Correcto: ≈ 25x el BPA contable de los próximos 12 meses frente a 11x del sector [14].</w:t>
            </w:r>
          </w:p>
        </w:tc>
      </w:tr>
    </w:tbl>
    <w:p>
      <w:pPr>
        <w:spacing w:after="160" w:before="0"/>
      </w:pPr>
    </w:p>
    <w:p>
      <w:pPr>
        <w:spacing w:after="100"/>
      </w:pPr>
      <w:r>
        <w:t xml:space="preserve">El sentimiento ha pasado de miedo (febrero, venta de software por la IA) a entusiasmo (agosto, avance por encima del consenso). Los particulares británicos ven a Kainos como ganadora de la IA; la prensa recuerda que la acción ya no es barata. Pocas fuentes y ningún foro activo: confianza media.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34 (18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-9,8 % real: genera una variación de circulante de -6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Oficial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Académica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serie del mercado de servicios digitales públicos y del ecosistema de servicios de Workday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GDS «State of digital government» (solo el gasto total en tecnología, un año); 2) informes de Workday (no publica el gasto de sus socios); 3) búsqueda de estudios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da el gasto público total y el crecimiento de Workday como referencia; sin cuota ni serie.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FCA (solo ≥ 0,5 %; Kainos no aparece); 2) Yahoo (sin dato para Londres); 3)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ninguna posición corta pública ≥ 0,5 %.</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(Stocktwits, LSE Chat)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(0 mensajes de KNOS/KNNNF); 2) LSE Chat (403); 3) Motley Fool UK (sin artículos recientes que abran)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prensa de inversión para particulares (ii, Kalkine).</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FY2026 (ejercicio cerrado el 31-mar-2026), ESEF: cuentas, notas, segmentos,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Kainos Group plc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https://filings.xbrl.org/213800H2PQMIF3OVZY47/2026-03-31/ESEF/GB/0/213800H2PQMIF3OVZY47-2026-03-31/reports/213800H2PQMIF3OVZY47-2026-03-31-T01.xhtml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anuales FY2026 (nota de prensa con estados completos, segmentos, KPI y conciliación del BAI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Kainos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https://s204.q4cdn.com/951481794/files/doc_news/Full-Year-Results-2026.pdf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anuales FY2025 (estados, reestructuración,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https://s204.q4cdn.com/951481794/files/doc_news/Full-year-Results-2025.pdf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semestrales 1S FY2026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https://s204.q4cdn.com/951481794/files/doc_news/Interim-results-2025.pdf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semestrales 1S FY2025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https://s204.q4cdn.com/951481794/files/doc_news/Interim-Results-2024.pdf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FY2022, FY2023 y FY2024 (ESEF): cuentas, segmentos e indicadores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https://filings.xbrl.org/213800H2PQMIF3OVZY47/2024-03-31/ESEF/GB/0/213800H2PQMIF3OVZY47-2024-03-31/reports/213800H2PQMIF3OVZY47-2024-03-31-T01.xhtml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Series ESEF FY2021-FY2026 extraídas con herramientas/cuentas.mjs (xBRL-JSON)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https://filings.xbrl.org/api/filings?filter[entity.identifier]=213800H2PQMIF3OVZY47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anuales FY2019 y FY2020 (BPA y cifras de los años anteriores)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https://data.fca.org.uk/artefacts/NSM/RNS/3604614.html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de resultados del 1S FY2027 (trading update del 18-ago-2026)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https://s204.q4cdn.com/951481794/files/doc_news/Trading-Update-2026.pdf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de cierre del ejercicio FY2026 (year-end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https://www.investegate.co.uk/announcement/rns/kainos-group--knos/year-end-trading-update/9526959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of digital government review (gasto tecnológico del sector público británico)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Government, Department for Science, Innovation and Technology (GDS)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Oficial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https://www.gov.uk/government/publications/state-of-digital-government-review/state-of-digital-government-review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resultados del 4T y del ejercicio FY2026 y guía de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https://investor.workday.com/files/doc_earnings/2026/q4/Earnings-Release-Q4FY26-022426_FOR-UPLOAD.pdf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cotizados de servicios TI (Yahoo Finance quoteSummary, 21-oct-2026; cálculo propio en notas/comparables-calc.json)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shares for UK tech company Kainos soar (avance del 18-ago-2026)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https://www.ii.co.uk/analysis-commentary/ii-view-shares-uk-tech-company-kainos-soar-ii540010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la junta general de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https://www.investegate.co.uk/announcement/rns/kainos-group--knos/results-of-annual-general-meeting-/9784876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y personas vinculadas: venta de Kerry McCann (1-jul-2026)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https://www.investegate.co.uk/announcement/rns/kainos-group--knos/director-pdmr-shareholding/9647502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(mar-jun 2026: transferencia, ejercicios y concesiones del PSP)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https://www.investegate.co.uk/announcement/rns/kainos-group--knos/notification-of-transactions-of-director-pdmr/9607448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Qubis (8-sep-2026) y Baillie Gifford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https://www.investegate.co.uk/announcement/rns/kainos-group--knos/holding-s-in-company/9810997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el consejo y sus comisiones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https://www.investegate.co.uk/announcement/rns/kainos-group--knos/board-and-board-committee-changes-/9775775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Derechos de voto totales (116.263.722 acciones, 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https://www.investegate.co.uk/announcement/rns/kainos-group--knos/total-voting-rights/9801450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KNOS.L, FTSE 250 (^FTMC) y sector tecnológico europeo (EXV3.DE): rentabilidades, beta,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https://finance.yahoo.com/quote/KNOS.L/history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analistas de Kainos: estimaciones FY2027-FY2029, objetivo de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https://uk.marketscreener.com/quote/stock/KAINOS-GROUP-PLC-39436248/finances/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KNOS.L y comparables (precio, consenso, revisiones,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https://finance.yahoo.com/quote/KNOS.L/analysis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gilt a 10 años (serie IUDMNPY)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Oficial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(prima de riesgo implícita del S&amp;P 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Académica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NHS and AI boost tech firm Kainos (resultados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https://www.ii.co.uk/analysis-commentary/ii-view-nhs-and-ai-boost-tech-firm-kainos-ii539087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Kainos: estimaciones y objetivos de S&amp;P Global (BPA ajustado, 10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https://stockanalysis.com/quote/lon/KNOS/forecast/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Kainos share price outlook, Workday y la IA (caída de febrero de 2026 por la venta de software)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https://kalkine.co.uk/news/technology/kainos-share-price-outlook-workday-ai-momentum-puts-knos-in-focus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Sopra Steria: oferta por Ordina (documento de la oferta,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 Sopra Steria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https://echanges.dila.gouv.fr/OPENDATA/AMF/BWR/2023/03/FCBWR148382_20230321.pdf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Capgemini compra WNS por 3.300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https://in.marketscreener.com/quote/stock/CAPGEMINI-SE-4624/news/Capgemini-Acquires-WNS-for-3-3-Billion-50443652/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orders growing but higher costs affect Kainos profit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https://www.ii.co.uk/analysis-commentary/ii-view-orders-growing-higher-costs-affect-kainos-profit-ii537185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sobre Kainos (KNNNF)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https://seekingalpha.com/api/sa/combined/KNNNF.xml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y servicios de TI: lecciones del repositorio (IA en servicios por horas, ingresos diferidos al circulante)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(verticales/empresa/lecciones-casos.md)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verticales/empresa/lecciones-casos.md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Reply: análisis value del 21-oct-2026 (servicios de TI europeos; comparables y riesgo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(informes/reply-2026-10-21)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informes/reply-2026-10-21/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90,2 %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GBP; BPA y DPA en GBP (la acción cotiza en peniques: 1.320 GBp = 13,20 GBP). Ejercicio a 31 de marzo (FY2026 = abr-2025 a mar-2026). La contribución de las divisiones (tipo EBITDA, antes de 23,7 M de costes centrales en FY2026) solo se publica desde FY2024; en FY2021-FY2023 se dan solo los ingresos, y el reparto de FY2021 entre Workday Services y Workday Products se obtiene por diferencia con el total de Workday. Los semestres llevan el EBITDA ajustado de la empresa (sin remuneración en acciones), no el contable. La caja incluye los depósitos a plazo (la «cash position» de la empresa), que el ESEF separa.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Kainos Group plc (KNOS)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13,20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(6,86 – 13,24)</c:v>
                </c:pt>
                <c:pt idx="1">
                  <c:v>Precio objetivo de los analistas (10,65 – 15,00)</c:v>
                </c:pt>
                <c:pt idx="2">
                  <c:v>Comparables: PER NTM (4,66 – 7,76)</c:v>
                </c:pt>
                <c:pt idx="3">
                  <c:v>DCF (WACC y g ± 0,5) (7,05 – 8,36)</c:v>
                </c:pt>
                <c:pt idx="4">
                  <c:v>Escenarios (bajista – alcista) (4,70 – 8,80)</c:v>
                </c:pt>
                <c:pt idx="5">
                  <c:v>DCF con la prima implícita del mercado (4,2 %)</c:v>
                </c:pt>
                <c:pt idx="6">
                  <c:v>Precio actual (13,20)</c:v>
                </c:pt>
              </c:strCache>
            </c:strRef>
          </c:cat>
          <c:val>
            <c:numRef>
              <c:f>Hoja1!$B$2:$B$8</c:f>
              <c:numCache>
                <c:formatCode>#,##0.0</c:formatCode>
                <c:ptCount val="7"/>
                <c:pt idx="0">
                  <c:v>6.86</c:v>
                </c:pt>
                <c:pt idx="1">
                  <c:v>10.65</c:v>
                </c:pt>
                <c:pt idx="2">
                  <c:v>4.66</c:v>
                </c:pt>
                <c:pt idx="3">
                  <c:v>7.05</c:v>
                </c:pt>
                <c:pt idx="4">
                  <c:v>4.7</c:v>
                </c:pt>
                <c:pt idx="5">
                  <c:v>8.48</c:v>
                </c:pt>
                <c:pt idx="6">
                  <c:v>13.13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(6,86 – 13,24)</c:v>
                </c:pt>
                <c:pt idx="1">
                  <c:v>Precio objetivo de los analistas (10,65 – 15,00)</c:v>
                </c:pt>
                <c:pt idx="2">
                  <c:v>Comparables: PER NTM (4,66 – 7,76)</c:v>
                </c:pt>
                <c:pt idx="3">
                  <c:v>DCF (WACC y g ± 0,5) (7,05 – 8,36)</c:v>
                </c:pt>
                <c:pt idx="4">
                  <c:v>Escenarios (bajista – alcista) (4,70 – 8,80)</c:v>
                </c:pt>
                <c:pt idx="5">
                  <c:v>DCF con la prima implícita del mercado (4,2 %)</c:v>
                </c:pt>
                <c:pt idx="6">
                  <c:v>Precio actual (13,20)</c:v>
                </c:pt>
              </c:strCache>
            </c:strRef>
          </c:cat>
          <c:val>
            <c:numRef>
              <c:f>Hoja1!$C$2:$C$8</c:f>
              <c:numCache>
                <c:formatCode>#,##0.0</c:formatCode>
                <c:ptCount val="7"/>
                <c:pt idx="0">
                  <c:v>6.38</c:v>
                </c:pt>
                <c:pt idx="1">
                  <c:v>4.35</c:v>
                </c:pt>
                <c:pt idx="2">
                  <c:v>3.0999999999999996</c:v>
                </c:pt>
                <c:pt idx="3">
                  <c:v>1.3099999999999996</c:v>
                </c:pt>
                <c:pt idx="4">
                  <c:v>4.1000000000000005</c:v>
                </c:pt>
                <c:pt idx="5">
                  <c:v>1.17</c:v>
                </c:pt>
                <c:pt idx="6">
                  <c:v>0.1399999999999988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Digital Services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161.6</c:v>
                </c:pt>
                <c:pt idx="1">
                  <c:v>199.8</c:v>
                </c:pt>
                <c:pt idx="2">
                  <c:v>224.4</c:v>
                </c:pt>
                <c:pt idx="3">
                  <c:v>213.1</c:v>
                </c:pt>
                <c:pt idx="4">
                  <c:v>197.2</c:v>
                </c:pt>
                <c:pt idx="5">
                  <c:v>241.7</c:v>
                </c:pt>
              </c:numCache>
            </c:numRef>
          </c:val>
        </c:ser>
        <c:ser>
          <c:idx val="1"/>
          <c:order val="1"/>
          <c:tx>
            <c:strRef>
              <c:f>Hoja1!$C$1</c:f>
              <c:strCache>
                <c:ptCount val="1"/>
                <c:pt idx="0">
                  <c:v>Workday Services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48.9</c:v>
                </c:pt>
                <c:pt idx="1">
                  <c:v>70.9</c:v>
                </c:pt>
                <c:pt idx="2">
                  <c:v>105.7</c:v>
                </c:pt>
                <c:pt idx="3">
                  <c:v>112</c:v>
                </c:pt>
                <c:pt idx="4">
                  <c:v>98.7</c:v>
                </c:pt>
                <c:pt idx="5">
                  <c:v>107.6</c:v>
                </c:pt>
              </c:numCache>
            </c:numRef>
          </c:val>
        </c:ser>
        <c:ser>
          <c:idx val="2"/>
          <c:order val="2"/>
          <c:tx>
            <c:strRef>
              <c:f>Hoja1!$D$1</c:f>
              <c:strCache>
                <c:ptCount val="1"/>
                <c:pt idx="0">
                  <c:v>Workday Products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24.2</c:v>
                </c:pt>
                <c:pt idx="1">
                  <c:v>31.9</c:v>
                </c:pt>
                <c:pt idx="2">
                  <c:v>44.7</c:v>
                </c:pt>
                <c:pt idx="3">
                  <c:v>57.3</c:v>
                </c:pt>
                <c:pt idx="4">
                  <c:v>71.3</c:v>
                </c:pt>
                <c:pt idx="5">
                  <c:v>81.7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Digital Services</c:v>
                </c:pt>
                <c:pt idx="1">
                  <c:v>Workday Services</c:v>
                </c:pt>
                <c:pt idx="2">
                  <c:v>Workday Products</c:v>
                </c:pt>
              </c:strCache>
            </c:strRef>
          </c:cat>
          <c:val>
            <c:numRef>
              <c:f>Hoja1!$B$2:$B$4</c:f>
              <c:numCache>
                <c:formatCode>General</c:formatCode>
                <c:ptCount val="3"/>
                <c:pt idx="0">
                  <c:v>56.1</c:v>
                </c:pt>
                <c:pt idx="1">
                  <c:v>25</c:v>
                </c:pt>
                <c:pt idx="2">
                  <c:v>19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Reino Unido</c:v>
                </c:pt>
                <c:pt idx="1">
                  <c:v>Estados Unidos</c:v>
                </c:pt>
                <c:pt idx="2">
                  <c:v>Europa central</c:v>
                </c:pt>
                <c:pt idx="3">
                  <c:v>Canadá</c:v>
                </c:pt>
                <c:pt idx="4">
                  <c:v>Irlanda</c:v>
                </c:pt>
                <c:pt idx="5">
                  <c:v>Resto</c:v>
                </c:pt>
              </c:strCache>
            </c:strRef>
          </c:cat>
          <c:val>
            <c:numRef>
              <c:f>Hoja1!$B$2:$B$7</c:f>
              <c:numCache>
                <c:formatCode>0"%"</c:formatCode>
                <c:ptCount val="6"/>
                <c:pt idx="0">
                  <c:v>56.5</c:v>
                </c:pt>
                <c:pt idx="1">
                  <c:v>26.1</c:v>
                </c:pt>
                <c:pt idx="2">
                  <c:v>7.9</c:v>
                </c:pt>
                <c:pt idx="3">
                  <c:v>5.8</c:v>
                </c:pt>
                <c:pt idx="4">
                  <c:v>2.4</c:v>
                </c:pt>
                <c:pt idx="5">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sustitutos</c:v>
                </c:pt>
                <c:pt idx="4">
                  <c:v>Amenaza de entrantes</c:v>
                </c:pt>
              </c:strCache>
            </c:strRef>
          </c:cat>
          <c:val>
            <c:numRef>
              <c:f>Hoja1!$B$2:$B$6</c:f>
              <c:numCache>
                <c:formatCode>General</c:formatCode>
                <c:ptCount val="5"/>
                <c:pt idx="0">
                  <c:v>4</c:v>
                </c:pt>
                <c:pt idx="1">
                  <c:v>4</c:v>
                </c:pt>
                <c:pt idx="2">
                  <c:v>3</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Kainos</c:v>
                </c:pt>
                <c:pt idx="1">
                  <c:v>Accenture</c:v>
                </c:pt>
                <c:pt idx="2">
                  <c:v>Capgemini</c:v>
                </c:pt>
                <c:pt idx="3">
                  <c:v>CGI</c:v>
                </c:pt>
                <c:pt idx="4">
                  <c:v>Sopra Steria</c:v>
                </c:pt>
                <c:pt idx="5">
                  <c:v>TPXimpact</c:v>
                </c:pt>
                <c:pt idx="6">
                  <c:v>Deloitte, PwC e IBM</c:v>
                </c:pt>
              </c:strCache>
            </c:strRef>
          </c:cat>
          <c:val>
            <c:numRef>
              <c:f>Hoja1!$B$2:$B$8</c:f>
              <c:numCache>
                <c:formatCode>0.0"%"</c:formatCode>
                <c:ptCount val="7"/>
                <c:pt idx="0">
                  <c:v>12.7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strCache>
            </c:strRef>
          </c:cat>
          <c:val>
            <c:numRef>
              <c:f>Hoja1!$B$2:$B$15</c:f>
              <c:numCache>
                <c:formatCode>#,##0</c:formatCode>
                <c:ptCount val="14"/>
                <c:pt idx="0">
                  <c:v>234.7</c:v>
                </c:pt>
                <c:pt idx="1">
                  <c:v>302.6</c:v>
                </c:pt>
                <c:pt idx="2">
                  <c:v>374.8</c:v>
                </c:pt>
                <c:pt idx="3">
                  <c:v>382.4</c:v>
                </c:pt>
                <c:pt idx="4">
                  <c:v>367.2</c:v>
                </c:pt>
                <c:pt idx="5">
                  <c:v>431.1</c:v>
                </c:pt>
                <c:pt idx="6">
                  <c:v>535</c:v>
                </c:pt>
                <c:pt idx="7">
                  <c:v>583</c:v>
                </c:pt>
                <c:pt idx="8">
                  <c:v>629</c:v>
                </c:pt>
                <c:pt idx="9">
                  <c:v>673</c:v>
                </c:pt>
                <c:pt idx="10">
                  <c:v>714</c:v>
                </c:pt>
                <c:pt idx="11">
                  <c:v>749</c:v>
                </c:pt>
                <c:pt idx="12">
                  <c:v>779</c:v>
                </c:pt>
                <c:pt idx="13">
                  <c:v>807</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strCache>
            </c:strRef>
          </c:cat>
          <c:val>
            <c:numRef>
              <c:f>Hoja1!$C$2:$C$15</c:f>
              <c:numCache>
                <c:formatCode>#,##0</c:formatCode>
                <c:ptCount val="14"/>
                <c:pt idx="0">
                  <c:v>53.4</c:v>
                </c:pt>
                <c:pt idx="1">
                  <c:v>51.1</c:v>
                </c:pt>
                <c:pt idx="2">
                  <c:v>59</c:v>
                </c:pt>
                <c:pt idx="3">
                  <c:v>66.85</c:v>
                </c:pt>
                <c:pt idx="4">
                  <c:v>56.4</c:v>
                </c:pt>
                <c:pt idx="5">
                  <c:v>60.7</c:v>
                </c:pt>
                <c:pt idx="6">
                  <c:v>78</c:v>
                </c:pt>
                <c:pt idx="7">
                  <c:v>90</c:v>
                </c:pt>
                <c:pt idx="8">
                  <c:v>101</c:v>
                </c:pt>
                <c:pt idx="9">
                  <c:v>108</c:v>
                </c:pt>
                <c:pt idx="10">
                  <c:v>114</c:v>
                </c:pt>
                <c:pt idx="11">
                  <c:v>120</c:v>
                </c:pt>
                <c:pt idx="12">
                  <c:v>125</c:v>
                </c:pt>
                <c:pt idx="13">
                  <c:v>129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50.4</c:v>
                </c:pt>
                <c:pt idx="1">
                  <c:v>46.3</c:v>
                </c:pt>
                <c:pt idx="2">
                  <c:v>47.3</c:v>
                </c:pt>
                <c:pt idx="3">
                  <c:v>49</c:v>
                </c:pt>
                <c:pt idx="4">
                  <c:v>47.9</c:v>
                </c:pt>
                <c:pt idx="5">
                  <c:v>46.1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22.8</c:v>
                </c:pt>
                <c:pt idx="1">
                  <c:v>16.9</c:v>
                </c:pt>
                <c:pt idx="2">
                  <c:v>15.7</c:v>
                </c:pt>
                <c:pt idx="3">
                  <c:v>17.5</c:v>
                </c:pt>
                <c:pt idx="4">
                  <c:v>15.4</c:v>
                </c:pt>
                <c:pt idx="5">
                  <c:v>14.1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21.4</c:v>
                </c:pt>
                <c:pt idx="1">
                  <c:v>15.2</c:v>
                </c:pt>
                <c:pt idx="2">
                  <c:v>14.1</c:v>
                </c:pt>
                <c:pt idx="3">
                  <c:v>15.3</c:v>
                </c:pt>
                <c:pt idx="4">
                  <c:v>13.9</c:v>
                </c:pt>
                <c:pt idx="5">
                  <c:v>12.7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16.9</c:v>
                </c:pt>
                <c:pt idx="1">
                  <c:v>11.8</c:v>
                </c:pt>
                <c:pt idx="2">
                  <c:v>11.1</c:v>
                </c:pt>
                <c:pt idx="3">
                  <c:v>12.7</c:v>
                </c:pt>
                <c:pt idx="4">
                  <c:v>9.7</c:v>
                </c:pt>
                <c:pt idx="5">
                  <c:v>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1S FY24</c:v>
                </c:pt>
                <c:pt idx="1">
                  <c:v>2S FY24</c:v>
                </c:pt>
                <c:pt idx="2">
                  <c:v>1S FY25</c:v>
                </c:pt>
                <c:pt idx="3">
                  <c:v>2S FY25</c:v>
                </c:pt>
                <c:pt idx="4">
                  <c:v>1S FY26</c:v>
                </c:pt>
                <c:pt idx="5">
                  <c:v>2S FY26</c:v>
                </c:pt>
              </c:strCache>
            </c:strRef>
          </c:cat>
          <c:val>
            <c:numRef>
              <c:f>Hoja1!$B$2:$B$7</c:f>
              <c:numCache>
                <c:formatCode>0.0"%"</c:formatCode>
                <c:ptCount val="6"/>
                <c:pt idx="2">
                  <c:v>-5.2</c:v>
                </c:pt>
                <c:pt idx="3">
                  <c:v>-2.7</c:v>
                </c:pt>
                <c:pt idx="4">
                  <c:v>7.1</c:v>
                </c:pt>
                <c:pt idx="5">
                  <c:v>27.6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57</c:v>
                </c:pt>
                <c:pt idx="1">
                  <c:v>46</c:v>
                </c:pt>
                <c:pt idx="2">
                  <c:v>38</c:v>
                </c:pt>
                <c:pt idx="3">
                  <c:v>40</c:v>
                </c:pt>
                <c:pt idx="4">
                  <c:v>38</c:v>
                </c:pt>
                <c:pt idx="5">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113</c:v>
                </c:pt>
                <c:pt idx="1">
                  <c:v>111</c:v>
                </c:pt>
                <c:pt idx="2">
                  <c:v>97</c:v>
                </c:pt>
                <c:pt idx="3">
                  <c:v>94</c:v>
                </c:pt>
                <c:pt idx="4">
                  <c:v>104</c:v>
                </c:pt>
                <c:pt idx="5">
                  <c:v>120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56.5</c:v>
                </c:pt>
                <c:pt idx="1">
                  <c:v>37.400000000000006</c:v>
                </c:pt>
                <c:pt idx="2">
                  <c:v>58.199999999999996</c:v>
                </c:pt>
                <c:pt idx="3">
                  <c:v>62.5</c:v>
                </c:pt>
                <c:pt idx="4">
                  <c:v>54</c:v>
                </c:pt>
                <c:pt idx="5">
                  <c:v>48.1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39.6</c:v>
                </c:pt>
                <c:pt idx="1">
                  <c:v>35.8</c:v>
                </c:pt>
                <c:pt idx="2">
                  <c:v>41.6</c:v>
                </c:pt>
                <c:pt idx="3">
                  <c:v>48.7</c:v>
                </c:pt>
                <c:pt idx="4">
                  <c:v>35.6</c:v>
                </c:pt>
                <c:pt idx="5">
                  <c:v>42.5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384.5</c:v>
                </c:pt>
                <c:pt idx="1">
                  <c:v>159.8</c:v>
                </c:pt>
                <c:pt idx="2">
                  <c:v>142.5</c:v>
                </c:pt>
                <c:pt idx="3">
                  <c:v>149.2</c:v>
                </c:pt>
                <c:pt idx="4">
                  <c:v>159.6</c:v>
                </c:pt>
                <c:pt idx="5">
                  <c:v>293.7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11.4</c:v>
                </c:pt>
                <c:pt idx="1">
                  <c:v>11.4</c:v>
                </c:pt>
                <c:pt idx="2">
                  <c:v>11.4</c:v>
                </c:pt>
                <c:pt idx="3">
                  <c:v>11.4</c:v>
                </c:pt>
                <c:pt idx="4">
                  <c:v>11.4</c:v>
                </c:pt>
                <c:pt idx="5">
                  <c:v>11.4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45.2</c:v>
                </c:pt>
                <c:pt idx="1">
                  <c:v>36.7</c:v>
                </c:pt>
                <c:pt idx="2">
                  <c:v>35.1</c:v>
                </c:pt>
                <c:pt idx="3">
                  <c:v>34</c:v>
                </c:pt>
                <c:pt idx="4">
                  <c:v>24.2</c:v>
                </c:pt>
                <c:pt idx="5">
                  <c:v>35.7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-1.45</c:v>
                </c:pt>
                <c:pt idx="1">
                  <c:v>-1.43</c:v>
                </c:pt>
                <c:pt idx="2">
                  <c:v>-1.81</c:v>
                </c:pt>
                <c:pt idx="3">
                  <c:v>-1.8</c:v>
                </c:pt>
                <c:pt idx="4">
                  <c:v>-2.27</c:v>
                </c:pt>
                <c:pt idx="5">
                  <c:v>-1.37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0</c:v>
                </c:pt>
                <c:pt idx="1">
                  <c:v>16.8</c:v>
                </c:pt>
                <c:pt idx="2">
                  <c:v>0</c:v>
                </c:pt>
                <c:pt idx="3">
                  <c:v>22.9</c:v>
                </c:pt>
                <c:pt idx="4">
                  <c:v>0</c:v>
                </c:pt>
                <c:pt idx="5">
                  <c:v>7.9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16</c:v>
                </c:pt>
                <c:pt idx="1">
                  <c:v>27.4</c:v>
                </c:pt>
                <c:pt idx="2">
                  <c:v>28.4</c:v>
                </c:pt>
                <c:pt idx="3">
                  <c:v>30.4</c:v>
                </c:pt>
                <c:pt idx="4">
                  <c:v>35.7</c:v>
                </c:pt>
                <c:pt idx="5">
                  <c:v>34.6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0</c:v>
                </c:pt>
                <c:pt idx="1">
                  <c:v>0</c:v>
                </c:pt>
                <c:pt idx="2">
                  <c:v>0</c:v>
                </c:pt>
                <c:pt idx="3">
                  <c:v>0</c:v>
                </c:pt>
                <c:pt idx="4">
                  <c:v>22.6</c:v>
                </c:pt>
                <c:pt idx="5">
                  <c:v>55.7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3</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Brendan Mooney (consejero delegado)</c:v>
                </c:pt>
                <c:pt idx="1">
                  <c:v>Qubis Ltd (Queen's University Belfast)</c:v>
                </c:pt>
                <c:pt idx="2">
                  <c:v>Paul Gannon (fundador)</c:v>
                </c:pt>
                <c:pt idx="3">
                  <c:v>Liontrust</c:v>
                </c:pt>
                <c:pt idx="4">
                  <c:v>Baillie Gifford</c:v>
                </c:pt>
                <c:pt idx="5">
                  <c:v>Brian Gannon</c:v>
                </c:pt>
                <c:pt idx="6">
                  <c:v>Richard McCann (director financiero)</c:v>
                </c:pt>
              </c:strCache>
            </c:strRef>
          </c:cat>
          <c:val>
            <c:numRef>
              <c:f>Hoja1!$B$2:$B$8</c:f>
              <c:numCache>
                <c:formatCode>0.0"%"</c:formatCode>
                <c:ptCount val="7"/>
                <c:pt idx="0">
                  <c:v>9.1</c:v>
                </c:pt>
                <c:pt idx="1">
                  <c:v>8.7</c:v>
                </c:pt>
                <c:pt idx="2">
                  <c:v>5.2</c:v>
                </c:pt>
                <c:pt idx="3">
                  <c:v>5</c:v>
                </c:pt>
                <c:pt idx="4">
                  <c:v>4.5</c:v>
                </c:pt>
                <c:pt idx="5">
                  <c:v>3.6</c:v>
                </c:pt>
                <c:pt idx="6">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-20.7</c:v>
                </c:pt>
                <c:pt idx="1">
                  <c:v>66</c:v>
                </c:pt>
                <c:pt idx="2">
                  <c:v>17.8</c:v>
                </c:pt>
                <c:pt idx="3">
                  <c:v>85.5</c:v>
                </c:pt>
                <c:pt idx="4">
                  <c:v>64.2</c:v>
                </c:pt>
                <c:pt idx="5">
                  <c:v>57.4</c:v>
                </c:pt>
                <c:pt idx="6">
                  <c:v>-19.5</c:v>
                </c:pt>
                <c:pt idx="7">
                  <c:v>-27.5</c:v>
                </c:pt>
                <c:pt idx="8">
                  <c:v>-27.7</c:v>
                </c:pt>
                <c:pt idx="9">
                  <c:v>24.1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3.7</c:v>
                </c:pt>
                <c:pt idx="1">
                  <c:v>14.7</c:v>
                </c:pt>
                <c:pt idx="2">
                  <c:v>-15.6</c:v>
                </c:pt>
                <c:pt idx="3">
                  <c:v>25</c:v>
                </c:pt>
                <c:pt idx="4">
                  <c:v>-6.4</c:v>
                </c:pt>
                <c:pt idx="5">
                  <c:v>14.6</c:v>
                </c:pt>
                <c:pt idx="6">
                  <c:v>-19.7</c:v>
                </c:pt>
                <c:pt idx="7">
                  <c:v>4.4</c:v>
                </c:pt>
                <c:pt idx="8">
                  <c:v>4.7</c:v>
                </c:pt>
                <c:pt idx="9">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33</c:v>
                </c:pt>
                <c:pt idx="1">
                  <c:v>31</c:v>
                </c:pt>
                <c:pt idx="2">
                  <c:v>27.6</c:v>
                </c:pt>
                <c:pt idx="3">
                  <c:v>16.4</c:v>
                </c:pt>
                <c:pt idx="4">
                  <c:v>12.6</c:v>
                </c:pt>
                <c:pt idx="5">
                  <c:v>13.2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0.0"x"</c:formatCode>
                <c:ptCount val="6"/>
                <c:pt idx="0">
                  <c:v>16.4</c:v>
                </c:pt>
                <c:pt idx="1">
                  <c:v>16.4</c:v>
                </c:pt>
                <c:pt idx="2">
                  <c:v>16.4</c:v>
                </c:pt>
                <c:pt idx="3">
                  <c:v>16.4</c:v>
                </c:pt>
                <c:pt idx="4">
                  <c:v>16.4</c:v>
                </c:pt>
                <c:pt idx="5">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Kainos</c:v>
                </c:pt>
                <c:pt idx="1">
                  <c:v>Accenture</c:v>
                </c:pt>
                <c:pt idx="2">
                  <c:v>Capgemini</c:v>
                </c:pt>
                <c:pt idx="3">
                  <c:v>CGI</c:v>
                </c:pt>
                <c:pt idx="4">
                  <c:v>Sopra Steria</c:v>
                </c:pt>
                <c:pt idx="5">
                  <c:v>EPAM Systems</c:v>
                </c:pt>
                <c:pt idx="6">
                  <c:v>Cognizant</c:v>
                </c:pt>
                <c:pt idx="7">
                  <c:v>Globant</c:v>
                </c:pt>
                <c:pt idx="8">
                  <c:v>Reply</c:v>
                </c:pt>
                <c:pt idx="9">
                  <c:v>Nagarro</c:v>
                </c:pt>
                <c:pt idx="10">
                  <c:v>Netcompany</c:v>
                </c:pt>
              </c:strCache>
            </c:strRef>
          </c:cat>
          <c:val>
            <c:numRef>
              <c:f>Hoja1!$B$2:$B$12</c:f>
              <c:numCache>
                <c:formatCode>0.0"x"</c:formatCode>
                <c:ptCount val="11"/>
                <c:pt idx="0">
                  <c:v>18.5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52</c:v>
                </c:pt>
                <c:pt idx="1">
                  <c:v>64</c:v>
                </c:pt>
                <c:pt idx="2">
                  <c:v>71</c:v>
                </c:pt>
                <c:pt idx="3">
                  <c:v>76</c:v>
                </c:pt>
                <c:pt idx="4">
                  <c:v>80</c:v>
                </c:pt>
                <c:pt idx="5">
                  <c:v>83</c:v>
                </c:pt>
                <c:pt idx="6">
                  <c:v>86</c:v>
                </c:pt>
                <c:pt idx="7">
                  <c:v>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380</c:v>
                </c:pt>
                <c:pt idx="1">
                  <c:v>459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13,20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4.7</c:v>
                </c:pt>
                <c:pt idx="1">
                  <c:v>7.63</c:v>
                </c:pt>
                <c:pt idx="2">
                  <c:v>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13,20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(6,86 – 13,24)</c:v>
                </c:pt>
                <c:pt idx="1">
                  <c:v>Precio objetivo de los analistas (10,65 – 15,00)</c:v>
                </c:pt>
                <c:pt idx="2">
                  <c:v>Comparables: PER NTM (4,66 – 7,76)</c:v>
                </c:pt>
                <c:pt idx="3">
                  <c:v>DCF (WACC y g ± 0,5) (7,05 – 8,36)</c:v>
                </c:pt>
                <c:pt idx="4">
                  <c:v>Escenarios (bajista – alcista) (4,70 – 8,80)</c:v>
                </c:pt>
                <c:pt idx="5">
                  <c:v>DCF con la prima implícita del mercado (4,2 %)</c:v>
                </c:pt>
                <c:pt idx="6">
                  <c:v>Precio actual (13,20)</c:v>
                </c:pt>
              </c:strCache>
            </c:strRef>
          </c:cat>
          <c:val>
            <c:numRef>
              <c:f>Hoja1!$B$2:$B$8</c:f>
              <c:numCache>
                <c:formatCode>#,##0.0</c:formatCode>
                <c:ptCount val="7"/>
                <c:pt idx="0">
                  <c:v>6.86</c:v>
                </c:pt>
                <c:pt idx="1">
                  <c:v>10.65</c:v>
                </c:pt>
                <c:pt idx="2">
                  <c:v>4.66</c:v>
                </c:pt>
                <c:pt idx="3">
                  <c:v>7.05</c:v>
                </c:pt>
                <c:pt idx="4">
                  <c:v>4.7</c:v>
                </c:pt>
                <c:pt idx="5">
                  <c:v>8.48</c:v>
                </c:pt>
                <c:pt idx="6">
                  <c:v>13.13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(6,86 – 13,24)</c:v>
                </c:pt>
                <c:pt idx="1">
                  <c:v>Precio objetivo de los analistas (10,65 – 15,00)</c:v>
                </c:pt>
                <c:pt idx="2">
                  <c:v>Comparables: PER NTM (4,66 – 7,76)</c:v>
                </c:pt>
                <c:pt idx="3">
                  <c:v>DCF (WACC y g ± 0,5) (7,05 – 8,36)</c:v>
                </c:pt>
                <c:pt idx="4">
                  <c:v>Escenarios (bajista – alcista) (4,70 – 8,80)</c:v>
                </c:pt>
                <c:pt idx="5">
                  <c:v>DCF con la prima implícita del mercado (4,2 %)</c:v>
                </c:pt>
                <c:pt idx="6">
                  <c:v>Precio actual (13,20)</c:v>
                </c:pt>
              </c:strCache>
            </c:strRef>
          </c:cat>
          <c:val>
            <c:numRef>
              <c:f>Hoja1!$C$2:$C$8</c:f>
              <c:numCache>
                <c:formatCode>#,##0.0</c:formatCode>
                <c:ptCount val="7"/>
                <c:pt idx="0">
                  <c:v>6.38</c:v>
                </c:pt>
                <c:pt idx="1">
                  <c:v>4.35</c:v>
                </c:pt>
                <c:pt idx="2">
                  <c:v>3.0999999999999996</c:v>
                </c:pt>
                <c:pt idx="3">
                  <c:v>1.3099999999999996</c:v>
                </c:pt>
                <c:pt idx="4">
                  <c:v>4.1000000000000005</c:v>
                </c:pt>
                <c:pt idx="5">
                  <c:v>1.17</c:v>
                </c:pt>
                <c:pt idx="6">
                  <c:v>0.1399999999999988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