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Sandvik AB (publ)</w:t>
      </w:r>
    </w:p>
    <w:p>
      <w:pPr>
        <w:spacing w:after="60"/>
        <w:rPr>
          <w:color w:val="52514E"/>
          <w:sz w:val="22"/>
          <w:szCs w:val="22"/>
        </w:rPr>
      </w:pPr>
      <w:r>
        <w:rPr>
          <w:color w:val="52514E"/>
          <w:sz w:val="22"/>
          <w:szCs w:val="22"/>
        </w:rPr>
        <w:t xml:space="preserve">SAND · Nasdaq Stockholm (Large Cap) · ISIN SE0000667891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365,00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333,94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-6,9 % (base -0,6 %)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262,84 SEK · mercado 292,54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457.856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Sandvik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SAND / SE0000667891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industrial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Estocolmo · 1862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https://www.home.sandvik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365,00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262,70 – 413,10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457.856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495.143 M SEK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674,4 M SEK/día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333,94 SEK</w:t>
      </w:r>
      <w:r>
        <w:t xml:space="preserve"> frente a 365,00 · Rentabilidad a 12 meses </w:t>
      </w:r>
      <w:r>
        <w:rPr>
          <w:b/>
          <w:bCs/>
        </w:rPr>
        <w:t xml:space="preserve">-6,9 % (base -0,6 %)</w:t>
      </w:r>
      <w:r>
        <w:t xml:space="preserve"> · Valor intrínseco 262,84 SEK · con la prima implícita del mercado: 292,54 (-19,9 %) · Alcista / bajista -32,2 % / -54,1 %</w:t>
      </w:r>
    </w:p>
    <w:p>
      <w:pPr>
        <w:spacing w:after="100"/>
      </w:pPr>
      <w:r>
        <w:rPr>
          <w:b/>
        </w:rPr>
        <w:t xml:space="preserve">La recomendación y por qué.</w:t>
      </w:r>
      <w:r>
        <w:t xml:space="preserve"> Mantener, con convicción media. El objetivo a 12 meses es de 333,94 SEK, con una rentabilidad ponderada del −6,9 % y del −0,6 % en el caso base (dividendo incluido), frente a un precio de 365 SEK (14-oct); el valor intrínseco es de 262,84 SEK, un 28,0 % por debajo. Decide la regla v3 (el selector no marca nada); la v2 de control da −12,4 % y Vender. El objetivo medio de los analistas (391,14 SEK) queda por encima de nuestro base. La razón principal: Sandvik vive el mejor momento de sus dos ciclos a la vez, minería y herramientas, con un beneficio de 2026 inflado por el tungsteno, y el precio ya paga 21,1 veces nuestro BPA de 2027. No es Vender porque cotiza con descuento frente a Epiroc y a los comparables. La convicción es media porque la v3 y la v2 discrepan (Mantener frente a Vender) y la ponderada está a 3,1 puntos del umbral de venta: la subiría un 3T26 con pedidos de herramientas firmes sin el tungsteno; la bajaría un precio por encima de 377,71 SEK o un BPA ajustado de 2026 por debajo de 15,5 SEK.</w:t>
      </w:r>
    </w:p>
    <w:p>
      <w:pPr>
        <w:spacing w:after="100"/>
      </w:pPr>
      <w:r>
        <w:rPr>
          <w:b/>
        </w:rPr>
        <w:t xml:space="preserve">El negocio.</w:t>
      </w:r>
      <w:r>
        <w:t xml:space="preserve"> Dos negocios casi iguales en beneficio: minería y procesado de roca (61 % de las ventas, posventa del 66 % en Mining) y herramientas de corte de metal duro con su software (39 %) [2]. La escisión de Alleima en 2022 dejó un grupo mejor, pero las compras de software se pagaron caras. </w:t>
      </w:r>
      <w:r>
        <w:rPr>
          <w:b/>
        </w:rPr>
        <w:t xml:space="preserve">Calidad: En parte.</w:t>
      </w:r>
      <w:r>
        <w:t xml:space="preserve"> El ROIC del 12,0 % supera en solo 1,8 puntos al WACC del 10,20 % (18,7 % sin el fondo de comercio) y el ROIC incremental es del 7,1 %: no pasa el filtro de calidad de la cartera (4,5 puntos). El crecimiento proyectado es sostenible («Sí»): es sobre todo precio y compras.</w:t>
      </w:r>
    </w:p>
    <w:p>
      <w:pPr>
        <w:spacing w:after="100"/>
      </w:pPr>
      <w:r>
        <w:rPr>
          <w:b/>
        </w:rPr>
        <w:t xml:space="preserve">Sector y ciclo.</w:t>
      </w:r>
      <w:r>
        <w:t xml:space="preserve"> Mining crece con el cobre y el oro (pedidos +11 % orgánico, posventa +17 %) y Machining con la industria, la aeroespacial y el tungsteno (pedidos +30 %) [2]. El PER de un cíclico engaña en el pico y en el fondo: en el bajista la regla aplica un PER menor a un BPA ya recortado, y aun sin ese doble castigo la ponderada sigue negativa.</w:t>
      </w:r>
    </w:p>
    <w:p>
      <w:pPr>
        <w:spacing w:after="100"/>
      </w:pPr>
      <w:r>
        <w:rPr>
          <w:b/>
        </w:rPr>
        <w:t xml:space="preserve">Frente a Epiroc.</w:t>
      </w:r>
      <w:r>
        <w:t xml:space="preserve"> Epiroc es minería casi pura (82 % de los pedidos), con un ROIC del 16,3 %, y cotiza a 27,9 veces el beneficio esperado frente a 19,2 de Sandvik [12]. Sandvik es más barata y más diversificada, pero su beneficio lleva el tungsteno y su capital, más fondo de comercio. Las dos salen en Mantener.</w:t>
      </w:r>
    </w:p>
    <w:p>
      <w:pPr>
        <w:spacing w:after="100"/>
      </w:pPr>
      <w:r>
        <w:rPr>
          <w:b/>
        </w:rPr>
        <w:t xml:space="preserve">Finanzas.</w:t>
      </w:r>
      <w:r>
        <w:t xml:space="preserve"> Deuda financiera neta de 30.244 M SEK (1,0 veces el EBITDA) [2]; conversión de caja del 83 % en 2021-2025, del 46 % en el 2T26 por el circulante.</w:t>
      </w:r>
    </w:p>
    <w:p>
      <w:pPr>
        <w:spacing w:after="100"/>
      </w:pPr>
      <w:r>
        <w:rPr>
          <w:b/>
        </w:rPr>
        <w:t xml:space="preserve">Valoración.</w:t>
      </w:r>
      <w:r>
        <w:t xml:space="preserve"> El DCF inverso exige un crecimiento del 16,4 % anual o un margen EBITDA del 35,1 %: el precio ofrece un 6,2 % de rentabilidad implícita. Nuestro BPA de 2027 (17,33 SEK) está un 12 % por debajo del consenso: no suponemos que el tungsteno siga arriba.</w:t>
      </w:r>
    </w:p>
    <w:p>
      <w:pPr>
        <w:spacing w:after="100"/>
      </w:pPr>
      <w:r>
        <w:rPr>
          <w:b/>
        </w:rPr>
        <w:t xml:space="preserve">Riesgos y catalizadores.</w:t>
      </w:r>
      <w:r>
        <w:t xml:space="preserve"> El doble ciclo llevaría el precio al bajista (189,83 SEK, −46 %); el tungsteno restará margen cuando baje. </w:t>
      </w:r>
      <w:r>
        <w:rPr>
          <w:b/>
        </w:rPr>
        <w:t xml:space="preserve">Riesgo de que la IA se coma el negocio: bajo.</w:t>
      </w:r>
      <w:r>
        <w:t xml:space="preserve"> La IA no sustituye una plaquita de metal duro ni una perforadora; lo expuesto es el software CAD/CAM (Intelligent Manufacturing, 3 % de las ventas), donde la programación automática puede abaratar licencias. Los foros están divididos, con más voces bajistas desde el 2T26. Catalizadores: 3T26 el 22-oct y día del inversor el 24-25 de noviembre.</w:t>
      </w:r>
    </w:p>
    <w:p>
      <w:pPr>
        <w:spacing w:after="100"/>
      </w:pPr>
      <w:r>
        <w:rPr>
          <w:b/>
        </w:rPr>
        <w:t xml:space="preserve">Qué cambiaría la decisión.</w:t>
      </w:r>
      <w:r>
        <w:t xml:space="preserve"> Comprar por debajo de 262,84 SEK; vender por encima de 377,71 SEK. Pasaríamos a Vender si el 3T26 muestra pedidos de herramientas cayendo o si el BPA ajustado de 2026 no llega a 15,5 SEK.</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333,94 SEK</w:t>
      </w:r>
      <w:r>
        <w:t xml:space="preserve"> (rentabilidad -6,9 % (base -0,6 %)) · Valor intrínseco: 262,84 SEK (-28,0 % sobre 365,00) · con la prima implícita del mercado: 292,54 (-19,9 %)</w:t>
      </w:r>
    </w:p>
    <w:p>
      <w:pPr>
        <w:spacing w:after="100"/>
      </w:pPr>
      <w:r>
        <w:t xml:space="preserve">Sandvik es el primer fabricante mundial de herramientas de corte de metal duro (Coromant) y, con Epiroc, uno de los dos líderes en equipos para minería subterránea [1]. Tras escindir Alleima en 2022, el 61 % de las ventas es minería y procesado de roca y el 39 % herramientas y software de fabricación [2].</w:t>
      </w:r>
    </w:p>
    <w:p>
      <w:pPr>
        <w:spacing w:after="100"/>
      </w:pPr>
      <w:r>
        <w:t xml:space="preserve">El precio (365 SEK) descuenta bastante: 21,1 veces nuestro BPA ajustado de 2027, 15,8 veces el EBITDA de los últimos 12 meses y, en el DCF inverso, un crecimiento del 16,4 % anual. Es más barato que Epiroc y que los comparables a 12 meses, pero porque su beneficio de 2026 lleva el tungsteno y su rentabilidad es menor.</w:t>
      </w:r>
    </w:p>
    <w:p>
      <w:pPr>
        <w:spacing w:after="100"/>
      </w:pPr>
      <w:r>
        <w:t xml:space="preserve">El mercado acierta en el ciclo de corto plazo y se arriesga en extrapolar un 2026 excepcional: el consenso pone un BPA de 19,68 SEK en 2027. Para invertir hay que creer que el tungsteno, la minería y la industria siguen arriba a la vez. Nosotros vemos un −0,6 % en el base y un −6,9 % ponderado.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333,94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12,74 = 189,83 · 19,7x × 18,12 = 356,96 · 22,2x × 19,46 = 432,01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 -0,6 %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391,14 (nuestro base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262,84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 / -54,1 %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frente a 10,2 %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292,54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 frente a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262,84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262,84 y 377,71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377,71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377,71 SEK (rentabilidad ponderada a 12 meses ≤ −10 %): Vender.</w:t>
      </w:r>
    </w:p>
    <w:p>
      <w:pPr>
        <w:pStyle w:val="ListParagraph"/>
        <w:numPr>
          <w:ilvl w:val="0"/>
          <w:numId w:val="2"/>
        </w:numPr>
        <w:spacing w:after="60"/>
      </w:pPr>
      <w:r>
        <w:t xml:space="preserve">Precio por debajo de 262,84 SEK (ponderada ≥ 15 %, base ≥ 12 % y precio ≤ valor intrínseco): Comprar, y solo con ROIC − WACC de al menos 5 puntos.</w:t>
      </w:r>
    </w:p>
    <w:p>
      <w:pPr>
        <w:pStyle w:val="ListParagraph"/>
        <w:numPr>
          <w:ilvl w:val="0"/>
          <w:numId w:val="2"/>
        </w:numPr>
        <w:spacing w:after="60"/>
      </w:pPr>
      <w:r>
        <w:t xml:space="preserve">BPA ajustado de 2026 por debajo de 15,5 SEK tras el 3T26 o el 4T26: revisar a la baja y probablemente Vender.</w:t>
      </w:r>
    </w:p>
    <w:p>
      <w:pPr>
        <w:pStyle w:val="ListParagraph"/>
        <w:numPr>
          <w:ilvl w:val="0"/>
          <w:numId w:val="2"/>
        </w:numPr>
        <w:spacing w:after="60"/>
      </w:pPr>
      <w:r>
        <w:t xml:space="preserve">Pedidos orgánicos de herramientas negativos dos trimestres seguidos: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beneficio de 2026 (BPA de 16,76 SEK de consenso) siga creciendo hasta 19,68 en 2027 y 20,94 en 2028, con ventas un 14 % mayores en 2027 [19].</w:t>
      </w:r>
    </w:p>
    <w:p>
      <w:pPr>
        <w:keepNext/>
        <w:spacing w:after="100"/>
      </w:pPr>
      <w:r>
        <w:rPr>
          <w:b/>
          <w:bCs/>
        </w:rPr>
        <w:t xml:space="preserve">Lo que creemos nosotros.</w:t>
      </w:r>
    </w:p>
    <w:p>
      <w:pPr>
        <w:spacing w:after="100"/>
      </w:pPr>
      <w:r>
        <w:t xml:space="preserve">El efecto del tungsteno y las compras anticipadas de herramientas no se repiten: BPA ajustado de 17,33 en 2027 y 18,12 en 2028, con el EBITA ajustado en el 21 %, dentro de su objetivo. A 12 meses el precio queda plano.</w:t>
      </w:r>
    </w:p>
    <w:p>
      <w:pPr>
        <w:keepNext/>
        <w:spacing w:after="100"/>
      </w:pPr>
      <w:r>
        <w:rPr>
          <w:b/>
          <w:bCs/>
        </w:rPr>
        <w:t xml:space="preserve">Por qué podemos tener razón.</w:t>
      </w:r>
    </w:p>
    <w:p>
      <w:pPr>
        <w:spacing w:after="100"/>
      </w:pPr>
      <w:r>
        <w:t xml:space="preserve">Sandvik lo dice: el efecto del tungsteno es «temporal» (550 M en el 2T26) y la demanda diaria de herramientas tiene «más incertidumbre de lo normal» [2]. En el pico de un cíclico el mercado paga como permanente lo que es de ciclo.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36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Dos líderes mundiales</w:t>
      </w:r>
      <w:r>
        <w:t xml:space="preserve">: metal duro (Coromant) y minería subterránea con Epiroc [1].</w:t>
      </w:r>
    </w:p>
    <w:p>
      <w:pPr>
        <w:pStyle w:val="ListParagraph"/>
        <w:numPr>
          <w:ilvl w:val="0"/>
          <w:numId w:val="2"/>
        </w:numPr>
        <w:spacing w:after="60"/>
      </w:pPr>
      <w:r>
        <w:rPr>
          <w:b/>
        </w:rPr>
        <w:t xml:space="preserve">Ciclo minero fuerte</w:t>
      </w:r>
      <w:r>
        <w:t xml:space="preserve">: pedidos de Mining +11 % orgánico y posventa +17 % [2].</w:t>
      </w:r>
    </w:p>
    <w:p>
      <w:pPr>
        <w:pStyle w:val="ListParagraph"/>
        <w:numPr>
          <w:ilvl w:val="0"/>
          <w:numId w:val="2"/>
        </w:numPr>
        <w:spacing w:after="60"/>
      </w:pPr>
      <w:r>
        <w:rPr>
          <w:b/>
        </w:rPr>
        <w:t xml:space="preserve">Más barata que Epiroc</w:t>
      </w:r>
      <w:r>
        <w:t xml:space="preserve">: 19,2 veces el beneficio esperado frente a 27,9 [12].</w:t>
      </w:r>
    </w:p>
    <w:p>
      <w:pPr>
        <w:pStyle w:val="ListParagraph"/>
        <w:numPr>
          <w:ilvl w:val="0"/>
          <w:numId w:val="2"/>
        </w:numPr>
        <w:spacing w:after="60"/>
      </w:pPr>
      <w:r>
        <w:rPr>
          <w:b/>
        </w:rPr>
        <w:t xml:space="preserve">Tungsteno propio</w:t>
      </w:r>
      <w:r>
        <w:t xml:space="preserve">: mina y reciclaje en Europa cuando China restringe la oferta [2].</w:t>
      </w:r>
    </w:p>
    <w:p>
      <w:pPr>
        <w:pStyle w:val="ListParagraph"/>
        <w:numPr>
          <w:ilvl w:val="0"/>
          <w:numId w:val="2"/>
        </w:numPr>
        <w:spacing w:after="60"/>
      </w:pPr>
      <w:r>
        <w:rPr>
          <w:b/>
        </w:rPr>
        <w:t xml:space="preserve">Balance sano</w:t>
      </w:r>
      <w:r>
        <w:t xml:space="preserve">: deuda financiera neta de 1,0 veces el EBITDA [2].</w:t>
      </w:r>
    </w:p>
    <w:p>
      <w:pPr>
        <w:pStyle w:val="Heading2"/>
      </w:pPr>
      <w:r>
        <w:t xml:space="preserve">En contra</w:t>
      </w:r>
    </w:p>
    <w:p>
      <w:pPr>
        <w:pStyle w:val="ListParagraph"/>
        <w:numPr>
          <w:ilvl w:val="0"/>
          <w:numId w:val="2"/>
        </w:numPr>
        <w:spacing w:after="60"/>
      </w:pPr>
      <w:r>
        <w:rPr>
          <w:b/>
        </w:rPr>
        <w:t xml:space="preserve">Beneficio inflado</w:t>
      </w:r>
      <w:r>
        <w:t xml:space="preserve">: 550 M de efecto temporal del tungsteno en el 2T26 [2].</w:t>
      </w:r>
    </w:p>
    <w:p>
      <w:pPr>
        <w:pStyle w:val="ListParagraph"/>
        <w:numPr>
          <w:ilvl w:val="0"/>
          <w:numId w:val="2"/>
        </w:numPr>
        <w:spacing w:after="60"/>
      </w:pPr>
      <w:r>
        <w:rPr>
          <w:b/>
        </w:rPr>
        <w:t xml:space="preserve">ROIC justo</w:t>
      </w:r>
      <w:r>
        <w:t xml:space="preserve">: 12,0 % frente a un WACC del 10,20 %; ROIC incremental del 7,1 %.</w:t>
      </w:r>
    </w:p>
    <w:p>
      <w:pPr>
        <w:pStyle w:val="ListParagraph"/>
        <w:numPr>
          <w:ilvl w:val="0"/>
          <w:numId w:val="2"/>
        </w:numPr>
        <w:spacing w:after="60"/>
      </w:pPr>
      <w:r>
        <w:rPr>
          <w:b/>
        </w:rPr>
        <w:t xml:space="preserve">Software que no rinde</w:t>
      </w:r>
      <w:r>
        <w:t xml:space="preserve">: Intelligent Manufacturing con ROCE de −0,5 % [2].</w:t>
      </w:r>
    </w:p>
    <w:p>
      <w:pPr>
        <w:pStyle w:val="ListParagraph"/>
        <w:numPr>
          <w:ilvl w:val="0"/>
          <w:numId w:val="2"/>
        </w:numPr>
        <w:spacing w:after="60"/>
      </w:pPr>
      <w:r>
        <w:rPr>
          <w:b/>
        </w:rPr>
        <w:t xml:space="preserve">Doble ciclo</w:t>
      </w:r>
      <w:r>
        <w:t xml:space="preserve">: el bajista a 12 meses pierde un 46,3 %.</w:t>
      </w:r>
    </w:p>
    <w:p>
      <w:pPr>
        <w:pStyle w:val="ListParagraph"/>
        <w:numPr>
          <w:ilvl w:val="0"/>
          <w:numId w:val="2"/>
        </w:numPr>
        <w:spacing w:after="60"/>
      </w:pPr>
      <w:r>
        <w:rPr>
          <w:b/>
        </w:rPr>
        <w:t xml:space="preserve">Relevos</w:t>
      </w:r>
      <w:r>
        <w:t xml:space="preserve">: nuevo presidente en Mining y salida de la de Machining en 2026 [16, 17].</w:t>
      </w:r>
    </w:p>
    <w:p>
      <w:pPr>
        <w:pStyle w:val="Heading2"/>
      </w:pPr>
      <w:r>
        <w:t xml:space="preserve">Qué tiene que pasar para que la tesis funcione</w:t>
      </w:r>
    </w:p>
    <w:p>
      <w:pPr>
        <w:spacing w:after="100"/>
      </w:pPr>
      <w:r>
        <w:t xml:space="preserve">La tesis depende de cuánto beneficio de 2026 es tungsteno y compra anticipada. La señal: pedidos de Machining y libro-facturación del 3T26 y 4T26 (alerta por debajo del 95 %), margen de Machining sin el efecto temporal y precio del tungsteno en Europa; en minería, el cobre por debajo de 5 USD por libra.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de Machining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de las compras anticipadas.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 de Machining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tungsteno, nuestro base supone unos 22 %.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de Mining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minero.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 en 12 meses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de pico de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cobre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 USD/lb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 USD/lb</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minera.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 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27,2x / 19,2x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Sandvik nace en 1862 en Sandviken (Suecia), cuando Göran Fredrik Göransson aplica a escala industrial el procedimiento Bessemer para el acero. Durante un siglo fue una acería; desde los años cuarenta creció con el metal duro (Sandvik Coromant, 1942) y después con la minería. En 2022 escindió su negocio de aceros y aleaciones especiales, Sandvik Materials Technology, que salió a bolsa como Alleima el 31-ago-2022: lo que queda es un grupo de minería, procesado de roca y herramientas de corte. Stefan Widing es consejero delegado desde febrero de 2020 y ha comprado sobre todo software (Deswik, Mastercam, CGTech, GibbsCAM) y posventa minera. Industrivärden es su primer accionista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Sandviken (acero Bessemer)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herramientas de metal duro: origen de Sandvik Coromant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Stefan Widing, consejero delegado (antes en Assa Abloy)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DSI Underground y de Mastercam (CAD/CAM)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y salida a bolsa de Alleima (31-ago); compras de Deswik y SP Mining; salida de Rusia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(20-may): nueva estructura con cuatro áreas desde el 1-ene-26 y objetivos 2025-2030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y beneficios récord en el 2T26; venta de Additive Manufacturing y compra de Diemme Filtration; día del inversor el 24-25 de noviembre [2, 14].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Sandvik tiene dos negocios. El 61 % de los ingresos de 2025 es minería e infraestructura: equipos de perforación, carga y transporte subterráneo (el área Mining, 62.971 M SEK) y trituración, cribado y demolición (Rock Processing, 10.435 M), con sus recambios, herramientas de roca, servicio, automatización (AutoMine) y software de planificación (Deswik) [1, 2]. El 39 % es fabricación: herramientas de corte de metal duro para tornear, fresar y taladrar metal (Sandvik Coromant, Seco, Walter, Dormer Pramet), polvo de tungsteno de su propia mina en Austria y software CAD/CAM (Mastercam, Cimatron), que desde 2026 se reportan en dos áreas, Machining (44.003 M) e Intelligent Manufacturing (3.117 M) [2]. Por mercado final, la minería es el 52 % de los ingresos, la industria general el 25 %, aeroespacial y defensa el 5 % y automóvil el 4 % [2]. Unos 41.800 empleados [1].</w:t>
      </w:r>
    </w:p>
    <w:p>
      <w:pPr>
        <w:pStyle w:val="Heading2"/>
      </w:pPr>
      <w:r>
        <w:t xml:space="preserve">Cómo gana dinero</w:t>
      </w:r>
    </w:p>
    <w:p>
      <w:pPr>
        <w:spacing w:after="100"/>
      </w:pPr>
      <w:r>
        <w:t xml:space="preserve">En minería, la posventa (recambios, servicio, herramientas de roca, digital) es el 66 % de los ingresos de Mining y crece con las horas de trabajo de un parque envejecido; los equipos dependen del ciclo de inversión de las mineras [2]. En herramientas de corte el negocio es casi todo consumible: una plaquita de metal duro dura horas, y la demanda sigue a la producción industrial (PMI, aeroespacial, automóvil) con poca visibilidad, porque se piden día a día [2]. El margen depende del volumen (apalancamiento operativo del 55 % en Machining en el 2T26), del precio y del tungsteno: Sandvik traslada su precio con retraso, y en el 2T26 el efecto temporal sumó 550 M [2]. El software cobra licencias y suscripciones.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62.971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 Processing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Machining e Intelligent Manufacturing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47.273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comunes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62.971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 Processing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Machining e Intelligent Manufacturing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47.273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comunes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dispersos: mineras grandes y contratistas en minería (Kamoa Copper, LKAB, Khoemacau, contratistas mexicanos) y decenas de miles de talleres, fabricantes aeroespaciales y de automoción en herramientas [1, 15]. Ningún cliente es significativo en las cuentas [1]. El poder de precio se ve en el margen bruto ajustado, del 42,7 % en el 2T26 frente al 41,3 % un año antes, con precio de herramientas al alza y recargos por aranceles (+0,5 % de los ingresos de Machining) [2]. La compra de metal duro es pequeña para el cliente frente al coste de parar una máquina: decide el rendimiento, no el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128.455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74.555 en 1S26 (+15 %; orgánico +20 %)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orgánico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Libro-facturación del 103 % en el 2T26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un efecto temporal del precio del tungsteno de 550 M (380 pb en Machining)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Posventa de Mining sobre sus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crecen; pedidos de posventa +17 % orgánico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 ingresos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en valor (41.818 M) por existencias y clientes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Mining 25,1 %, Rock Processing 9,6 %, Machining 17,3 %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financiera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&lt; 1,5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Sandvik juega en dos mercados distintos. Minería: maquinaria y servicio para minería y obra en roca (ficha sectorial «Equipos y servicios para minería»), con la cifra de Ken Research de maquinaria minera mundial (133.090 M USD en 2025) como techo amplio [11]. Herramientas de corte de metal duro: mercado mundial de unos 25.000-30.000 M USD según estimaciones de la industria que no hemos podido confirmar con una fuente primaria; lo lidera Sandvik (Coromant, Seco, Walter), seguido de IMC (Iscar, de Berkshire Hathaway), Kennametal, Mitsubishi Materials y Kyocera. La serie usa solo minería.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133.090 M USD en 2025 en maquinaria minera (≈ 1.312.000 M SEK) [11]; herramientas de corte sin cifra primaria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SEK (Ken Research, maquinaria minera, a 9,86 SEK/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 y del oro (inversión minera)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Mining récord (20.053 M en el 2T26, +11 % orgánico); el sector depende del cobre y del oro en máximos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aeroespacial y defensa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herramientas de corte +20 % orgánico en el 2T26 con PMI positivos, aeroespacial y defensa al alza y automóvil débil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tungsteno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escasez de tungsteno dobló los pedidos de polvo y adelantó compras de herramientas; efecto temporal de +550 M en el 2T26 y +200 M previstos en el 3T26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electrificación y software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AutoMine Aura (2T26), perforadoras eléctricas y suscripciones de software creciendo a doble dígito alto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Corona sueca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divisa restó 8 puntos a los ingresos de 2025 y 173 M al EBITA del 2T26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Recargos por aranceles: +0,4 % en pedidos de Machining en el 2T26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con Epiroc en perforación subterránea; IMC (Iscar), Kennametal y fabricantes japoneses y chinos en herramientas de corte. Margen EBITA ajustado del 19,3 % en 2025 frente al 19,6 % de Epiroc [1,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dispersos en herramientas; en minería, mineras grandes que pagan por disponibilidad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en tungsteno (mina propia en Austria y reciclaje), la materia prima crítica con oferta controlada por China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servicio minero y décadas de I+D en metal duro; los chinos entran por la gama media en ambos negocios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fabricación aditiva (que Sandvik vende) no sustituye al mecanizado en series; la roca hay que perforarla [1, 14].</w:t>
            </w:r>
          </w:p>
        </w:tc>
      </w:tr>
    </w:tbl>
    <w:p>
      <w:pPr>
        <w:spacing w:after="160" w:before="0"/>
      </w:pPr>
    </w:p>
    <w:p>
      <w:pPr>
        <w:pStyle w:val="Heading2"/>
      </w:pPr>
      <w:r>
        <w:t xml:space="preserve">Ciclo</w:t>
      </w:r>
    </w:p>
    <w:p>
      <w:pPr>
        <w:spacing w:after="100"/>
      </w:pPr>
      <w:r>
        <w:t xml:space="preserve">Pedidos, ingresos y beneficios récord en el 2T26, cobre y oro en máximos y PMI industriales positivos: los dos ciclos de Sandvik están arriba a la vez [2, 13]. En 2020 los ingresos de Sandvik cayeron un 17 % (−11 % orgánico) y el EBITA ajustado bajó al 17 %; en 2009 la caída fue mayor en herramientas que en minería; en 2015-2016 sufrió la minería; en 2024 los ingresos orgánicos cayeron un 2 % con herramientas débiles [1].</w:t>
      </w:r>
    </w:p>
    <w:p>
      <w:pPr>
        <w:pStyle w:val="Heading2"/>
      </w:pPr>
      <w:r>
        <w:t xml:space="preserve">Regulación</w:t>
      </w:r>
    </w:p>
    <w:p>
      <w:pPr>
        <w:spacing w:after="100"/>
      </w:pPr>
      <w:r>
        <w:t xml:space="preserve">Seguridad minera y emisiones de diésel en minas subterráneas empujan los equipos eléctricos y automatizados [1]. Restricciones chinas a la exportación de tungsteno (2025-2026) encarecen la materia prima; Sandvik tiene mina propia en Europa [2]. Aranceles de EE. UU. que Sandvik repercute con recargos [2].</w:t>
      </w:r>
    </w:p>
    <w:p>
      <w:pPr>
        <w:pStyle w:val="Heading2"/>
      </w:pPr>
      <w:r>
        <w:t xml:space="preserve">Tendencias y disrupción</w:t>
      </w:r>
    </w:p>
    <w:p>
      <w:pPr>
        <w:spacing w:after="100"/>
      </w:pPr>
      <w:r>
        <w:t xml:space="preserve">Automatización y digitalización de la minería (AutoMine, Deswik), electrificación de flotas y software de fabricación (CAD/CAM con IA). En herramientas, la tendencia es a materiales más duros (aeroespacial, defensa) y a la sostenibilidad (reciclaje de metal duro). Los fabricantes chinos ganan cuota en gama media de herramientas y equipos [1, 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líderes mundiales en equipos subterráneos con Epiroc y el primer fabricante mundial de herramientas de corte de metal duro (Coromant, Seco, Walter, Dormer Pramet) por delante de IMC (Iscar) y Kennametal [1]. Cuota sin cifra homogénea: Mining y Rock Processing (73.406 M SEK en 2025) son el 5,6 % del mercado de maquinaria minera de Ken Research (estimación propia).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Epiroc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EPI 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minería subterránea y perforación; 82 % minería, 66 % posventa; no tiene herramientas de corte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Caterpillar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666.428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Carga y transporte de cielo abierto y subterráneo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Komatsu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subterráneos (Joy Global) y de cielo abierto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Metso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METSO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Trituración y procesado: rival de Rock Processing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Desgaste y bombas; compró Micromine (software minero, rival de Deswik)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IMC (Iscar)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 (Berkshire Hathaway)</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fabricante de herramientas de corte;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Kennametal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KMT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Herramientas de corte y piezas de desgaste de metal duro; menor y con márgenes muy inferiores.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CAD/CAM con base instalada de usuarios (Mastercam) y datos de flotas conectadas; efecto pequeño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Parque minero con recambios propios y automatización integrada (66 % posventa en Mining); en herramientas, programas CNC y procesos homologados en aeroespacial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Coromant y la metalurgia del metal duro; I+D del 3,8 % de las ventas; margen bruto del 40,6 %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en tungsteno (mina, polvo, reciclaje) que asegura el suministro cuando falta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Duopolio con Epiroc en minería subterránea y liderazgo mundial en metal duro; ROCE de Mining del 25 % [3].</w:t>
            </w:r>
          </w:p>
        </w:tc>
      </w:tr>
    </w:tbl>
    <w:p>
      <w:pPr>
        <w:spacing w:after="160" w:before="0"/>
      </w:pPr>
    </w:p>
    <w:p>
      <w:pPr>
        <w:pStyle w:val="Heading2"/>
      </w:pPr>
      <w:r>
        <w:t xml:space="preserve">Amenazas</w:t>
      </w:r>
    </w:p>
    <w:p>
      <w:pPr>
        <w:spacing w:after="100"/>
      </w:pPr>
      <w:r>
        <w:t xml:space="preserve">En minería, los fabricantes chinos (SANY, XCMG) y la alianza de Epiroc con SANY; en herramientas, la competencia china en gama media y una caída de la industria europea y del automóvil. A más largo plazo, que la IA y el software de fabricación desplacen el valor del hierro y la plaquita al programa: Sandvik lo cubre con Mastercam, pero Intelligent Manufacturing aún rinde poco (ROCE −0,5 %)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8,9 %</w:t>
      </w:r>
      <w:r>
        <w:t xml:space="preserve">, EBITDA </w:t>
      </w:r>
      <w:r>
        <w:rPr>
          <w:b/>
          <w:bCs/>
        </w:rPr>
        <w:t xml:space="preserve">5,8 %</w:t>
      </w:r>
      <w:r>
        <w:t xml:space="preserve">, BPA </w:t>
      </w:r>
      <w:r>
        <w:rPr>
          <w:b/>
          <w:bCs/>
        </w:rPr>
        <w:t xml:space="preserve">3,0 %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Sin Alleima, los ingresos pasaron de 85.700 M SEK en 2021 a 126.503 M en 2023 (la mitad por compras: DSI Underground, Deswik, software CAD/CAM) y bajaron a 120.680 M en 2025 por la corona (orgánico +5 %, divisa −8 %) [4, 7, 8]. El EBIT publicado osciló entre el 15,0 % (2024, con 3.090 M de partidas extraordinarias) y el 20,2 % (2021); el EBITA ajustado, entre el 19 % y el 20 % [1]. En el 1S26 los ingresos suben un 14 % (19 % orgánico) y el EBITA ajustado llega al 21,4 %, con el 2T26 en récord: 36.752 M de ingresos, margen del 22,6 % y BPA de 4,17 SEK [2]. Parte de esa mejora no se repetirá: el efecto temporal del precio del tungsteno sumó 550 M al EBITA del 2T26 (380 pb del margen de Machining) y Sandvik prevé otros 200 M en el 3T26 [2].</w:t>
      </w:r>
    </w:p>
    <w:p>
      <w:pPr>
        <w:pStyle w:val="Heading2"/>
      </w:pPr>
      <w:r>
        <w:t xml:space="preserve">Ajustes y partidas no recurrentes</w:t>
      </w:r>
    </w:p>
    <w:p>
      <w:pPr>
        <w:spacing w:after="100"/>
      </w:pPr>
      <w:r>
        <w:t xml:space="preserve">Usamos las cifras publicadas en la cuenta. Sandvik da además un EBITA y un BPA «ajustados» que excluyen las partidas que afectan a la comparabilidad: −693 M en 2025 (0,6 % de las ventas), −3.090 M en 2024 (reestructuración y deterioros en Machining y software) y −971 M en el 1S26 [2, 4]. Se repiten todos los años, así que no los tratamos como no recurrentes en el DCF (el margen EBITDA proyectado los lleva dentro). Para la historia del PER y el objetivo a 12 meses usamos el BPA ajustado, porque el publicado mezcla Alleima, la salida de Rusia y deterioros grandes: 10,26 / 11,98 / 12,69 / 11,90 / 12,17 SEK en 2021-2025 [4, 7].</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(17-jul-26) el consejero delegado habló de pedidos, ingresos y beneficios «récord»: pedidos +17 % orgánico, ingresos +23 % y EBITA ajustado del 22,6 %, por encima de su objetivo del 20-22 % [2]. Mining creció un 11 % en pedidos (posventa +17 %, equipos +2 % sobre una base alta) y Machining un 30 %, con las herramientas +20 % y el polvo de tungsteno duplicando pedidos por el precio de la materia prima [2]. La acción cayó un 9,3 % ese día [18]: el margen llevaba 550 M de efecto temporal del tungsteno, la caja libre bajó a 3.590 M (conversión del 46 %) por el circulante y Sandvik dijo que los pedidos diarios de herramientas de las dos primeras semanas de julio estaban «estables» con «más incertidumbre de lo normal» por el tungsteno [2]. Tras el 2T26 los bancos recortaron estimaciones y después las subieron con el ciclo minero [20]. En el 1T26 el margen ya era del 20,0 % con pedidos +15 % orgánico [3]. Sandvik no da previsiones de negocio; la dirección evita cuantificar cuánto del crecimiento de herramientas es compra anticipada por miedo a subidas de precio.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169.860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Compras de 2021-2022 por unos 39.000 M SEK (DSI Underground, CGTech, Deswik, SP Mining, Cambrio/GibbsCAM): parte del salto de ingresos de 2022.).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neta bajó de 36.466 M SEK en 2022 (tras las compras de 2021-2022) a 26.515 M en 2025 y subió a 30.244 M en jun-26 por el dividendo: 1,0 veces el EBITDA, frente a un objetivo de menos de 1,5 [2, 4]. El circulante es el gran consumidor de capital: existencias de 40.338 M y clientes de 25.266 M a jun-26 (+20 % y +30 % en un año), porque las ventas crecen y el tungsteno encarece el inventario [2]. El fondo de comercio (46.206 M en 2025) es la mitad del patrimonio, sobre todo de las compras de software y de minería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56.325</w:t>
      </w:r>
      <w:r>
        <w:t xml:space="preserve">, conversión </w:t>
      </w:r>
      <w:r>
        <w:rPr>
          <w:b/>
          <w:bCs/>
        </w:rPr>
        <w:t xml:space="preserve">83 %</w:t>
      </w:r>
      <w:r>
        <w:t xml:space="preserve"> del beneficio neto; adquisiciones 47.121, dividendos 34.439, recompras 579.</w:t>
      </w:r>
    </w:p>
    <w:p>
      <w:pPr>
        <w:spacing w:after="100"/>
      </w:pPr>
      <w:r>
        <w:t xml:space="preserve">Entre 2021 y 2025 Sandvik generó 56.325 M SEK de caja libre (conversión del 83 % del beneficio), pagó 34.439 M en dividendos y gastó 47.121 M en compras, la mayoría en 2021-2022: la diferencia se financió con deuda que después se ha ido devolviendo. El capex de inmovilizado e intangibles es bajo (2,8 % de las ventas en 2025, 3.431 M netos); sumando los equipos de alquiler (dentro del flujo operativo) y las altas de derechos de uso llega a un 4,5 % [4]. En el 1S26 la caja libre operativa cayó a 7.203 M (−19 %) porque el circulante consumió 6.927 M [2]. Estimación propia: el capex de mantenimiento está cerca de la amortización sin la de excedentes de compras (≈ 4,3 % de las ventas).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Öhrlings PricewaterhouseCoopers AB (auditor desde abril de 2018; socia firmante Anna Rosendal)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Auditor PwC desde 2018, opinión favorable [1]. El motor da un Altman Z de 4,94 (zona segura), un Piotroski de 9 sobre 9 y un Beneish M de −2,61 (por debajo del umbral de manipulación). Las partidas extraordinarias son grandes y repetidas: 3.090 M en 2024 y 971 M en el 1S26, casi todas reestructuración de Machining y deterioros del software comprado, lo que indica que las compras de 2021-2022 no rindieron lo previsto [2, 4]. El fondo de comercio (46.206 M) y los excedentes de compras pesan mucho; la amortización de excedentes resta unos 1.950 M al año (0,30 SEK por acción) [1, 2]. El efecto del tungsteno es un beneficio contable de inventario, no de negocio.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temporal del tungsteno en el margen (550 M en el 2T26, 200 M previstos en el 3T26)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BPA de 2026; se gira cuando el precio del tungsteno baje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extraordinarias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−3.090 M en 2024, −693 M en 2025, −971 M en el 1S26: reestructuración recurrente en Machining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al alza (clientes +30 % en un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ventas y compras anticipadas de los clientes; conversión de caja del 46 % en el 2T26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7,1 % · </w:t>
      </w:r>
      <w:r>
        <w:rPr>
          <w:b/>
          <w:bCs/>
        </w:rPr>
        <w:t xml:space="preserve">WACC</w:t>
      </w:r>
      <w:r>
        <w:t xml:space="preserve">: 10,2 %.</w:t>
      </w:r>
    </w:p>
    <w:p>
      <w:pPr>
        <w:spacing w:after="100"/>
      </w:pPr>
      <w:r>
        <w:t xml:space="preserve">Sandvik crea valor, pero poco: el ROIC del motor fue del 12,0 % en 2025 frente a un WACC del 10,20 % (1,8 puntos de diferencia), y en 2021-2025 osciló entre el 10,4 % y el 13,8 %. El motivo es el capital: 130.386 M de capital invertido con 46.206 M de fondo de comercio de compras. Sin el fondo de comercio el ROIC sería del 18,7 % (estimación propia: 15.711 M de NOPAT sobre 84.180 M), y Sandvik da un ROCE del 17,5 % en jun-26 (Mining 25,1 %, Machining 17,3 %, Rock Processing 9,6 % e Intelligent Manufacturing −0,5 %) [2]. Decidimos con el publicado: el ROIC incremental de 2021-2025 es del 7,1 %, por debajo del coste de capital, porque las compras de software y de minería se pagaron caras. Epiroc, el rival directo, tiene un ROIC del 16,3 % con la misma definición [12]. En los últimos doce meses la rentabilidad mejora con el ciclo.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35.900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37.211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3.620 M SEK a 30-jun-26 y deuda financiera neta de 30.244 M (1,0 veces el EBITDA) tras pagar 7.514 M de dividendo en mayo [2]; préstamo de 500 M EUR del Banco Europeo de Inversiones firmado en 2025 [A1].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netas de 1.311 M SEK a jun-26 y arrendamientos de 5.656 M, que van aparte en el puente [2]. La deuda neta total que publica Sandvik (37.210 M) suma las tres partidas. Activos y pasivos mantenidos para la venta (Additive Manufacturing y Zero Touch) pequeños: 327 M y 148 M [2]. El dividendo de 2025 (6,00 SEK, 7.514 M) se pagó en mayo y ya está fuera de la caja de jun-26 [2].</w:t>
      </w:r>
    </w:p>
    <w:p>
      <w:pPr>
        <w:pStyle w:val="Heading1"/>
      </w:pPr>
      <w:r>
        <w:t xml:space="preserve">12. Asignación de capital</w:t>
      </w:r>
    </w:p>
    <w:p>
      <w:pPr>
        <w:pStyle w:val="Confianza"/>
        <w:spacing w:after="100"/>
      </w:pPr>
      <w:r>
        <w:t xml:space="preserve">Confianza: Media</w:t>
      </w:r>
    </w:p>
    <w:p>
      <w:pPr>
        <w:spacing w:after="100"/>
      </w:pPr>
      <w:r>
        <w:t xml:space="preserve">Dividendo del 50 % del BPA ajustado a lo largo del ciclo (6,00 SEK por 2025, el 49 %; 5,75 por 2024), pagado de una vez en mayo [1, 2]. No hay recompras. Compras de empresas en nichos con posventa y software, con deuda financiera neta por debajo de 1,5 veces el EBITDA salvo compras transformadoras [2]. Desinversiones de lo que no encaja: Alleima (2022), Additive Manufacturing y Zero Touch (2026)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DSI Underground (sostenimiento de roca; ventas 518 M EUR)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Mining; base del negocio de sostenimiento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Deswik (software de planificación minera) y SP Mining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Deswik es el software minero del grupo; fondo de comercio y excedentes de 6.447 M y 6.965 M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CAD/CAM (CGTech, Cambrio/GibbsCAM, Mastercam ya desde 2021)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Intelligent Manufacturing: 3.117 M de ventas y ROCE de −0,5 % en jun-26 (10,3 % sin la amortización de excedentes)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Diemme Filtration (Italia, filtros prensa para minería) y seis compras pequeñas de software y herramientas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seis primeras (658 M) cerradas en el 1S26; Diemme se cerró después del 2T26 [2].</w:t>
            </w:r>
          </w:p>
        </w:tc>
      </w:tr>
    </w:tbl>
    <w:p>
      <w:pPr>
        <w:spacing w:after="160" w:before="0"/>
      </w:pPr>
    </w:p>
    <w:p>
      <w:pPr>
        <w:spacing w:after="100"/>
      </w:pPr>
      <w:r>
        <w:t xml:space="preserve">La asignación de capital es el punto débil. Entre 2021 y 2025 gastó 47.121 M SEK en compras, casi la caja libre del periodo, y el ROIC incremental fue del 7,1 %: el software de fabricación (Mastercam, CGTech, GibbsCAM, Cimatron) da un ROCE de −0,5 % con la amortización de excedentes y obligó a reestructurar Machining en 2024-2026 [2, 4]. La escisión de Alleima en 2022 fue acertada: dejó un grupo con más posventa y menos acero de commodity. Las compras de 2025-2026 son pequeñas (658 M en el 1S26) y de minería y filtración (Diemme) [2]. Sin dilución: 1.254,4 M de acciones desde hace diez años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 Widing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14 años en Assa Abloy (HID Global) y antes en Saab. Con él Sandvik escindió Alleima, compró software y posventa por unos 40.000 M SEK y reorganizó el grupo en cuatro áreas. Tiene 112.753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Cecilia Felton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Sandvik desde 2013, antes directora financiera en funciones; directora financiera desde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Murphy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área Mining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Sustituye a Mats Eriksson (que se jubila en 2027) desde el 1-jul-26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Nadine Crauwels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área Machining (de salida)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Sandvik desde 2000; anunció su salida el 9-sep-26 y sigue hasta que llegue un sucesor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Johan Molin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de Assa Abloy; independiente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7 % anual a lo largo del ciclo (orgánico y compras, divisa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+3 %, +5 %, −2 % y +5 % en 2022-2025 más compras; +19 % orgánico en el 1S26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ajustado del 20-22 % a lo largo del ciclo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 20 %, 19 % y 19 % en 2022-2025; 22,6 % en el 2T26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50 % del BPA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48 % en 2024 y 49 % en 2025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financiera neta / EBITDA &lt; 1,5 sin compras transformadoras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 1,2 / 1,2 / 0,9 en 2022-2025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Stefan Widing lleva seis años como consejero delegado, viene de Assa Abloy (un comprador en serie) y ha aplicado ese modelo con resultados mixtos: la parte minera brilla y el software de fabricación no [1, 2]. 2026 trae relevos en las dos áreas grandes: Patrick Murphy dirige Mining desde el 1-jul y la presidenta de Machining, Nadine Crauwels, se va [16, 17]. La directora financiera, Cecilia Felton, está en el cargo desde 2022. Ha cumplido el objetivo de deuda y de dividendo y solo a medias los de crecimiento y margen [1]. El día del inversor del 24-25 de noviembre puede traer objetivos nuevos [28].</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Molin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Helena Stjernholm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Marika Fredriksson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Claes Boustedt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Andreas Nordbrandt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Susanna Schneeberger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Kai Wärn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 Widing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Lilja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Fredrik Håf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Industrivärden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(sociedad de cartera sueca)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 pp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pp</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+0,5 pp</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 pp</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Lundbergföretagen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 pp</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pp</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Handelsbanken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 pp</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Norges Bank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+0,2 pp</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unos 37,5 M SEK en 2025: 17,5 M de fijo, 11,27 M de variable anual (el 88 % del máximo, que es el 75 % del fijo), 2,21 M de incentivo a largo plazo y 6,33 M de pensión (37,5 % del fijo) [1]. El plan a largo plazo da acciones según el BPA ajustado frente al del año anterior: el de 2024 no pagó nada porque el BPA bajó [1]. Preaviso y despido de 12 meses cada uno.</w:t>
      </w:r>
    </w:p>
    <w:p>
      <w:pPr>
        <w:pStyle w:val="Heading2"/>
      </w:pPr>
      <w:r>
        <w:t xml:space="preserve">Operaciones vinculadas, estructura de control y defensas</w:t>
      </w:r>
    </w:p>
    <w:p>
      <w:pPr>
        <w:spacing w:after="100"/>
      </w:pPr>
      <w:r>
        <w:t xml:space="preserve">Una sola clase de acciones (un voto por acción) y sin accionista de control: Industrivärden, con el 14,9 %, dirige de hecho la comisión de nombramientos y tiene dos consejeras no independientes de los accionistas (Stjernholm, su consejera delegada, y Fredriksson) [1]. Sin blindajes estatutarios ni operaciones vinculadas relevantes [1, 2]. Los diez primeros accionistas suman el 41 % [1].</w:t>
      </w:r>
    </w:p>
    <w:p>
      <w:pPr>
        <w:pStyle w:val="Heading2"/>
      </w:pPr>
      <w:r>
        <w:t xml:space="preserve">Señales de alerta</w:t>
      </w:r>
    </w:p>
    <w:p>
      <w:pPr>
        <w:pStyle w:val="ListParagraph"/>
        <w:numPr>
          <w:ilvl w:val="0"/>
          <w:numId w:val="2"/>
        </w:numPr>
        <w:spacing w:after="60"/>
      </w:pPr>
      <w:r>
        <w:t xml:space="preserve">Rotación en la dirección de las dos áreas grandes en 2026: Mining cambió de presidente el 1-jul y la presidenta de Machining se va (sep-26) [16, 17].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Sandvik no da previsiones de negocio. Para el 3T26 avisa de +200 M de efecto divisa y +200 M del efecto temporal del tungsteno en el EBITA ajustado frente al 3T25; capex de 4.000-4.500 M en 2026, intereses netos de −600 M y tipo impositivo normalizado del 23-25 % [2]. Objetivos 2025-2030: crecimiento del 7 % anual a lo largo del ciclo (orgánico y compras), EBITA ajustado del 20-22 %, dividendo del 50 % del BPA ajustado y deuda financiera neta inferior a 1,5 veces el EBITDA [2]. Día del inversor el 24-25 de noviembre de 2026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21 analistas [19]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154.324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391,14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280,00 – 465,00</w:t>
            </w:r>
          </w:p>
        </w:tc>
      </w:tr>
    </w:tbl>
    <w:p>
      <w:pPr>
        <w:spacing w:after="160" w:before="0"/>
      </w:pPr>
    </w:p>
    <w:p>
      <w:pPr>
        <w:pStyle w:val="Heading2"/>
      </w:pPr>
      <w:r>
        <w:t xml:space="preserve">Revisiones de estimaciones</w:t>
      </w:r>
    </w:p>
    <w:p>
      <w:pPr>
        <w:spacing w:after="100"/>
      </w:pPr>
      <w:r>
        <w:t xml:space="preserve">Consenso medio «Mantener» con 21 analistas y objetivo medio de 391,14 SEK [20]. Tras el 2T26 se recortaron estimaciones; desde agosto los objetivos suben (SEB a Comprar con 445, Danske 465, SB1 Markets a Comprar con 440, Deutsche Bank 424, JP Morgan 415, Kepler 410) pero hay rebajas de recomendación: BNP Paribas a Neutral (1-oct), Nordea en Vender con 345 y Goldman Sachs en Vender con 326 [20]. Solo una fuente con estimaciones completas (MarketScreener).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Sandvik sube un 21,4 % en 2026 y un 36,2 % en un año, frente al 13,6 % y el 20,4 % del OMX Stockholm 30 (rentabilidades de precio), y lo ha hecho mejor que el índice a tres, cinco y diez años [18]. Tocó máximos de 413,1 SEK el 3-jul-26 y ha caído un 12 % desde entonces; la mayor caída de un día fue el −9,3 % del 17-jul (2T26) [18]. Beta de 1,56 a cinco años (1,38 ajustada), más alta que la de Epiroc (1,29): Sandvik suma dos ciclos [18]. Caída máxima del 39,2 % en 2022.</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BPA ajustado del año siguiente (base adelantada), Sandvik cotizó a 18,7 veces al cierre de 2020, 20,1 en 2021, 14,8 en 2022, 18,3 en 2023, 16,3 en 2024 y 18,5 en 2025 (con nuestro BPA de 2026): mediana de cinco años de 18,3 veces. Hoy está a 21,1 veces nuestro BPA de 2027, por encima de esa mediana. Al cierre, con el BPA del mismo año, el PER fue de 24,7 veces en 2025 y 27,2 veces el de los últimos 12 meses hoy. La prima se explica por el ciclo y por el tungsteno: el mercado paga el beneficio de 2026-2027, que crece un 33 % sobre 2025.</w:t>
      </w:r>
    </w:p>
    <w:p>
      <w:pPr>
        <w:pStyle w:val="Heading1"/>
      </w:pPr>
      <w:r>
        <w:t xml:space="preserve">18. Comparables cotizados</w:t>
      </w:r>
    </w:p>
    <w:p>
      <w:pPr>
        <w:pStyle w:val="Confianza"/>
        <w:spacing w:after="100"/>
      </w:pPr>
      <w:r>
        <w:t xml:space="preserve">Confianza: Media</w:t>
      </w:r>
    </w:p>
    <w:p>
      <w:pPr>
        <w:spacing w:after="100"/>
      </w:pPr>
      <w:r>
        <w:t xml:space="preserve">Los seis de la ficha sectorial [30] (sin Sandvik): Epiroc (rival directo en minería), Atlas Copco (referencia sueca de calidad), Caterpillar y Komatsu (equipos pesados), Metso (rival de Rock Processing) y Weir (desgaste). Para las herramientas de corte no hay comparables cotizados limpios: IMC (Iscar) no cotiza y Kennametal es mucho menor y con márgenes inferiores, sin estimaciones gratuitas comprobadas; no lo incluimos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Sandvik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457.856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Epiroc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1.017.266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Caterpillar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3.450.423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Komatsu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Metso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39.655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 / 15,4x / 18,6x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 / 18,7x / 22,3x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 / 22,1x / 26,8x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129.116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4,1x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(6 comparables): múltiplo = 2,6 + 0,95 × crecimiento; R² = 0,95. Para el crecimiento esperado de la empresa (18,3 %), el múltiplo ajustado es 20,0x y el valor por acción, 602,52.</w:t>
      </w:r>
    </w:p>
    <w:p>
      <w:pPr>
        <w:spacing w:after="100"/>
      </w:pPr>
      <w:r>
        <w:t xml:space="preserve">Sandvik cotiza con descuento frente a la mediana de los comparables: 12,5 veces el EBITDA de los próximos 12 meses y 19,2 veces el beneficio esperado (consenso), frente a 15,4 y 22,2 [21]. El descuento frente a Epiroc es grande (Epiroc 17,9 y 27,9 veces) y tiene razón de ser: Sandvik tiene un 39 % en herramientas de corte, más ligadas al ciclo industrial, un ROIC menor (12,0 % frente a 16,3 %) y un beneficio de 2026 inflado por el tungsteno [12]. La muestra es frágil (dos grupos de múltiplos) y pesa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Micromine (software de minería,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otro múltiplo; fuera de la media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Stanley Infrastructure (implementos hidráulicos,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Epiroc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EV/ventas con las ventas de 2023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DSI Underground (sostenimiento de roca)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943 M EUR sobre ventas de 518 M EUR [26].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ESCO (piezas de desgaste para minería)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12,6 veces el EBITDA de 2018e sin sinergias [25].</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del sector se pagan a 1,7-1,8 veces las ventas en equipos y herramientas mineras (DSI Underground, que compró Sandvik, y Stanley Infrastructure) y a 12,6 veces el EBITDA en desgaste (ESCO); el software minero va a otro precio (Micromine, 20 veces el EBITDA) [24, 25, 26, 27]. Sandvik cotiza a 3,83 veces las ventas. Con Industrivärden como primer accionista y un grupo de 458.000 M SEK de capitalización, una opa es muy improbable: no ponderamos el método.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Base del 16,0 % en 2026 (1S26 +14 % con −5 puntos de divisa; 2S26 en torno al +18 % con pedidos del 1S26 un 11 % por encima de las ventas y el precio del tungsteno), 6,0 % en 2027 (cartera de Mining, precio y un punto de compras) y bajada al 3,0 % en 2031-2032, por debajo del objetivo de Sandvik (7 % a lo largo del ciclo con compras) y del consenso (164.742 M en 2027, un 11 % por encima de nuestros 148.400 M) [2, 19]. La parte de 2026 que viene del tungsteno (polvo y precios de herramientas) no se repite.</w:t>
      </w:r>
    </w:p>
    <w:p>
      <w:pPr>
        <w:keepNext/>
        <w:spacing w:after="100"/>
      </w:pPr>
      <w:r>
        <w:rPr>
          <w:b/>
          <w:bCs/>
        </w:rPr>
        <w:t xml:space="preserve">Márgenes.</w:t>
      </w:r>
    </w:p>
    <w:p>
      <w:pPr>
        <w:spacing w:after="100"/>
      </w:pPr>
      <w:r>
        <w:t xml:space="preserve">Margen EBITDA del 24,6 % en 2026-2028 (1S26: 24,7 %, con el tungsteno a favor) y bajada al 24,0 % al final, el nivel de un EBITA ajustado del 21 % dentro del objetivo del 20-22 % menos unas partidas extraordinarias recurrentes del 0,4 % de las ventas [2]. El consenso pone un 25,1 % en 2027 [19]. La amortización (5,6 % de las ventas) incluye la de los excedentes de compras (≈1,3 %).</w:t>
      </w:r>
    </w:p>
    <w:p>
      <w:pPr>
        <w:keepNext/>
        <w:spacing w:after="100"/>
      </w:pPr>
      <w:r>
        <w:rPr>
          <w:b/>
          <w:bCs/>
        </w:rPr>
        <w:t xml:space="preserve">Inversión y circulante.</w:t>
      </w:r>
    </w:p>
    <w:p>
      <w:pPr>
        <w:spacing w:after="100"/>
      </w:pPr>
      <w:r>
        <w:t xml:space="preserve">Capex del 4,6 % de las ventas en 2026 (inmovilizado e intangibles 2,8 %, equipos de alquiler 0,6 % y altas de derechos de uso ≈1,2 %; guía de 4.000-4.500 M de capex en efectivo) y del 6,1 % desde 2027, porque añadimos un 1,5 % de las ventas en compras de empresas (un punto de crecimiento al año a 1,5 veces las ventas, como DSI Underground) [2, 26]. Circulante del 34 % de las ventas (34,8 % en 2025 con existencias + clientes − proveedores).</w:t>
      </w:r>
    </w:p>
    <w:p>
      <w:pPr>
        <w:keepNext/>
        <w:spacing w:after="100"/>
      </w:pPr>
      <w:r>
        <w:rPr>
          <w:b/>
          <w:bCs/>
        </w:rPr>
        <w:t xml:space="preserve">Coste del capital.</w:t>
      </w:r>
    </w:p>
    <w:p>
      <w:pPr>
        <w:spacing w:after="100"/>
      </w:pPr>
      <w:r>
        <w:t xml:space="preserve">Tasa libre del 3,17 % (bono sueco a 10 años del 13-oct-26, Riksbank) [22]; beta de 1,30, entre la mensual ajustada de cinco años (1,38) y la semanal ajustada (1,27) frente al OMX [18]; prima de mercado del 5,5 % y 0,5 puntos más por la exposición a África, Sudamérica y Asia; coste de la deuda del 4,0 % y peso de la deuda del 8 % a valor de mercado. WACC del 10,20 %. Con la prima implícita del mercado (4,2 %), el WACC baja unos 1,6 puntos.</w:t>
      </w:r>
    </w:p>
    <w:p>
      <w:pPr>
        <w:keepNext/>
        <w:spacing w:after="100"/>
      </w:pPr>
      <w:r>
        <w:rPr>
          <w:b/>
          <w:bCs/>
        </w:rPr>
        <w:t xml:space="preserve">Valor terminal.</w:t>
      </w:r>
    </w:p>
    <w:p>
      <w:pPr>
        <w:spacing w:after="100"/>
      </w:pPr>
      <w:r>
        <w:t xml:space="preserve">Media de Gordon (2,5 %) y de un múltiplo de salida de 12 veces el EBITDA, por debajo de la mediana de los comparables a 12 meses (15,4 veces) y de lo que paga hoy el mercado por Sandvik (12,5 veces el EBITDA de los próximos 12 meses), porque 2026 es un año de pico. El valor terminal pesa el 70 % del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269,55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18.988 M (12 % del NOPAT)</w:t>
            </w:r>
          </w:p>
        </w:tc>
      </w:tr>
    </w:tbl>
    <w:p>
      <w:pPr>
        <w:spacing w:after="160" w:before="0"/>
      </w:pPr>
    </w:p>
    <w:p>
      <w:pPr>
        <w:spacing w:after="100"/>
      </w:pPr>
      <w:r>
        <w:t xml:space="preserve">La proyección apenas necesita inversión neta de la amortización (reinversión acumulada de 18.988 M, el 12 % del NOPAT, con un capex bruto medio del 5,7 % de las ventas). En un negocio de activos ligeros, el crecimiento medio del 5,6 %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+12 % (Mining +16 % orgánico en el 1S26, herramientas con compras anticipadas), precio +6 % (tungsteno y subidas de herramientas) y divisa −2 puntos (−5 en el 1S26, menos en el 2S)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(cartera minera, normalización de herramientas), precio +2,5 % y 1 punto de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(ciclo maduro), precio +2,5 % y 1 punto de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precio +2,5 % y compras +1 punto.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plano, precio +2,5 % y compras +1 punto.</w:t>
            </w:r>
          </w:p>
        </w:tc>
      </w:tr>
    </w:tbl>
    <w:p>
      <w:pPr>
        <w:spacing w:after="160" w:before="0"/>
      </w:pPr>
    </w:p>
    <w:p>
      <w:pPr>
        <w:spacing w:after="100"/>
      </w:pPr>
      <w:r>
        <w:t xml:space="preserve">Sí, con la prueba hecha a mano: el motor no la hace porque la reinversión neta (12 % del NOPAT) es menor del 15 %. Desde 2027 el crecimiento proyectado (6,0 % y después 3-4 %) es casi todo precio (+2,5 %) y compras pagadas dentro del capex (+1 punto); el volumen orgánico es del 0-2,5 %. Ese volumen necesita circulante (34 % de cada corona) y algo de capex por encima del de mantenimiento: unos 2.500 M al año, el 10 % de un NOPAT de unos 25.000 M, que al ROIC del 12,0 % financian un 1,2 % de volumen al año, suficiente desde 2028; 2027 (+2,5 %) sale de la cartera de pedidos y de la capacidad ya instalada. El poder de precios está demostrado: margen bruto ajustado del 42,7 % en el 2T26 frente al 41,3 % con recargos por aranceles trasladados [2]. Mercado final sin dato homogéneo (minería y herramientas): la cuota de Mining y Rock Processing sobre la maquinaria minera de Ken Research es del 5,6 % y no sube con estas cifras.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35,1 % (base: 24,0 %)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(WACC: 10,2 %)</w:t>
            </w:r>
          </w:p>
        </w:tc>
      </w:tr>
    </w:tbl>
    <w:p>
      <w:pPr>
        <w:spacing w:after="160" w:before="0"/>
      </w:pPr>
    </w:p>
    <w:p>
      <w:pPr>
        <w:spacing w:after="100"/>
      </w:pPr>
      <w:r>
        <w:t xml:space="preserve">El DCF da 222,34 SEK por acción, un 39,1 % por debajo del precio, con un valor terminal que pesa el 70 %. El DCF inverso es la lectura clave: para justificar 365 SEK con nuestro WACC haría falta un crecimiento anual del 16,4 % en 2027-2032 (frente al 3,9 % de nuestro base) o un margen EBITDA del 35,1 %; con nuestras cifras el precio solo ofrece una rentabilidad implícita del 6,2 % anual, menos que el coste de capital (10,20 %). Como en Epiroc, el mercado no paga flujos: paga un múltiplo de ciclo sobre el beneficio de 2026-2027, que lleva el efecto del tungsteno. Para un cíclico, el DCF se acerca más al valor a lo largo del ciclo que el precio de hoy.</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tungsteno baja y los clientes de herramientas, que compraron por adelantado, dejan de pedir; a la vez el cobre corrige y las mineras recortan equipos. Los ingresos crecen solo un 2 % en 2027 y caen un 10 % en 2028, con el EBITA ajustado en el 18 %, como en 2020. BPA ajustado de 12,74 SEK en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minero se mantiene y las herramientas se normalizan sin el tungsteno: crecimiento del 6 % en 2027 y del 4 % en 2028, EBITA ajustado del 21,2 % y BPA ajustado de 18,12 SEK en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Superciclo del cobre, aeroespacial y defensa al alza y precio de herramientas que se queda arriba: crecimiento de 1,5 puntos más al año y EBITA ajustado del 22 %. BPA ajustado de 19,46 SEK en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SEK) · precio actual 36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214,95 SEK (-41,1 %).</w:t>
      </w:r>
    </w:p>
    <w:p>
      <w:pPr>
        <w:spacing w:after="100"/>
      </w:pPr>
      <w:r>
        <w:t xml:space="preserve">La asimetría es negativa con los dos métodos: en el DCF el alcista vale 247,44 SEK y el bajista 167,66, ambos muy por debajo del precio; a 12 meses el alcista gana un 20,0 % y el bajista pierde un 46,3 % (asimetría de 0,38). El bajista es verosímil para un grupo con dos ciclos: en 2020 los ingresos cayeron un 17 % y en 2024 el EBIT bajó al 15 % [1]. No compensa entrar a este precio.</w:t>
      </w:r>
    </w:p>
    <w:p>
      <w:pPr>
        <w:pStyle w:val="Heading1"/>
      </w:pPr>
      <w:r>
        <w:t xml:space="preserve">22. Suma de partes</w:t>
      </w:r>
    </w:p>
    <w:p>
      <w:pPr>
        <w:pStyle w:val="Confianza"/>
        <w:spacing w:after="100"/>
      </w:pPr>
      <w:r>
        <w:t xml:space="preserve">Confianza: Baja</w:t>
      </w:r>
    </w:p>
    <w:p>
      <w:pPr>
        <w:spacing w:after="100"/>
      </w:pPr>
      <w:r>
        <w:t xml:space="preserve">No la ponderamos, pero la usamos para leer el precio. Minería y procesado de roca (Mining y Rock Processing: 73.406 M SEK de ventas y 14.697 M de EBITA en 2025) a los múltiplos de Epiroc valdrían más que todo el grupo, y dejan las herramientas de corte (Machining: 44.003 M de ventas y 8.700 M de EBITA ajustado proforma) casi gratis en el precio. No es una ganga: Epiroc cotiza a un múltiplo de pico de ciclo (Mantener en su informe del mismo día), y aplicar el de Sandvik a Mining (12,5 veces el EBITDA) sitúa el valor cerca del precio actual. El software (Intelligent Manufacturing, 3.117 M de ventas) es el más difícil de valorar: con ROCE negativo, el mercado no le da valor aparte [10, 12].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SEK) · precio actual 36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262,84 SEK (-28,0 % sobre 365,00).</w:t>
      </w:r>
    </w:p>
    <w:p>
      <w:pPr>
        <w:spacing w:after="100"/>
      </w:pPr>
      <w:r>
        <w:t xml:space="preserve">Pesos: DCF 40 %, escenarios 40 % y comparables 20 %. El DCF es el método más fiable a largo plazo para un cíclico con coste de capital explícito y los escenarios recogen los dos ciclos; los comparables pesan menos porque todo el sector cotiza en la parte alta del ciclo y la muestra es frágil. La dispersión es grande: el DCF y los escenarios dan 168-247 SEK, los comparables 314-557 SEK y el mercado 365. Las transacciones no pesan (sin opa posible). El valor objetivo es de 262,84 SEK.</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(21.1x) a mitad de camino hacia abajo, hacia la mediana de 5 años (18.3x)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bl>
    <w:p>
      <w:pPr>
        <w:spacing w:after="160" w:before="0"/>
      </w:pPr>
    </w:p>
    <w:p>
      <w:pPr>
        <w:spacing w:after="100"/>
      </w:pPr>
      <w:r>
        <w:rPr>
          <w:b/>
          <w:bCs/>
        </w:rPr>
        <w:t xml:space="preserve">Objetivo a 12 meses (ponderado):</w:t>
      </w:r>
      <w:r>
        <w:t xml:space="preserve"> 333,94 SEK · rentabilidad -6,9 % (base -0,6 %) · señal Mantener.</w:t>
      </w:r>
    </w:p>
    <w:p>
      <w:pPr>
        <w:spacing w:after="100"/>
      </w:pPr>
      <w:r>
        <w:t xml:space="preserve">Para comparar, con la regla v2 (historia al cierre, mismo precio): 15,7x / 17,2x / 22,2x, -12,4 %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(17,33 SEK) está un 12 % por debajo del consenso (19,68) y el de 2028 (18,12) un 13 % por debajo (20,94): ponemos ventas de 2027 un 10 % menores (+6 % frente a +14 %) porque no suponemos que el precio del tungsteno y las compras anticipadas de herramientas se mantengan. Nuestro precio base (356,96 SEK) queda un 8,7 % por debajo del objetivo medio de los analistas (391,14), y el consenso de recomendación ya es «Mantener».</w:t>
      </w:r>
    </w:p>
    <w:p>
      <w:pPr>
        <w:keepNext/>
        <w:spacing w:after="100"/>
      </w:pPr>
      <w:r>
        <w:rPr>
          <w:b/>
          <w:bCs/>
        </w:rPr>
        <w:t xml:space="preserve">Del valor intrínseco al objetivo a 12 meses.</w:t>
      </w:r>
    </w:p>
    <w:p>
      <w:pPr>
        <w:spacing w:after="100"/>
      </w:pPr>
      <w:r>
        <w:t xml:space="preserve">El objetivo ponderado a 12 meses (333,94 SEK) está un 27 % por encima del valor intrínseco (262,84 SEK): el mercado valora a Sandvik por múltiplo de ciclo, no por flujos con un coste de capital del 10,2 %. Para que el precio baje hacia el valor intrínseco haría falta un giro del ciclo (tungsteno, cobre o PMI); ninguno tiene fecha, pero el 3T26 (22-oct) dará la primera señal sobre las herramientas.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herramientas tras las compras anticipadas por el tungsteno y margen sin el efecto del 2T26 (guía: +200 M de tungsteno y +200 M de divisa)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2026-11-24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(24-25 de noviembre)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Posibles objetivos nuevos de margen y de cartera (¿venta o separación de Intelligent Manufacturing?)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50 % del BPA ajustado: unos 8 SEK</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tungsteno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bajada gira el efecto temporal: resta margen en Machining durante varios trimestres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cobre y del oro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caída del 20 % frenaría los pedidos de equipos mineros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en Machining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área más grande en beneficio en el 2T26, sin presidente fijo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Doble ciclo: caída de la inversión minera y recesión industrial a la vez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−46 % hasta el bajista a 12 meses (189,83 SEK)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Posventa del 66 % en Mining y consumibles en herramientas: en 2020 los ingresos cayeron un 17 % y el EBITA ajustado se quedó en el 17 %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orgánicos de herramientas negativos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Reversión del tungsteno: el margen de 2026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(unos 0,5 SEK de BPA de 2026 que no se repiten)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Mina y reciclaje propios en Europa; los precios de herramientas se mantienen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tungsteno en Europa a la baja; margen de Machining por debajo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anticipadas de herramientas que se deshacen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trimestre de pedidos un 10 % menor)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Aeroespacial y defensa con carteras largas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Libro-facturación de Machining por debajo del 95 %.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que la IA se coma el negocio (software de fabricación)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(deterioro de parte del software de Intelligent Manufacturing, 3.117 M de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plaquita de metal duro y la máquina minera no las sustituye la IA; Sandvik integra IA en su CAD/CAM (centro de India) y en AutoMine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con programación CNC por IA gratuita que hunda las licencias de Mastercam.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el PER vuelve a la mediana de su historia (18,3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(18,3 × 18,12 SEK = 332 SEK)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 frente a los comparables y Epiroc.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encima de 22 veces sin subida del beneficio.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Corona sueca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10 % de apreciación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repartida por el mundo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USD/SEK por debajo de 9 de forma sostenida.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china en gama media (equipos y herramientas)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−8 % si el margen EBITDA baja 1,5 puntos de forma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Marcas, I+D y red de servicio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ajustado por debajo del 40 %.</w:t>
            </w:r>
          </w:p>
        </w:tc>
      </w:tr>
    </w:tbl>
    <w:p>
      <w:pPr>
        <w:spacing w:after="160" w:before="0"/>
      </w:pPr>
    </w:p>
    <w:p>
      <w:pPr>
        <w:pStyle w:val="Heading2"/>
      </w:pPr>
      <w:r>
        <w:t xml:space="preserve">Pre-mortem</w:t>
      </w:r>
    </w:p>
    <w:p>
      <w:pPr>
        <w:spacing w:after="100"/>
      </w:pPr>
      <w:r>
        <w:t xml:space="preserve">Octubre de 2028: la acción ha perdido un 40 %. En 2027 el tungsteno bajó con la vuelta de la oferta china y Machining perdió el efecto temporal y además tuvo que bajar precios; los clientes, que habían comprado herramientas por adelantado en 2026, dejaron de pedir dos trimestres. A la vez, el cobre cayó a 4,5 USD por libra y las mineras recortaron la inversión: los pedidos de equipos de Mining cayeron un 25 % en 2028. Los ingresos bajaron un 10 % y el EBITA ajustado volvió al 18 %, como en 2020. El BPA ajustado de 2028 se quedó en unos 12,7 SEK, el nivel de 2023-2025, y el mercado, que pagaba 21 veces el beneficio del año siguiente, pasó a pagar 15. Lo habría anticipado: el libro-facturación de Machining por debajo del 95 % y los pedidos diarios de herramientas cayendo en el 3T26 y el 4T26.</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Seguridad (TRIFR) y emisiones del uso de los equipos mineros (alcance 3); reciclaje de metal duro (recompra de herramientas usadas) y suministro responsable de tungsteno y cobalto [1]. Exposición pequeña al carbón.</w:t>
      </w:r>
    </w:p>
    <w:p>
      <w:pPr>
        <w:pStyle w:val="Heading2"/>
      </w:pPr>
      <w:r>
        <w:t xml:space="preserve">Controversias</w:t>
      </w:r>
    </w:p>
    <w:p>
      <w:pPr>
        <w:spacing w:after="100"/>
      </w:pPr>
      <w:r>
        <w:t xml:space="preserve">Salida de Rusia en 2022 con deterioros; sin sanciones relevantes recientes según el informe anual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Tungsteno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de pedidos de Machining en el 1S26 es precio del tungsteno y compra anticipada, y cuánto volumen real?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BPA de 2027 se parece al de 2026 o vuelve hacia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ROCE espera Sandvik de Intelligent Manufacturing y se plantea venderla o separarla en el día del inversor?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Rinde −0,5 % y explica parte del ROIC bajo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equipos de Mining se factura en 2027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crecieron un 2 % en pedidos: la posventa sostiene 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aumento de existencias (+20 %) es efecto precio del tungsteno?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conversión de caja bajó al 46 %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habrá presidente nuevo en Machining y se mantiene el programa de reestructuración?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Machining dio la mitad del EBITA ajustado del 2T26.</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(Shareville), foro de Sandvik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Ocho mensajes del 14-sep al 7-oct: varios esperan más caídas (uno habla de un −30 % en seis meses), otros ven un giro y un +13-15 % a un año; uno la ha vuelto a meter en cartera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MarketScreener (notas de bancos recogidas)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Subidas de objetivo (SEB, Danske, SB1, Kepler) junto a rebajas de recomendación (BNP a Neutral) y dos Vender (Nordea, Goldman Sachs)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tungsteno infla el beneficio de 2026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550 M de efecto temporal en el 2T26 y 200 M previstos en el 3T26; la acción cayó un 9,3 % el día del 2T26 pese a cifras récord.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minero y del cobre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Mining crecen un 11 % orgánico, con la posventa +17 %; es la parte más sólida de la tesis.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el +36 % en un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21 veces nuestro BPA de 2027 frente a una mediana adelantada de 18; el consenso «Mantener» lo refleja.</w:t>
            </w:r>
          </w:p>
        </w:tc>
      </w:tr>
    </w:tbl>
    <w:p>
      <w:pPr>
        <w:spacing w:after="160" w:before="0"/>
      </w:pPr>
    </w:p>
    <w:p>
      <w:pPr>
        <w:spacing w:after="100"/>
      </w:pPr>
      <w:r>
        <w:t xml:space="preserve">El debate de particulares es escaso y dividido, con más voces bajistas desde el 2T26; los bancos están partidos entre subidas de objetivo y rebajas de recomendación. Coincide con lo que dicen los datos: el beneficio de 2026 lleva un efecto del tungsteno que no se repite y la acción ya ha subido. No añade un riesgo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30 (20 primarias); citas distintas en el texto: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34,0 % frente a 34,8 % real: genera una variación de circulante de 5.577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12,9x a 17,9x según qué comparable se quite (378,07 a 536,14 por acción): la muestra es frágil; explícalo y no le des mucho peso. Explicación: Seis comparables con dos grupos de múltiplos (Atlas Copco, Caterpillar y Epiroc a 18-19 veces el EBITDA; Komatsu, Metso y Weir a 9-13): la mediana es frágil y los comparables solo pesan un 20 %.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6, 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y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Trimestrales 2026 (sin calendario de vencimientos); 2) informe anual 2025 por grep de «maturity» (tabla no legible en texto); 3) sin búsqueda web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fondo_comercio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ESEF (sin concepto); 2) trimestrales del 4T (solo intangibles totales); 3) informes anuales 2022-2023 no descargados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de herramientas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lo cuantifica); 2) trimestrales 2026 (solo crecimientos); 3) estimaciones de la industria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(grep sin rating ESG); 2) web de Sandvik no descargada; 3) sin búsqueda web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Finansinspektionen (requiere navegador); 2) informe anual (solo participaciones); 3) sin búsqueda web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la junta 2026 (sin recuento); 2) acta no descargada; 3) prensa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Finansinspektionen (requiere navegador); 2) Stock Analysis (sin dato); 3) prensa sueca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 de Stanley Infrastructure y DSI Underground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Epiroc y presentación de Sandvik: solo ventas; 2) informes anuales (sin EBITDA de la adquirida); 3) prensa sectorial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 Annual Report 2025 (cuentas consolidadas, notas G12 de intangibles, remuneración, resumen de diez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https://mb.cision.com/Main/208/4318236/3973881.pdf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 interim report second quarter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https://mb.cision.com/Main/208/4375736/4197623.pdf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first quarter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https://mb.cision.com/Main/208/4338427/4051668.pdf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fourth quarter 2025 (cuentas anuales 2024-2025, deuda neta, circulante)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https://mb.cision.com/Main/208/4298079/3899244.pdf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third quarter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https://mb.cision.com/Main/208/4252871/3731210.pdf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second quarter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https://mb.cision.com/Main/208/4207760/3582224.pdf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fourth quarter 2023 (cuentas 2022-2023 de operaciones continuadas)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https://mb.cision.com/Main/208/3915138/2561817.pdf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interim report fourth quarter 2022 (2021 reexpresado sin Alleima; deuda neta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https://mb.cision.com/Main/208/3700562/1793247.pdf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Aktiebolag: informes anuales ESEF 2020-2024 (xBRL-JSON)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 (ESEF, 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provides proforma numbers for Machining and Intelligent Manufacturing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https://mb.cision.com/Main/208/4303348/3919790.pdf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Mining Machinery Market (USD 133.090 M en 2025; 184.556 M en 2031; TCAC 5,6 %)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https://www.kenresearch.com/global-mining-machinery-market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informe de análisis del 14-oct-2026 (datos de Epiroc, comparables y ciclo del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(informes/epiroc-2026-10-14)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informes/epiroc-2026-10-14/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 oro (GC=F) y cobre (HG=F)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https://finance.yahoo.com/quote/HG%3DF/history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to divest the business unit Additive Manufacturing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https://www.mfn.se/cis/a/sandvik/sandvik-to-divest-the-business-unit-additive-manufacturing-ca568bfc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wins large mining equipment order in the Democratic Republic of the Congo (Kamoa-Kakula)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https://www.mfn.se/cis/a/sandvik/sandvik-wins-large-mining-equipment-order-in-the-democratic-republic-of-the-congo-fbca14f7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appoints new President of business area Mining (Patrick Murphy, desde el 1-jul-26)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https://www.mfn.se/cis/a/sandvik/sandvik-appoints-new-president-of-business-area-mining-ea6c8c77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Nadine Crauwels, President Machining, to leave Sandvik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https://www.mfn.se/cis/a/sandvik/nadine-crauwels-president-machining-to-leave-sandvik-4656495d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SAND.ST y ^OMX (precio, rango, volumen,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https://finance.yahoo.com/quote/SAND.ST/history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 estimaciones 2026-2028 (21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https://www.marketscreener.com/quote/stock/SANDVIK-29421239/finances/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 consenso de analistas y cambios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https://www.marketscreener.com/quote/stock/SANDVIK-29421239/consensus/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sector (Epiroc, Atlas Copco, Caterpillar, Komatsu, Metso, Weir) a 14-oct-2026, en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propia (sectores/equipos-mineria-2026-10-14-comparables.json), con MarketScreener y Yahoo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sectores/equipos-mineria-2026-10-14-comparables.json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del Estado sueco a 10 años (SEGVB10YC), 13-oct-2026: 3,174 %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Sveriges Riksbank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https://api.riksbank.se/swea/v1/Observations/SEGVB10YC/2026-09-25/2026-10-14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Weir to acquire Micromine (EV 657 M GBP; c.20x EBITDA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Weir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https://www.global.weir/globalassets/investors/reporting-centre/2025/weir-to-acquire-micromine-press-release.pdf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Weir investor presentation: acquisition of ESCO (12,6x EV/EBITDA 2018e)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Weir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https://global.weir/siteassets/pdfs/weir-investor-presentation_20180418_vfinal-website.pdf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Sandvik to acquire DSI Underground (EV 943 M EUR; ventas 518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https://www.home.sandvik/siteassets/investors/reports--presentations/acqusition-presentations/investor-presentation-sandvik-to-acquire-dsi-underground.pdf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completes acquisition of STANLEY Infrastructure (760 M USD; ventas ~450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https://www.epirocgroup.com/en/media/corporate-press-releases/2024/20240401-epiroc-completes-acquisition-of-stanley-infrastructure-to-strengthen-infrastructure-and-construction-business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calendario financiero (resultados del 3T26 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https://www.mfn.se/all/a/sandvik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Sandvik en Nordnet (Shareville): mensajes de sep y oct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https://www.nordnet.se/aktier/kurser/sandvik-sand-xsto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«Equipos y servicios para minería»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(sectores/equipos-mineria-2026-10-14.md)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sectores/equipos-mineria-2026-10-14.md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86,0 %</w:t>
      </w:r>
      <w:r>
        <w:t xml:space="preserve"> · Secciones con menos del 60 % de campos cubiertos: </w:t>
      </w:r>
      <w:r>
        <w:rPr>
          <w:b/>
          <w:bCs/>
        </w:rPr>
        <w:t xml:space="preserve">ninguna</w:t>
      </w:r>
      <w:r>
        <w:t xml:space="preserve"> · Generado el 14 oct 2026.</w:t>
      </w:r>
    </w:p>
    <w:p>
      <w:pPr>
        <w:pStyle w:val="Nota"/>
        <w:spacing w:after="100"/>
      </w:pPr>
      <w:r>
        <w:t xml:space="preserve">Cuenta de resultados de operaciones continuadas: 2021 reexpresado sin Alleima (escindida el 31-ago-2022) según el informe del 4T22; el balance de 2021 aún incluye Alleima y no es comparable [8]. 2020 se deja fuera porque solo existe con Alleima. Cuenta, balance y flujos cotejados con el XBRL ESEF 2021-2024; el XBRL suma en «deuda» los arrendamientos: la deuda financiera es la de la tabla de deuda neta de Sandvik (sin pensiones ni arrendamientos), y los arrendamientos y las pensiones van aparte en el puente [4]. Segmentos: la estructura de cuatro áreas rige desde el 1-ene-26; solo hay cifras comparables de 2024-2025 con tres áreas (Machining e Intelligent Manufacturing juntas) y proforma de 2025 para separarlas [10]. Los cierres de Yahoo anteriores a 2022 están ajustados por la escisión de Alleima (factor ≈ 0,95), coherentes con el BPA de operaciones continuadas. La historia del PER usa el BPA ajustado diluido (sin partidas que afectan a la comparabilidad) que publica Sandvik, porque el publicado de 2022 y 2024 lleva deterioros, la salida de Rusia y Alleima; nuestros BPA de los escenarios van en esa misma base [4, 7]. Comparables de la ficha sectorial del 14-oct (un solo proveedor de estimaciones). Una acción cuesta 365 SEK, unos 32,7 EUR (11,158 SEK/EUR): muy por debajo del 7 %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Sandvik AB (publ) (SAND)</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365,00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(262,70 – 413,10)</c:v>
                </c:pt>
                <c:pt idx="1">
                  <c:v>Precio objetivo de los analistas (280,00 – 465,00)</c:v>
                </c:pt>
                <c:pt idx="2">
                  <c:v>Comparables: EV/EBITDA NTM (356,74 – 557,47)</c:v>
                </c:pt>
                <c:pt idx="3">
                  <c:v>Comparables: PER NTM (385,42 – 511,67)</c:v>
                </c:pt>
                <c:pt idx="4">
                  <c:v>DCF (WACC y g ± 0,5) (208,72 – 239,03)</c:v>
                </c:pt>
                <c:pt idx="5">
                  <c:v>Escenarios (bajista – alcista) (167,66 – 247,44)</c:v>
                </c:pt>
                <c:pt idx="6">
                  <c:v>DCF con la prima implícita del mercado (4,2 %)</c:v>
                </c:pt>
                <c:pt idx="7">
                  <c:v>Precio actual (365,00)</c:v>
                </c:pt>
              </c:strCache>
            </c:strRef>
          </c:cat>
          <c:val>
            <c:numRef>
              <c:f>Hoja1!$B$2:$B$9</c:f>
              <c:numCache>
                <c:formatCode>#,##0</c:formatCode>
                <c:ptCount val="8"/>
                <c:pt idx="0">
                  <c:v>262.7</c:v>
                </c:pt>
                <c:pt idx="1">
                  <c:v>280</c:v>
                </c:pt>
                <c:pt idx="2">
                  <c:v>356.74</c:v>
                </c:pt>
                <c:pt idx="3">
                  <c:v>385.42</c:v>
                </c:pt>
                <c:pt idx="4">
                  <c:v>208.72</c:v>
                </c:pt>
                <c:pt idx="5">
                  <c:v>167.66</c:v>
                </c:pt>
                <c:pt idx="6">
                  <c:v>246.63</c:v>
                </c:pt>
                <c:pt idx="7">
                  <c:v>363.18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(262,70 – 413,10)</c:v>
                </c:pt>
                <c:pt idx="1">
                  <c:v>Precio objetivo de los analistas (280,00 – 465,00)</c:v>
                </c:pt>
                <c:pt idx="2">
                  <c:v>Comparables: EV/EBITDA NTM (356,74 – 557,47)</c:v>
                </c:pt>
                <c:pt idx="3">
                  <c:v>Comparables: PER NTM (385,42 – 511,67)</c:v>
                </c:pt>
                <c:pt idx="4">
                  <c:v>DCF (WACC y g ± 0,5) (208,72 – 239,03)</c:v>
                </c:pt>
                <c:pt idx="5">
                  <c:v>Escenarios (bajista – alcista) (167,66 – 247,44)</c:v>
                </c:pt>
                <c:pt idx="6">
                  <c:v>DCF con la prima implícita del mercado (4,2 %)</c:v>
                </c:pt>
                <c:pt idx="7">
                  <c:v>Precio actual (365,00)</c:v>
                </c:pt>
              </c:strCache>
            </c:strRef>
          </c:cat>
          <c:val>
            <c:numRef>
              <c:f>Hoja1!$C$2:$C$9</c:f>
              <c:numCache>
                <c:formatCode>#,##0</c:formatCode>
                <c:ptCount val="8"/>
                <c:pt idx="0">
                  <c:v>150.40000000000003</c:v>
                </c:pt>
                <c:pt idx="1">
                  <c:v>185</c:v>
                </c:pt>
                <c:pt idx="2">
                  <c:v>200.73000000000002</c:v>
                </c:pt>
                <c:pt idx="3">
                  <c:v>126.25</c:v>
                </c:pt>
                <c:pt idx="4">
                  <c:v>30.310000000000002</c:v>
                </c:pt>
                <c:pt idx="5">
                  <c:v>79.78</c:v>
                </c:pt>
                <c:pt idx="6">
                  <c:v>29.24000000000001</c:v>
                </c:pt>
                <c:pt idx="7">
                  <c:v>3.6499999999999773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(SEK, millones)</a:t>
            </a:r>
          </a:p>
        </c:rich>
      </c:tx>
      <c:overlay val="0"/>
    </c:title>
    <c:autoTitleDeleted val="0"/>
    <c:plotArea>
      <c:layout/>
      <c:barChart>
        <c:barDir val="col"/>
        <c:grouping val="stacked"/>
        <c:varyColors val="0"/>
        <c:ser>
          <c:idx val="0"/>
          <c:order val="0"/>
          <c:tx>
            <c:strRef>
              <c:f>Hoja1!$B$1</c:f>
              <c:strCache>
                <c:ptCount val="1"/>
                <c:pt idx="0">
                  <c:v>Mining</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63607</c:v>
                </c:pt>
                <c:pt idx="1">
                  <c:v>62971</c:v>
                </c:pt>
              </c:numCache>
            </c:numRef>
          </c:val>
        </c:ser>
        <c:ser>
          <c:idx val="1"/>
          <c:order val="1"/>
          <c:tx>
            <c:strRef>
              <c:f>Hoja1!$C$1</c:f>
              <c:strCache>
                <c:ptCount val="1"/>
                <c:pt idx="0">
                  <c:v>Rock Processing</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10704</c:v>
                </c:pt>
                <c:pt idx="1">
                  <c:v>10435</c:v>
                </c:pt>
              </c:numCache>
            </c:numRef>
          </c:val>
        </c:ser>
        <c:ser>
          <c:idx val="2"/>
          <c:order val="2"/>
          <c:tx>
            <c:strRef>
              <c:f>Hoja1!$D$1</c:f>
              <c:strCache>
                <c:ptCount val="1"/>
                <c:pt idx="0">
                  <c:v>Machining e Intelligent Manufacturing</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48567</c:v>
                </c:pt>
                <c:pt idx="1">
                  <c:v>47273</c:v>
                </c:pt>
              </c:numCache>
            </c:numRef>
          </c:val>
        </c:ser>
        <c:ser>
          <c:idx val="3"/>
          <c:order val="3"/>
          <c:tx>
            <c:strRef>
              <c:f>Hoja1!$E$1</c:f>
              <c:strCache>
                <c:ptCount val="1"/>
                <c:pt idx="0">
                  <c:v>Funciones comunes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Mining</c:v>
                </c:pt>
                <c:pt idx="1">
                  <c:v>Rock Processing</c:v>
                </c:pt>
                <c:pt idx="2">
                  <c:v>Machining e Intelligent Manufacturing</c:v>
                </c:pt>
                <c:pt idx="3">
                  <c:v>Funciones comunes</c:v>
                </c:pt>
              </c:strCache>
            </c:strRef>
          </c:cat>
          <c:val>
            <c:numRef>
              <c:f>Hoja1!$B$2:$B$5</c:f>
              <c:numCache>
                <c:formatCode>General</c:formatCode>
                <c:ptCount val="4"/>
                <c:pt idx="0">
                  <c:v>52.2</c:v>
                </c:pt>
                <c:pt idx="1">
                  <c:v>8.6</c:v>
                </c:pt>
                <c:pt idx="2">
                  <c:v>39.2</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Norteamérica</c:v>
                </c:pt>
                <c:pt idx="1">
                  <c:v>Europa</c:v>
                </c:pt>
                <c:pt idx="2">
                  <c:v>Asia</c:v>
                </c:pt>
                <c:pt idx="3">
                  <c:v>África/Oriente Medio</c:v>
                </c:pt>
                <c:pt idx="4">
                  <c:v>Australia</c:v>
                </c:pt>
                <c:pt idx="5">
                  <c:v>Sudamérica</c:v>
                </c:pt>
              </c:strCache>
            </c:strRef>
          </c:cat>
          <c:val>
            <c:numRef>
              <c:f>Hoja1!$B$2:$B$7</c:f>
              <c:numCache>
                <c:formatCode>0"%"</c:formatCode>
                <c:ptCount val="6"/>
                <c:pt idx="0">
                  <c:v>25.6</c:v>
                </c:pt>
                <c:pt idx="1">
                  <c:v>25.2</c:v>
                </c:pt>
                <c:pt idx="2">
                  <c:v>17.5</c:v>
                </c:pt>
                <c:pt idx="3">
                  <c:v>12.3</c:v>
                </c:pt>
                <c:pt idx="4">
                  <c:v>12.2</c:v>
                </c:pt>
                <c:pt idx="5">
                  <c:v>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SEK (Ken Research, maquinaria minera, a 9,86 SEK/USD))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2025</c:v>
                </c:pt>
                <c:pt idx="1">
                  <c:v>2026e</c:v>
                </c:pt>
                <c:pt idx="2">
                  <c:v>2027e</c:v>
                </c:pt>
                <c:pt idx="3">
                  <c:v>2028e</c:v>
                </c:pt>
                <c:pt idx="4">
                  <c:v>2029e</c:v>
                </c:pt>
                <c:pt idx="5">
                  <c:v>2030e</c:v>
                </c:pt>
                <c:pt idx="6">
                  <c:v>2031e</c:v>
                </c:pt>
              </c:strCache>
            </c:strRef>
          </c:cat>
          <c:val>
            <c:numRef>
              <c:f>Hoja1!$B$2:$B$8</c:f>
              <c:numCache>
                <c:formatCode>#,##0</c:formatCode>
                <c:ptCount val="7"/>
                <c:pt idx="0">
                  <c:v>1312267</c:v>
                </c:pt>
                <c:pt idx="1">
                  <c:v>1385754</c:v>
                </c:pt>
                <c:pt idx="2">
                  <c:v>1463357</c:v>
                </c:pt>
                <c:pt idx="3">
                  <c:v>1545305</c:v>
                </c:pt>
                <c:pt idx="4">
                  <c:v>1631842</c:v>
                </c:pt>
                <c:pt idx="5">
                  <c:v>1723225</c:v>
                </c:pt>
                <c:pt idx="6">
                  <c:v>1819722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Sandvik</c:v>
                </c:pt>
                <c:pt idx="1">
                  <c:v>Epiroc</c:v>
                </c:pt>
                <c:pt idx="2">
                  <c:v>Caterpillar</c:v>
                </c:pt>
                <c:pt idx="3">
                  <c:v>Komatsu</c:v>
                </c:pt>
                <c:pt idx="4">
                  <c:v>Metso</c:v>
                </c:pt>
                <c:pt idx="5">
                  <c:v>Weir</c:v>
                </c:pt>
                <c:pt idx="6">
                  <c:v>IMC (Iscar)</c:v>
                </c:pt>
                <c:pt idx="7">
                  <c:v>Kennametal</c:v>
                </c:pt>
              </c:strCache>
            </c:strRef>
          </c:cat>
          <c:val>
            <c:numRef>
              <c:f>Hoja1!$B$2:$B$9</c:f>
              <c:numCache>
                <c:formatCode>0.0"%"</c:formatCode>
                <c:ptCount val="8"/>
                <c:pt idx="0">
                  <c:v>17.2</c:v>
                </c:pt>
                <c:pt idx="1">
                  <c:v>19.2</c:v>
                </c:pt>
                <c:pt idx="2">
                  <c:v>16.5</c:v>
                </c:pt>
                <c:pt idx="3">
                  <c:v>13.7</c:v>
                </c:pt>
                <c:pt idx="4">
                  <c:v>15.8</c:v>
                </c:pt>
                <c:pt idx="5">
                  <c:v>20.2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85700</c:v>
                </c:pt>
                <c:pt idx="1">
                  <c:v>112332</c:v>
                </c:pt>
                <c:pt idx="2">
                  <c:v>126503</c:v>
                </c:pt>
                <c:pt idx="3">
                  <c:v>122878</c:v>
                </c:pt>
                <c:pt idx="4">
                  <c:v>120680</c:v>
                </c:pt>
                <c:pt idx="5">
                  <c:v>139989</c:v>
                </c:pt>
                <c:pt idx="6">
                  <c:v>148388</c:v>
                </c:pt>
                <c:pt idx="7">
                  <c:v>154324</c:v>
                </c:pt>
                <c:pt idx="8">
                  <c:v>160497</c:v>
                </c:pt>
                <c:pt idx="9">
                  <c:v>166114</c:v>
                </c:pt>
                <c:pt idx="10">
                  <c:v>171097</c:v>
                </c:pt>
                <c:pt idx="11">
                  <c:v>176230</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22528</c:v>
                </c:pt>
                <c:pt idx="1">
                  <c:v>25235</c:v>
                </c:pt>
                <c:pt idx="2">
                  <c:v>29877</c:v>
                </c:pt>
                <c:pt idx="3">
                  <c:v>26401</c:v>
                </c:pt>
                <c:pt idx="4">
                  <c:v>28224</c:v>
                </c:pt>
                <c:pt idx="5">
                  <c:v>34437</c:v>
                </c:pt>
                <c:pt idx="6">
                  <c:v>36503</c:v>
                </c:pt>
                <c:pt idx="7">
                  <c:v>37964</c:v>
                </c:pt>
                <c:pt idx="8">
                  <c:v>39161</c:v>
                </c:pt>
                <c:pt idx="9">
                  <c:v>40200</c:v>
                </c:pt>
                <c:pt idx="10">
                  <c:v>41063</c:v>
                </c:pt>
                <c:pt idx="11">
                  <c:v>42295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42.8</c:v>
                </c:pt>
                <c:pt idx="1">
                  <c:v>40.4</c:v>
                </c:pt>
                <c:pt idx="2">
                  <c:v>41.1</c:v>
                </c:pt>
                <c:pt idx="3">
                  <c:v>40</c:v>
                </c:pt>
                <c:pt idx="4">
                  <c:v>40.6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26.3</c:v>
                </c:pt>
                <c:pt idx="1">
                  <c:v>22.5</c:v>
                </c:pt>
                <c:pt idx="2">
                  <c:v>23.6</c:v>
                </c:pt>
                <c:pt idx="3">
                  <c:v>21.5</c:v>
                </c:pt>
                <c:pt idx="4">
                  <c:v>23.4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20.2</c:v>
                </c:pt>
                <c:pt idx="1">
                  <c:v>16.6</c:v>
                </c:pt>
                <c:pt idx="2">
                  <c:v>17.7</c:v>
                </c:pt>
                <c:pt idx="3">
                  <c:v>15</c:v>
                </c:pt>
                <c:pt idx="4">
                  <c:v>17.2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15.2</c:v>
                </c:pt>
                <c:pt idx="1">
                  <c:v>11.4</c:v>
                </c:pt>
                <c:pt idx="2">
                  <c:v>12.1</c:v>
                </c:pt>
                <c:pt idx="3">
                  <c:v>10</c:v>
                </c:pt>
                <c:pt idx="4">
                  <c:v>12.2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1">
                  <c:v>1</c:v>
                </c:pt>
                <c:pt idx="2">
                  <c:v>-5.5</c:v>
                </c:pt>
                <c:pt idx="3">
                  <c:v>-3.6</c:v>
                </c:pt>
                <c:pt idx="4">
                  <c:v>1</c:v>
                </c:pt>
                <c:pt idx="5">
                  <c:v>4.7</c:v>
                </c:pt>
                <c:pt idx="6">
                  <c:v>23.7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4">
                  <c:v>12</c:v>
                </c:pt>
                <c:pt idx="5">
                  <c:v>15</c:v>
                </c:pt>
                <c:pt idx="6">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74</c:v>
                </c:pt>
                <c:pt idx="1">
                  <c:v>61</c:v>
                </c:pt>
                <c:pt idx="2">
                  <c:v>53</c:v>
                </c:pt>
                <c:pt idx="3">
                  <c:v>59</c:v>
                </c:pt>
                <c:pt idx="4">
                  <c:v>59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223</c:v>
                </c:pt>
                <c:pt idx="1">
                  <c:v>191</c:v>
                </c:pt>
                <c:pt idx="2">
                  <c:v>168</c:v>
                </c:pt>
                <c:pt idx="3">
                  <c:v>172</c:v>
                </c:pt>
                <c:pt idx="4">
                  <c:v>169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89</c:v>
                </c:pt>
                <c:pt idx="1">
                  <c:v>64</c:v>
                </c:pt>
                <c:pt idx="2">
                  <c:v>47</c:v>
                </c:pt>
                <c:pt idx="3">
                  <c:v>50</c:v>
                </c:pt>
                <c:pt idx="4">
                  <c:v>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8552</c:v>
                </c:pt>
                <c:pt idx="1">
                  <c:v>6429</c:v>
                </c:pt>
                <c:pt idx="2">
                  <c:v>12435</c:v>
                </c:pt>
                <c:pt idx="3">
                  <c:v>14584</c:v>
                </c:pt>
                <c:pt idx="4">
                  <c:v>14325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13064</c:v>
                </c:pt>
                <c:pt idx="1">
                  <c:v>12841</c:v>
                </c:pt>
                <c:pt idx="2">
                  <c:v>15300</c:v>
                </c:pt>
                <c:pt idx="3">
                  <c:v>12243</c:v>
                </c:pt>
                <c:pt idx="4">
                  <c:v>14690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13.7</c:v>
                </c:pt>
                <c:pt idx="1">
                  <c:v>12.2</c:v>
                </c:pt>
                <c:pt idx="2">
                  <c:v>13.8</c:v>
                </c:pt>
                <c:pt idx="3">
                  <c:v>10.4</c:v>
                </c:pt>
                <c:pt idx="4">
                  <c:v>12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10.2</c:v>
                </c:pt>
                <c:pt idx="1">
                  <c:v>10.2</c:v>
                </c:pt>
                <c:pt idx="2">
                  <c:v>10.2</c:v>
                </c:pt>
                <c:pt idx="3">
                  <c:v>10.2</c:v>
                </c:pt>
                <c:pt idx="4">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16.9</c:v>
                </c:pt>
                <c:pt idx="1">
                  <c:v>16.2</c:v>
                </c:pt>
                <c:pt idx="2">
                  <c:v>18.1</c:v>
                </c:pt>
                <c:pt idx="3">
                  <c:v>13.3</c:v>
                </c:pt>
                <c:pt idx="4">
                  <c:v>15.4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0.92</c:v>
                </c:pt>
                <c:pt idx="1">
                  <c:v>1.65</c:v>
                </c:pt>
                <c:pt idx="2">
                  <c:v>1.36</c:v>
                </c:pt>
                <c:pt idx="3">
                  <c:v>1.45</c:v>
                </c:pt>
                <c:pt idx="4">
                  <c:v>1.14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23518</c:v>
                </c:pt>
                <c:pt idx="1">
                  <c:v>15542</c:v>
                </c:pt>
                <c:pt idx="2">
                  <c:v>1877</c:v>
                </c:pt>
                <c:pt idx="3">
                  <c:v>3187</c:v>
                </c:pt>
                <c:pt idx="4">
                  <c:v>2997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8140</c:v>
                </c:pt>
                <c:pt idx="1">
                  <c:v>5955</c:v>
                </c:pt>
                <c:pt idx="2">
                  <c:v>6261</c:v>
                </c:pt>
                <c:pt idx="3">
                  <c:v>6880</c:v>
                </c:pt>
                <c:pt idx="4">
                  <c:v>7203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270</c:v>
                </c:pt>
                <c:pt idx="2">
                  <c:v>242</c:v>
                </c:pt>
                <c:pt idx="3">
                  <c:v>61</c:v>
                </c:pt>
                <c:pt idx="4">
                  <c:v>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Dominical</c:v>
                </c:pt>
                <c:pt idx="2">
                  <c:v>Ejecutivo</c:v>
                </c:pt>
                <c:pt idx="3">
                  <c:v>Otro externo</c:v>
                </c:pt>
              </c:strCache>
            </c:strRef>
          </c:cat>
          <c:val>
            <c:numRef>
              <c:f>Hoja1!$B$2:$B$5</c:f>
              <c:numCache>
                <c:formatCode>0</c:formatCode>
                <c:ptCount val="4"/>
                <c:pt idx="0">
                  <c:v>5</c:v>
                </c:pt>
                <c:pt idx="1">
                  <c:v>2</c:v>
                </c:pt>
                <c:pt idx="2">
                  <c:v>1</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Industrivärden</c:v>
                </c:pt>
                <c:pt idx="1">
                  <c:v>BlackRock</c:v>
                </c:pt>
                <c:pt idx="2">
                  <c:v>Vanguard</c:v>
                </c:pt>
                <c:pt idx="3">
                  <c:v>Swedbank Robur Fonder</c:v>
                </c:pt>
                <c:pt idx="4">
                  <c:v>Lundbergföretagen</c:v>
                </c:pt>
                <c:pt idx="5">
                  <c:v>Alecta</c:v>
                </c:pt>
                <c:pt idx="6">
                  <c:v>Handelsbanken Fonder</c:v>
                </c:pt>
                <c:pt idx="7">
                  <c:v>Norges Bank Investment Management</c:v>
                </c:pt>
              </c:strCache>
            </c:strRef>
          </c:cat>
          <c:val>
            <c:numRef>
              <c:f>Hoja1!$B$2:$B$9</c:f>
              <c:numCache>
                <c:formatCode>0.0"%"</c:formatCode>
                <c:ptCount val="8"/>
                <c:pt idx="0">
                  <c:v>14.9</c:v>
                </c:pt>
                <c:pt idx="1">
                  <c:v>5</c:v>
                </c:pt>
                <c:pt idx="2">
                  <c:v>3.8</c:v>
                </c:pt>
                <c:pt idx="3">
                  <c:v>3.7</c:v>
                </c:pt>
                <c:pt idx="4">
                  <c:v>3.3</c:v>
                </c:pt>
                <c:pt idx="5">
                  <c:v>2.6</c:v>
                </c:pt>
                <c:pt idx="6">
                  <c:v>2.1</c:v>
                </c:pt>
                <c:pt idx="7">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52.2</c:v>
                </c:pt>
                <c:pt idx="1">
                  <c:v>27.5</c:v>
                </c:pt>
                <c:pt idx="2">
                  <c:v>-12.1</c:v>
                </c:pt>
                <c:pt idx="3">
                  <c:v>44.6</c:v>
                </c:pt>
                <c:pt idx="4">
                  <c:v>10.2</c:v>
                </c:pt>
                <c:pt idx="5">
                  <c:v>25.5</c:v>
                </c:pt>
                <c:pt idx="6">
                  <c:v>-21.6</c:v>
                </c:pt>
                <c:pt idx="7">
                  <c:v>15.8</c:v>
                </c:pt>
                <c:pt idx="8">
                  <c:v>-9.1</c:v>
                </c:pt>
                <c:pt idx="9">
                  <c:v>51.6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4.9</c:v>
                </c:pt>
                <c:pt idx="1">
                  <c:v>3.9</c:v>
                </c:pt>
                <c:pt idx="2">
                  <c:v>-10.7</c:v>
                </c:pt>
                <c:pt idx="3">
                  <c:v>25.8</c:v>
                </c:pt>
                <c:pt idx="4">
                  <c:v>5.8</c:v>
                </c:pt>
                <c:pt idx="5">
                  <c:v>29.1</c:v>
                </c:pt>
                <c:pt idx="6">
                  <c:v>-15.6</c:v>
                </c:pt>
                <c:pt idx="7">
                  <c:v>17.4</c:v>
                </c:pt>
                <c:pt idx="8">
                  <c:v>3.5</c:v>
                </c:pt>
                <c:pt idx="9">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14.3</c:v>
                </c:pt>
                <c:pt idx="1">
                  <c:v>11</c:v>
                </c:pt>
                <c:pt idx="2">
                  <c:v>10.5</c:v>
                </c:pt>
                <c:pt idx="3">
                  <c:v>10.9</c:v>
                </c:pt>
                <c:pt idx="4">
                  <c:v>14.5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11</c:v>
                </c:pt>
                <c:pt idx="1">
                  <c:v>11</c:v>
                </c:pt>
                <c:pt idx="2">
                  <c:v>11</c:v>
                </c:pt>
                <c:pt idx="3">
                  <c:v>11</c:v>
                </c:pt>
                <c:pt idx="4">
                  <c:v>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Sandvik</c:v>
                </c:pt>
                <c:pt idx="1">
                  <c:v>Epiroc</c:v>
                </c:pt>
                <c:pt idx="2">
                  <c:v>Atlas Copco</c:v>
                </c:pt>
                <c:pt idx="3">
                  <c:v>Caterpillar</c:v>
                </c:pt>
                <c:pt idx="4">
                  <c:v>Komatsu</c:v>
                </c:pt>
                <c:pt idx="5">
                  <c:v>Metso</c:v>
                </c:pt>
                <c:pt idx="6">
                  <c:v>Weir</c:v>
                </c:pt>
              </c:strCache>
            </c:strRef>
          </c:cat>
          <c:val>
            <c:numRef>
              <c:f>Hoja1!$B$2:$B$8</c:f>
              <c:numCache>
                <c:formatCode>0.0"x"</c:formatCode>
                <c:ptCount val="7"/>
                <c:pt idx="0">
                  <c:v>12.5</c:v>
                </c:pt>
                <c:pt idx="1">
                  <c:v>17.9</c:v>
                </c:pt>
                <c:pt idx="2">
                  <c:v>18.8</c:v>
                </c:pt>
                <c:pt idx="3">
                  <c:v>18.8</c:v>
                </c:pt>
                <c:pt idx="4">
                  <c:v>9.3</c:v>
                </c:pt>
                <c:pt idx="5">
                  <c:v>12.9</c:v>
                </c:pt>
                <c:pt idx="6">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Sandvik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18.3</c:v>
                </c:pt>
              </c:numCache>
            </c:numRef>
          </c:xVal>
          <c:yVal>
            <c:numRef>
              <c:f>Hoja1!$C$2</c:f>
              <c:numCache>
                <c:formatCode>0.0"x"</c:formatCode>
                <c:ptCount val="1"/>
                <c:pt idx="0">
                  <c:v>12.5</c:v>
                </c:pt>
              </c:numCache>
            </c:numRef>
          </c:yVal>
          <c:smooth val="0"/>
        </c:ser>
        <c:ser>
          <c:idx val="1"/>
          <c:order val="1"/>
          <c:tx>
            <c:strRef>
              <c:f>Hoja1!$A$3</c:f>
              <c:strCache>
                <c:ptCount val="1"/>
                <c:pt idx="0">
                  <c:v>Epiroc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14.7</c:v>
                </c:pt>
              </c:numCache>
            </c:numRef>
          </c:xVal>
          <c:yVal>
            <c:numRef>
              <c:f>Hoja1!$C$3</c:f>
              <c:numCache>
                <c:formatCode>0.0"x"</c:formatCode>
                <c:ptCount val="1"/>
                <c:pt idx="0">
                  <c:v>17.9</c:v>
                </c:pt>
              </c:numCache>
            </c:numRef>
          </c:yVal>
          <c:smooth val="0"/>
        </c:ser>
        <c:ser>
          <c:idx val="2"/>
          <c:order val="2"/>
          <c:tx>
            <c:strRef>
              <c:f>Hoja1!$A$4</c:f>
              <c:strCache>
                <c:ptCount val="1"/>
                <c:pt idx="0">
                  <c:v>Atlas Copco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17</c:v>
                </c:pt>
              </c:numCache>
            </c:numRef>
          </c:xVal>
          <c:yVal>
            <c:numRef>
              <c:f>Hoja1!$C$4</c:f>
              <c:numCache>
                <c:formatCode>0.0"x"</c:formatCode>
                <c:ptCount val="1"/>
                <c:pt idx="0">
                  <c:v>18.8</c:v>
                </c:pt>
              </c:numCache>
            </c:numRef>
          </c:yVal>
          <c:smooth val="0"/>
        </c:ser>
        <c:ser>
          <c:idx val="3"/>
          <c:order val="3"/>
          <c:tx>
            <c:strRef>
              <c:f>Hoja1!$A$5</c:f>
              <c:strCache>
                <c:ptCount val="1"/>
                <c:pt idx="0">
                  <c:v>Caterpillar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17.9</c:v>
                </c:pt>
              </c:numCache>
            </c:numRef>
          </c:xVal>
          <c:yVal>
            <c:numRef>
              <c:f>Hoja1!$C$5</c:f>
              <c:numCache>
                <c:formatCode>0.0"x"</c:formatCode>
                <c:ptCount val="1"/>
                <c:pt idx="0">
                  <c:v>18.8</c:v>
                </c:pt>
              </c:numCache>
            </c:numRef>
          </c:yVal>
          <c:smooth val="0"/>
        </c:ser>
        <c:ser>
          <c:idx val="4"/>
          <c:order val="4"/>
          <c:tx>
            <c:strRef>
              <c:f>Hoja1!$A$6</c:f>
              <c:strCache>
                <c:ptCount val="1"/>
                <c:pt idx="0">
                  <c:v>Komatsu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7.8</c:v>
                </c:pt>
              </c:numCache>
            </c:numRef>
          </c:xVal>
          <c:yVal>
            <c:numRef>
              <c:f>Hoja1!$C$6</c:f>
              <c:numCache>
                <c:formatCode>0.0"x"</c:formatCode>
                <c:ptCount val="1"/>
                <c:pt idx="0">
                  <c:v>9.3</c:v>
                </c:pt>
              </c:numCache>
            </c:numRef>
          </c:yVal>
          <c:smooth val="0"/>
        </c:ser>
        <c:ser>
          <c:idx val="5"/>
          <c:order val="5"/>
          <c:tx>
            <c:strRef>
              <c:f>Hoja1!$A$7</c:f>
              <c:strCache>
                <c:ptCount val="1"/>
                <c:pt idx="0">
                  <c:v>Metso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11.4</c:v>
                </c:pt>
              </c:numCache>
            </c:numRef>
          </c:xVal>
          <c:yVal>
            <c:numRef>
              <c:f>Hoja1!$C$7</c:f>
              <c:numCache>
                <c:formatCode>0.0"x"</c:formatCode>
                <c:ptCount val="1"/>
                <c:pt idx="0">
                  <c:v>12.9</c:v>
                </c:pt>
              </c:numCache>
            </c:numRef>
          </c:yVal>
          <c:smooth val="0"/>
        </c:ser>
        <c:ser>
          <c:idx val="6"/>
          <c:order val="6"/>
          <c:tx>
            <c:strRef>
              <c:f>Hoja1!$A$8</c:f>
              <c:strCache>
                <c:ptCount val="1"/>
                <c:pt idx="0">
                  <c:v>Weir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9.1</c:v>
                </c:pt>
              </c:numCache>
            </c:numRef>
          </c:xVal>
          <c:yVal>
            <c:numRef>
              <c:f>Hoja1!$C$8</c:f>
              <c:numCache>
                <c:formatCode>0.0"x"</c:formatCode>
                <c:ptCount val="1"/>
                <c:pt idx="0">
                  <c:v>12</c:v>
                </c:pt>
              </c:numCache>
            </c:numRef>
          </c:yVal>
          <c:smooth val="0"/>
        </c:ser>
        <c:axId val="10"/>
        <c:axId val="20"/>
      </c:scatterChart>
      <c:valAx>
        <c:axId val="10"/>
        <c:scaling>
          <c:orientation val="minMax"/>
          <c:max val="21"/>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Micromine (software de minería, Australia)</c:v>
                </c:pt>
                <c:pt idx="1">
                  <c:v>Stanley Infrastructure (implementos hidráulicos, EE. UU.)</c:v>
                </c:pt>
                <c:pt idx="2">
                  <c:v>DSI Underground (sostenimiento de roca)</c:v>
                </c:pt>
                <c:pt idx="3">
                  <c:v>ESCO (piezas de desgaste para minería)</c:v>
                </c:pt>
              </c:strCache>
            </c:strRef>
          </c:cat>
          <c:val>
            <c:numRef>
              <c:f>Hoja1!$B$2:$B$5</c:f>
              <c:numCache>
                <c:formatCode>0.0"x"</c:formatCode>
                <c:ptCount val="4"/>
                <c:pt idx="0">
                  <c:v>20</c:v>
                </c:pt>
                <c:pt idx="3">
                  <c:v>12.6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16037</c:v>
                </c:pt>
                <c:pt idx="1">
                  <c:v>17830</c:v>
                </c:pt>
                <c:pt idx="2">
                  <c:v>19495</c:v>
                </c:pt>
                <c:pt idx="3">
                  <c:v>20191</c:v>
                </c:pt>
                <c:pt idx="4">
                  <c:v>21240</c:v>
                </c:pt>
                <c:pt idx="5">
                  <c:v>22232</c:v>
                </c:pt>
                <c:pt idx="6">
                  <c:v>22899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94023</c:v>
                </c:pt>
                <c:pt idx="1">
                  <c:v>222165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365,00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167.66</c:v>
                </c:pt>
                <c:pt idx="1">
                  <c:v>222.34</c:v>
                </c:pt>
                <c:pt idx="2">
                  <c:v>247.44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365,00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(262,70 – 413,10)</c:v>
                </c:pt>
                <c:pt idx="1">
                  <c:v>Precio objetivo de los analistas (280,00 – 465,00)</c:v>
                </c:pt>
                <c:pt idx="2">
                  <c:v>Comparables: EV/EBITDA NTM (356,74 – 557,47)</c:v>
                </c:pt>
                <c:pt idx="3">
                  <c:v>Comparables: PER NTM (385,42 – 511,67)</c:v>
                </c:pt>
                <c:pt idx="4">
                  <c:v>DCF (WACC y g ± 0,5) (208,72 – 239,03)</c:v>
                </c:pt>
                <c:pt idx="5">
                  <c:v>Escenarios (bajista – alcista) (167,66 – 247,44)</c:v>
                </c:pt>
                <c:pt idx="6">
                  <c:v>DCF con la prima implícita del mercado (4,2 %)</c:v>
                </c:pt>
                <c:pt idx="7">
                  <c:v>Precio actual (365,00)</c:v>
                </c:pt>
              </c:strCache>
            </c:strRef>
          </c:cat>
          <c:val>
            <c:numRef>
              <c:f>Hoja1!$B$2:$B$9</c:f>
              <c:numCache>
                <c:formatCode>#,##0</c:formatCode>
                <c:ptCount val="8"/>
                <c:pt idx="0">
                  <c:v>262.7</c:v>
                </c:pt>
                <c:pt idx="1">
                  <c:v>280</c:v>
                </c:pt>
                <c:pt idx="2">
                  <c:v>356.74</c:v>
                </c:pt>
                <c:pt idx="3">
                  <c:v>385.42</c:v>
                </c:pt>
                <c:pt idx="4">
                  <c:v>208.72</c:v>
                </c:pt>
                <c:pt idx="5">
                  <c:v>167.66</c:v>
                </c:pt>
                <c:pt idx="6">
                  <c:v>246.63</c:v>
                </c:pt>
                <c:pt idx="7">
                  <c:v>363.18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(262,70 – 413,10)</c:v>
                </c:pt>
                <c:pt idx="1">
                  <c:v>Precio objetivo de los analistas (280,00 – 465,00)</c:v>
                </c:pt>
                <c:pt idx="2">
                  <c:v>Comparables: EV/EBITDA NTM (356,74 – 557,47)</c:v>
                </c:pt>
                <c:pt idx="3">
                  <c:v>Comparables: PER NTM (385,42 – 511,67)</c:v>
                </c:pt>
                <c:pt idx="4">
                  <c:v>DCF (WACC y g ± 0,5) (208,72 – 239,03)</c:v>
                </c:pt>
                <c:pt idx="5">
                  <c:v>Escenarios (bajista – alcista) (167,66 – 247,44)</c:v>
                </c:pt>
                <c:pt idx="6">
                  <c:v>DCF con la prima implícita del mercado (4,2 %)</c:v>
                </c:pt>
                <c:pt idx="7">
                  <c:v>Precio actual (365,00)</c:v>
                </c:pt>
              </c:strCache>
            </c:strRef>
          </c:cat>
          <c:val>
            <c:numRef>
              <c:f>Hoja1!$C$2:$C$9</c:f>
              <c:numCache>
                <c:formatCode>#,##0</c:formatCode>
                <c:ptCount val="8"/>
                <c:pt idx="0">
                  <c:v>150.40000000000003</c:v>
                </c:pt>
                <c:pt idx="1">
                  <c:v>185</c:v>
                </c:pt>
                <c:pt idx="2">
                  <c:v>200.73000000000002</c:v>
                </c:pt>
                <c:pt idx="3">
                  <c:v>126.25</c:v>
                </c:pt>
                <c:pt idx="4">
                  <c:v>30.310000000000002</c:v>
                </c:pt>
                <c:pt idx="5">
                  <c:v>79.78</c:v>
                </c:pt>
                <c:pt idx="6">
                  <c:v>29.24000000000001</c:v>
                </c:pt>
                <c:pt idx="7">
                  <c:v>3.6499999999999773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