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INDUSTRIA O SECTOR</w:t>
      </w:r>
    </w:p>
    <w:p>
      <w:pPr>
        <w:pStyle w:val="Title"/>
      </w:pPr>
      <w:r>
        <w:t xml:space="preserve">{{identificacion.nombre}}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Ámbito: {{identificacion.ambito}} · {{identificacion.codigos}}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{{meta.fecha_corte|fecha}}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{{meta.divisa}}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{{meta.unidades}}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{{resumen.conclusion}}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Tamaño del mercado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{{mercado.tamano_actual|0}} ({{mercado.anio_base}})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histórico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{{mercado.tcac_historico_pct|pct}}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previsto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{{mercado.tcac_previsto_pct|pct}}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Cuota de los 5 primeros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{{competencia.cr5_pct|pct0}}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Margen EBITDA mediano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{{economia.margen_ebitda_mediano_pct|pct}}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EV/EBITDA cotizadas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{{cotizadas.ev_ebitda_mediano|x}}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Ciclicidad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{{ciclo.ciclicidad}}</w:t>
            </w:r>
          </w:p>
        </w:tc>
      </w:tr>
    </w:tbl>
    <w:p>
      <w:pPr>
        <w:spacing w:after="20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{{resumen.confianza}}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{{resumen.conclusion}}</w:t>
      </w:r>
    </w:p>
    <w:p>
      <w:pPr>
        <w:spacing w:after="100"/>
      </w:pPr>
      <w:r>
        <w:t xml:space="preserve">{{texto:resumen.tesis}}</w:t>
      </w:r>
    </w:p>
    <w:p>
      <w:pPr>
        <w:pStyle w:val="Heading2"/>
      </w:pPr>
      <w:r>
        <w:t xml:space="preserve">A favor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{{lista:resumen.a_favor}}</w:t>
      </w:r>
    </w:p>
    <w:p>
      <w:pPr>
        <w:pStyle w:val="Heading2"/>
      </w:pPr>
      <w:r>
        <w:t xml:space="preserve">En contra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{{lista:resumen.en_contra}}</w:t>
      </w:r>
    </w:p>
    <w:p>
      <w:pPr>
        <w:pStyle w:val="Heading2"/>
      </w:pPr>
      <w:r>
        <w:t xml:space="preserve">Dónde está el valor</w:t>
      </w:r>
    </w:p>
    <w:p>
      <w:pPr>
        <w:spacing w:after="100"/>
      </w:pPr>
      <w:r>
        <w:t xml:space="preserve">{{texto:resumen.donde_invertir}}</w:t>
      </w:r>
    </w:p>
    <w:p>
      <w:pPr>
        <w:pStyle w:val="Heading1"/>
      </w:pPr>
      <w:r>
        <w:t xml:space="preserve">1. Definición y perímetro</w:t>
      </w:r>
    </w:p>
    <w:p>
      <w:pPr>
        <w:pStyle w:val="Confianza"/>
        <w:spacing w:after="100"/>
      </w:pPr>
      <w:r>
        <w:t xml:space="preserve">Confianza: {{identificacion.confianza}}</w:t>
      </w:r>
    </w:p>
    <w:p>
      <w:pPr>
        <w:spacing w:after="100"/>
      </w:pPr>
      <w:r>
        <w:t xml:space="preserve">{{texto:identificacion.definicion}}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7"/>
        <w:gridCol w:w="5591"/>
      </w:tblGrid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{{?identificacion.codigos}}Códigos de clasificación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{{identificacion.codigos}}</w:t>
            </w:r>
          </w:p>
        </w:tc>
      </w:tr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{{?identificacion.ambito}}Ámbito geográfico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{{identificacion.ambito}}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Subsectores incluidos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{{lista:identificacion.subsectores}}</w:t>
      </w:r>
    </w:p>
    <w:p>
      <w:pPr>
        <w:pStyle w:val="Heading2"/>
      </w:pPr>
      <w:r>
        <w:t xml:space="preserve">Qué queda fuera</w:t>
      </w:r>
    </w:p>
    <w:p>
      <w:pPr>
        <w:spacing w:after="100"/>
      </w:pPr>
      <w:r>
        <w:t xml:space="preserve">{{texto:identificacion.excluido}}</w:t>
      </w:r>
    </w:p>
    <w:p>
      <w:pPr>
        <w:pStyle w:val="Heading1"/>
      </w:pPr>
      <w:r>
        <w:t xml:space="preserve">2. Tamaño y crecimiento del mercado</w:t>
      </w:r>
    </w:p>
    <w:p>
      <w:pPr>
        <w:pStyle w:val="Confianza"/>
        <w:spacing w:after="100"/>
      </w:pPr>
      <w:r>
        <w:t xml:space="preserve">Confianza: {{mercado.confianza}}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{{?mercado.tamano_actual}}Tamaño ({{mercado.anio_base}})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{{mercado.tamano_actual|0}} {{meta.unidades}} {{meta.divisa}}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{{?mercado.medida}}Medida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{{mercado.medida}}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{{?mercado.tcac_historico_pct}}TCAC histórico ({{mercado.periodo_historico}})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{{mercado.tcac_historico_pct|pct}}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{{?mercado.tcac_previsto_pct}}TCAC previsto ({{mercado.periodo_previsto}})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{{mercado.tcac_previsto_pct|pct}}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{{grafico:mercado}}</w:t>
      </w:r>
    </w:p>
    <w:p>
      <w:pPr>
        <w:pStyle w:val="Heading2"/>
      </w:pPr>
      <w:r>
        <w:t xml:space="preserve">Cómo de fiables son las cifras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84"/>
        <w:gridCol w:w="1220"/>
        <w:gridCol w:w="853"/>
        <w:gridCol w:w="1220"/>
        <w:gridCol w:w="3661"/>
      </w:tblGrid>
      <w:tr>
        <w:trPr>
          <w:cantSplit/>
          <w:tblHeader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Fuente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Tamaño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TCAC previsto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Perímetro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{{mercado.estimaciones[].fuente}}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{{mercado.estimaciones[].tamano|0}}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{{mercado.estimaciones[].anio}}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{{mercado.estimaciones[].tcac_pct|pct}}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{{mercado.estimaciones[].perimetro}}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{{texto:mercado.comentario}}</w:t>
      </w:r>
    </w:p>
    <w:p>
      <w:pPr>
        <w:pStyle w:val="Heading1"/>
      </w:pPr>
      <w:r>
        <w:t xml:space="preserve">3. Segmentación</w:t>
      </w:r>
    </w:p>
    <w:p>
      <w:pPr>
        <w:pStyle w:val="Confianza"/>
        <w:spacing w:after="100"/>
      </w:pPr>
      <w:r>
        <w:t xml:space="preserve">Confianza: {{segmentacion.confianza}}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Segmento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% del mercado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Crecimiento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{{segmentacion.segmentos[].nombre}}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{{segmentacion.segmentos[].peso_pct|pct}}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{{segmentacion.segmentos[].crecimiento_pct|+pct}}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{{segmentacion.segmentos[].comentario}}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{{grafico:segmentos}}</w:t>
      </w:r>
    </w:p>
    <w:p>
      <w:pPr>
        <w:keepNext w:val="false"/>
        <w:spacing w:after="160" w:before="120"/>
        <w:jc w:val="center"/>
      </w:pPr>
      <w:r>
        <w:t xml:space="preserve">{{grafico:crecimiento_segmentos}}</w:t>
      </w:r>
    </w:p>
    <w:p>
      <w:pPr>
        <w:keepNext w:val="false"/>
        <w:spacing w:after="160" w:before="120"/>
        <w:jc w:val="center"/>
      </w:pPr>
      <w:r>
        <w:t xml:space="preserve">{{grafico:geografias}}</w:t>
      </w:r>
    </w:p>
    <w:p>
      <w:pPr>
        <w:pStyle w:val="Heading2"/>
      </w:pPr>
      <w:r>
        <w:t xml:space="preserve">Clientes</w:t>
      </w:r>
    </w:p>
    <w:p>
      <w:pPr>
        <w:spacing w:after="100"/>
      </w:pPr>
      <w:r>
        <w:t xml:space="preserve">{{texto:segmentacion.clientes}}</w:t>
      </w:r>
    </w:p>
    <w:p>
      <w:pPr>
        <w:pStyle w:val="Heading1"/>
      </w:pPr>
      <w:r>
        <w:t xml:space="preserve">4. Cadena de valor</w:t>
      </w:r>
    </w:p>
    <w:p>
      <w:pPr>
        <w:pStyle w:val="Confianza"/>
        <w:spacing w:after="100"/>
      </w:pPr>
      <w:r>
        <w:t xml:space="preserve">Confianza: {{cadena_valor.confianza}}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"/>
        <w:gridCol w:w="2017"/>
        <w:gridCol w:w="3362"/>
        <w:gridCol w:w="1120"/>
        <w:gridCol w:w="2691"/>
      </w:tblGrid>
      <w:tr>
        <w:trPr>
          <w:cantSplit/>
          <w:tblHeader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Eslabón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Qué hace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Actores representativos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{{cadena_valor.eslabones[].eslabon}}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{{cadena_valor.eslabones[].que_hace}}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{{cadena_valor.eslabones[].margen_ebitda_pct|pct}}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{{cadena_valor.eslabones[].actores}}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{{grafico:cadena}}</w:t>
      </w:r>
    </w:p>
    <w:p>
      <w:pPr>
        <w:spacing w:after="100"/>
      </w:pPr>
      <w:r>
        <w:t xml:space="preserve">{{texto:cadena_valor.captura}}</w:t>
      </w:r>
    </w:p>
    <w:p>
      <w:pPr>
        <w:pStyle w:val="Heading1"/>
      </w:pPr>
      <w:r>
        <w:t xml:space="preserve">5. Motores de la demanda y tendencias</w:t>
      </w:r>
    </w:p>
    <w:p>
      <w:pPr>
        <w:pStyle w:val="Confianza"/>
        <w:spacing w:after="100"/>
      </w:pPr>
      <w:r>
        <w:t xml:space="preserve">Confianza: {{drivers.confianza}}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0"/>
        <w:gridCol w:w="1098"/>
        <w:gridCol w:w="1220"/>
        <w:gridCol w:w="4880"/>
      </w:tblGrid>
      <w:tr>
        <w:trPr>
          <w:cantSplit/>
          <w:tblHeader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Motor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Horizonte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{{drivers.items[].driver}}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{{drivers.items[].efecto}}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{{drivers.items[].horizonte}}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{{drivers.items[].evidencia}}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{{texto:drivers.tendencias}}</w:t>
      </w:r>
    </w:p>
    <w:p>
      <w:pPr>
        <w:pStyle w:val="Heading1"/>
      </w:pPr>
      <w:r>
        <w:t xml:space="preserve">6. Estructura competitiva</w:t>
      </w:r>
    </w:p>
    <w:p>
      <w:pPr>
        <w:pStyle w:val="Confianza"/>
        <w:spacing w:after="100"/>
      </w:pPr>
      <w:r>
        <w:t xml:space="preserve">Confianza: {{competencia.confianza}}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{{?competencia.estructura}}Estructura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{{competencia.estructura}}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{{?competencia.cr5_pct}}Cuota de los 5 primeros (CR5)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{{competencia.cr5_pct|pct0}}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{{?competencia.hhi}}Índice Herfindahl (HHI)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{{competencia.hhi|0}}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{{?competencia.numero_empresas}}Número aproximado de empresas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{{competencia.numero_empresas}}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2"/>
        <w:gridCol w:w="1422"/>
        <w:gridCol w:w="1580"/>
        <w:gridCol w:w="2844"/>
      </w:tblGrid>
      <w:tr>
        <w:trPr>
          <w:cantSplit/>
          <w:tblHeader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Cuota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Propiedad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{{competencia.cuotas[].empresa}}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{{competencia.cuotas[].cuota_pct|pct}}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{{competencia.cuotas[].pais}}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{{competencia.cuotas[].propiedad}}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{{grafico:cuotas}}</w:t>
      </w:r>
    </w:p>
    <w:p>
      <w:pPr>
        <w:pStyle w:val="Heading2"/>
      </w:pPr>
      <w:r>
        <w:t xml:space="preserve">Barreras de entrada</w:t>
      </w:r>
    </w:p>
    <w:p>
      <w:pPr>
        <w:spacing w:after="100"/>
      </w:pPr>
      <w:r>
        <w:t xml:space="preserve">{{texto:competencia.barreras}}</w:t>
      </w:r>
    </w:p>
    <w:p>
      <w:pPr>
        <w:pStyle w:val="Heading2"/>
      </w:pPr>
      <w:r>
        <w:t xml:space="preserve">Dinámica competitiva</w:t>
      </w:r>
    </w:p>
    <w:p>
      <w:pPr>
        <w:spacing w:after="100"/>
      </w:pPr>
      <w:r>
        <w:t xml:space="preserve">{{texto:competencia.dinamica}}</w:t>
      </w:r>
    </w:p>
    <w:p>
      <w:pPr>
        <w:pStyle w:val="Heading1"/>
      </w:pPr>
      <w:r>
        <w:t xml:space="preserve">7. Las cinco fuerzas</w:t>
      </w:r>
    </w:p>
    <w:p>
      <w:pPr>
        <w:pStyle w:val="Confianza"/>
        <w:spacing w:after="100"/>
      </w:pPr>
      <w:r>
        <w:t xml:space="preserve">Confianza: {{porter.confianza}}</w:t>
      </w:r>
    </w:p>
    <w:p>
      <w:pPr>
        <w:keepNext w:val="false"/>
        <w:spacing w:after="160" w:before="120"/>
        <w:jc w:val="center"/>
      </w:pPr>
      <w:r>
        <w:t xml:space="preserve">{{grafico:porter}}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1204"/>
        <w:gridCol w:w="6025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Fuerza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Intensidad (1-5)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{{porter.fuerzas[].fuerza}}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{{porter.fuerzas[].intensidad|0}}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{{porter.fuerzas[].justificacion}}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{{texto:porter.conclusion}}</w:t>
      </w:r>
    </w:p>
    <w:p>
      <w:pPr>
        <w:pStyle w:val="Heading1"/>
      </w:pPr>
      <w:r>
        <w:t xml:space="preserve">8. Economía del negocio</w:t>
      </w:r>
    </w:p>
    <w:p>
      <w:pPr>
        <w:pStyle w:val="Confianza"/>
        <w:spacing w:after="100"/>
      </w:pPr>
      <w:r>
        <w:t xml:space="preserve">Confianza: {{economia.confianza}}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Mediana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Cuartil superior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{{economia.metricas[].metrica}}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{{economia.metricas[].mediana}}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{{economia.metricas[].cuartil_superior}}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{{economia.metricas[].comentario}}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Modelo de ingresos y poder de precios</w:t>
      </w:r>
    </w:p>
    <w:p>
      <w:pPr>
        <w:spacing w:after="100"/>
      </w:pPr>
      <w:r>
        <w:t xml:space="preserve">{{texto:economia.modelo_ingresos}}</w:t>
      </w:r>
    </w:p>
    <w:p>
      <w:pPr>
        <w:pStyle w:val="Heading1"/>
      </w:pPr>
      <w:r>
        <w:t xml:space="preserve">9. Ciclo y sensibilidad macroeconómica</w:t>
      </w:r>
    </w:p>
    <w:p>
      <w:pPr>
        <w:pStyle w:val="Confianza"/>
        <w:spacing w:after="100"/>
      </w:pPr>
      <w:r>
        <w:t xml:space="preserve">Confianza: {{ciclo.confianza}}</w:t>
      </w:r>
    </w:p>
    <w:p>
      <w:pPr>
        <w:spacing w:after="100"/>
      </w:pPr>
      <w:r>
        <w:rPr>
          <w:b/>
          <w:bCs/>
        </w:rPr>
        <w:t xml:space="preserve">Ciclicidad:</w:t>
      </w:r>
      <w:r>
        <w:t xml:space="preserve"> {{ciclo.ciclicidad}}</w:t>
      </w:r>
    </w:p>
    <w:p>
      <w:pPr>
        <w:keepNext w:val="false"/>
        <w:spacing w:after="160" w:before="120"/>
        <w:jc w:val="center"/>
      </w:pPr>
      <w:r>
        <w:t xml:space="preserve">{{grafico:ciclo}}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8"/>
        <w:gridCol w:w="1445"/>
        <w:gridCol w:w="6025"/>
      </w:tblGrid>
      <w:tr>
        <w:trPr>
          <w:cantSplit/>
          <w:tblHeader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Variable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{{ciclo.sensibilidades[].variable}}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{{ciclo.sensibilidades[].efecto}}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{{ciclo.sensibilidades[].comentario}}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Comportamiento en crisis anteriores</w:t>
      </w:r>
    </w:p>
    <w:p>
      <w:pPr>
        <w:spacing w:after="100"/>
      </w:pPr>
      <w:r>
        <w:t xml:space="preserve">{{texto:ciclo.historico}}</w:t>
      </w:r>
    </w:p>
    <w:p>
      <w:pPr>
        <w:pStyle w:val="Heading1"/>
      </w:pPr>
      <w:r>
        <w:t xml:space="preserve">10. Regulación</w:t>
      </w:r>
    </w:p>
    <w:p>
      <w:pPr>
        <w:pStyle w:val="Confianza"/>
        <w:spacing w:after="100"/>
      </w:pPr>
      <w:r>
        <w:t xml:space="preserve">Confianza: {{regulacion.confianza}}</w:t>
      </w:r>
    </w:p>
    <w:p>
      <w:pPr>
        <w:spacing w:after="100"/>
      </w:pPr>
      <w:r>
        <w:t xml:space="preserve">{{texto:regulacion.marco}}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3"/>
        <w:gridCol w:w="1376"/>
        <w:gridCol w:w="1147"/>
        <w:gridCol w:w="4132"/>
      </w:tblGrid>
      <w:tr>
        <w:trPr>
          <w:cantSplit/>
          <w:tblHeader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Norma o cambio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Estado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 en el sector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{{regulacion.cambios[].norma}}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{{regulacion.cambios[].estado}}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{{regulacion.cambios[].fecha}}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{{regulacion.cambios[].impacto}}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11. Tecnología y disrupción</w:t>
      </w:r>
    </w:p>
    <w:p>
      <w:pPr>
        <w:pStyle w:val="Confianza"/>
        <w:spacing w:after="100"/>
      </w:pPr>
      <w:r>
        <w:t xml:space="preserve">Confianza: {{tecnologia.confianza}}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0"/>
        <w:gridCol w:w="1095"/>
        <w:gridCol w:w="985"/>
        <w:gridCol w:w="985"/>
        <w:gridCol w:w="4383"/>
      </w:tblGrid>
      <w:tr>
        <w:trPr>
          <w:cantSplit/>
          <w:tblHeader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Madurez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Plazo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Quién gana y quién pierde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{{tecnologia.disrupciones[].tecnologia}}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{{tecnologia.disrupciones[].madurez}}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{{tecnologia.disrupciones[].plazo}}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{{tecnologia.disrupciones[].impacto}}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{{tecnologia.disrupciones[].comentario}}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{{texto:tecnologia.comentario}}</w:t>
      </w:r>
    </w:p>
    <w:p>
      <w:pPr>
        <w:pStyle w:val="Heading1"/>
      </w:pPr>
      <w:r>
        <w:t xml:space="preserve">12. Operaciones corporativas y capital privado</w:t>
      </w:r>
    </w:p>
    <w:p>
      <w:pPr>
        <w:pStyle w:val="Confianza"/>
        <w:spacing w:after="100"/>
      </w:pPr>
      <w:r>
        <w:t xml:space="preserve">Confianza: {{operaciones.confianza}}</w:t>
      </w:r>
    </w:p>
    <w:p>
      <w:pPr>
        <w:keepNext w:val="false"/>
        <w:spacing w:after="160" w:before="120"/>
        <w:jc w:val="center"/>
      </w:pPr>
      <w:r>
        <w:t xml:space="preserve">{{grafico:actividad}}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1949"/>
        <w:gridCol w:w="1949"/>
        <w:gridCol w:w="974"/>
        <w:gridCol w:w="974"/>
        <w:gridCol w:w="2818"/>
      </w:tblGrid>
      <w:tr>
        <w:trPr>
          <w:cantSplit/>
          <w:tblHeader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Objetivo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Comprador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 (M)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Comentario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{{operaciones.transacciones[].fecha}}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{{operaciones.transacciones[].objetivo}}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{{operaciones.transacciones[].comprador}}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{{operaciones.transacciones[].valor|0}}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{{operaciones.transacciones[].ev_ebitda|x}}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{{operaciones.transacciones[].comentario}}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Múltiplos pagados</w:t>
      </w:r>
    </w:p>
    <w:p>
      <w:pPr>
        <w:spacing w:after="100"/>
      </w:pPr>
      <w:r>
        <w:t xml:space="preserve">{{texto:operaciones.multiplos}}</w:t>
      </w:r>
    </w:p>
    <w:p>
      <w:pPr>
        <w:pStyle w:val="Heading2"/>
      </w:pPr>
      <w:r>
        <w:t xml:space="preserve">Capital privado en el sector</w:t>
      </w:r>
    </w:p>
    <w:p>
      <w:pPr>
        <w:spacing w:after="100"/>
      </w:pPr>
      <w:r>
        <w:t xml:space="preserve">{{texto:operaciones.capital_privado}}</w:t>
      </w:r>
    </w:p>
    <w:p>
      <w:pPr>
        <w:pStyle w:val="Heading2"/>
      </w:pPr>
      <w:r>
        <w:t xml:space="preserve">Consolidación</w:t>
      </w:r>
    </w:p>
    <w:p>
      <w:pPr>
        <w:spacing w:after="100"/>
      </w:pPr>
      <w:r>
        <w:t xml:space="preserve">{{texto:operaciones.consolidacion}}</w:t>
      </w:r>
    </w:p>
    <w:p>
      <w:pPr>
        <w:pStyle w:val="Heading1"/>
      </w:pPr>
      <w:r>
        <w:t xml:space="preserve">13. Compañías cotizadas y valoración del sector</w:t>
      </w:r>
    </w:p>
    <w:p>
      <w:pPr>
        <w:pStyle w:val="Confianza"/>
        <w:spacing w:after="100"/>
      </w:pPr>
      <w:r>
        <w:t xml:space="preserve">Confianza: {{cotizadas.confianza}}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0"/>
        <w:gridCol w:w="924"/>
        <w:gridCol w:w="1452"/>
        <w:gridCol w:w="1188"/>
        <w:gridCol w:w="1188"/>
        <w:gridCol w:w="1188"/>
        <w:gridCol w:w="1058"/>
      </w:tblGrid>
      <w:tr>
        <w:trPr>
          <w:cantSplit/>
          <w:tblHeader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Capitalización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Crec. ingr.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M. EBITDA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{{cotizadas.empresas[].nombre}}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{{cotizadas.empresas[].pais}}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{{cotizadas.empresas[].capitalizacion|0}}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{{cotizadas.empresas[].crecimiento_pct|+pct}}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{{cotizadas.empresas[].margen_ebitda_pct|pct}}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{{cotizadas.empresas[].ev_ebitda|x}}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{{cotizadas.empresas[].per|x}}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{{grafico:cotizadas_mapa}}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cantSplit/>
          <w:tblHeader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Múltiplo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hoy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 10 años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Mercado amplio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{{cotizadas.multiplos[].metrica}}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{{cotizadas.multiplos[].actual|x}}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{{cotizadas.multiplos[].media_10a|x}}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{{cotizadas.multiplos[].mercado|x}}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{{grafico:multiplos}}</w:t>
      </w:r>
    </w:p>
    <w:p>
      <w:pPr>
        <w:spacing w:after="100"/>
      </w:pPr>
      <w:r>
        <w:t xml:space="preserve">{{texto:cotizadas.comentario}}</w:t>
      </w:r>
    </w:p>
    <w:p>
      <w:pPr>
        <w:pStyle w:val="Heading1"/>
      </w:pPr>
      <w:r>
        <w:t xml:space="preserve">14. ESG y sostenibilidad</w:t>
      </w:r>
    </w:p>
    <w:p>
      <w:pPr>
        <w:pStyle w:val="Confianza"/>
        <w:spacing w:after="100"/>
      </w:pPr>
      <w:r>
        <w:t xml:space="preserve">Confianza: {{esg.confianza}}</w:t>
      </w:r>
    </w:p>
    <w:p>
      <w:pPr>
        <w:pStyle w:val="Heading2"/>
      </w:pPr>
      <w:r>
        <w:t xml:space="preserve">Riesgos</w:t>
      </w:r>
    </w:p>
    <w:p>
      <w:pPr>
        <w:spacing w:after="100"/>
      </w:pPr>
      <w:r>
        <w:t xml:space="preserve">{{texto:esg.riesgos}}</w:t>
      </w:r>
    </w:p>
    <w:p>
      <w:pPr>
        <w:pStyle w:val="Heading2"/>
      </w:pPr>
      <w:r>
        <w:t xml:space="preserve">Oportunidades</w:t>
      </w:r>
    </w:p>
    <w:p>
      <w:pPr>
        <w:spacing w:after="100"/>
      </w:pPr>
      <w:r>
        <w:t xml:space="preserve">{{texto:esg.oportunidades}}</w:t>
      </w:r>
    </w:p>
    <w:p>
      <w:pPr>
        <w:pStyle w:val="Heading2"/>
      </w:pPr>
      <w:r>
        <w:t xml:space="preserve">Marco regulatorio de sostenibilidad</w:t>
      </w:r>
    </w:p>
    <w:p>
      <w:pPr>
        <w:spacing w:after="100"/>
      </w:pPr>
      <w:r>
        <w:t xml:space="preserve">{{texto:esg.marco}}</w:t>
      </w:r>
    </w:p>
    <w:p>
      <w:pPr>
        <w:pStyle w:val="Heading1"/>
      </w:pPr>
      <w:r>
        <w:t xml:space="preserve">15. Riesgos del sector</w:t>
      </w:r>
    </w:p>
    <w:p>
      <w:pPr>
        <w:pStyle w:val="Confianza"/>
        <w:spacing w:after="100"/>
      </w:pPr>
      <w:r>
        <w:t xml:space="preserve">Confianza: {{riesgos.confianza}}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"/>
        <w:gridCol w:w="2409"/>
        <w:gridCol w:w="803"/>
        <w:gridCol w:w="803"/>
        <w:gridCol w:w="3212"/>
        <w:gridCol w:w="2010"/>
      </w:tblGrid>
      <w:tr>
        <w:trPr>
          <w:cantSplit/>
          <w:tblHeader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Prob.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Señal de alerta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{{riesgos.items[].riesgo}}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{{riesgos.items[].probabilidad}}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{{riesgos.items[].impacto}}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{{riesgos.items[].explicacion}}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{{riesgos.items[].senal}}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16. Oportunidades de inversión</w:t>
      </w:r>
    </w:p>
    <w:p>
      <w:pPr>
        <w:pStyle w:val="Confianza"/>
        <w:spacing w:after="100"/>
      </w:pPr>
      <w:r>
        <w:t xml:space="preserve">Confianza: {{oportunidades.confianza}}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"/>
        <w:gridCol w:w="2255"/>
        <w:gridCol w:w="1845"/>
        <w:gridCol w:w="1640"/>
        <w:gridCol w:w="3488"/>
      </w:tblGrid>
      <w:tr>
        <w:trPr>
          <w:cantSplit/>
          <w:tblHeader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Oportunidad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(eslabón / segmento)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Vehículo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Por qué ahora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{{oportunidades.items[].oportunidad}}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{{oportunidades.items[].donde}}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{{oportunidades.items[].vehiculo}}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{{oportunidades.items[].por_que}}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17. Indicadores a vigilar</w:t>
      </w:r>
    </w:p>
    <w:p>
      <w:pPr>
        <w:pStyle w:val="Confianza"/>
        <w:spacing w:after="100"/>
      </w:pPr>
      <w:r>
        <w:t xml:space="preserve">Confianza: {{indicadores.confianza}}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5"/>
        <w:gridCol w:w="1204"/>
        <w:gridCol w:w="1204"/>
        <w:gridCol w:w="3135"/>
      </w:tblGrid>
      <w:tr>
        <w:trPr>
          <w:cantSplit/>
          <w:tblHeader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Indicador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Último dato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Tendencia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Frecuencia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se publica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{{indicadores.items[].indicador}}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{{indicadores.items[].valor}}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{{indicadores.items[].tendencia}}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{{indicadores.items[].frecuencia}}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{{indicadores.items[].fuente}}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{{fuentes[].id}}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{{fuentes[].titulo}}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{{fuentes[].editor}}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{{fuentes[].fecha|fecha}}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{{fuentes[].url}}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{{_meta.cobertura|pct}}</w:t>
      </w:r>
      <w:r>
        <w:t xml:space="preserve"> · Secciones con menos del 60 % de campos cubiertos: </w:t>
      </w:r>
      <w:r>
        <w:rPr>
          <w:b/>
          <w:bCs/>
        </w:rPr>
        <w:t xml:space="preserve">{{_meta.secciones_flojas}}</w:t>
      </w:r>
      <w:r>
        <w:t xml:space="preserve"> · Generado el {{_meta.generado|fecha}}.</w:t>
      </w:r>
    </w:p>
    <w:p>
      <w:pPr>
        <w:pStyle w:val="Nota"/>
        <w:spacing w:after="100"/>
      </w:pPr>
      <w:r>
        <w:t xml:space="preserve">{{texto:meta.limitaciones}}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{{meta.fecha_corte|fecha}}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{{identificacion.nombre}} · {{identificacion.ambito}}</w:t>
    </w:r>
    <w:r>
      <w:rPr>
        <w:color w:val="8A8984"/>
        <w:sz w:val="16"/>
        <w:szCs w:val="16"/>
      </w:rPr>
      <w:t xml:space="preserve">	Análisis de industria o sector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industria o sector — plantilla</dc:title>
  <dc:creator>analisis-inversion</dc:creator>
  <cp:lastModifiedBy>Un-named</cp:lastModifiedBy>
  <cp:revision>1</cp:revision>
  <dcterms:created xsi:type="dcterms:W3CDTF">2026-10-14T10:04:17.228Z</dcterms:created>
  <dcterms:modified xsi:type="dcterms:W3CDTF">2026-10-14T10:04:17.228Z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