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Symrise AG</w:t>
      </w:r>
    </w:p>
    <w:p>
      <w:pPr>
        <w:spacing w:after="60"/>
        <w:rPr>
          <w:color w:val="52514E"/>
          <w:sz w:val="22"/>
          <w:szCs w:val="22"/>
        </w:rPr>
      </w:pPr>
      <w:r>
        <w:rPr>
          <w:color w:val="52514E"/>
          <w:sz w:val="22"/>
          <w:szCs w:val="22"/>
        </w:rPr>
        <w:t xml:space="preserve">SY1 · Xetra (Deutsche Börse) · ISIN DE000SYM9999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96,98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110,92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+15,7 % (base +20,3 %)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91,07 EUR · mercado 107,47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13.172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Symrise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SY1 / DE000SYM9999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(Deutsche Börse)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Química especializada (sabores, fragancias e ingredientes)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Holzminden (Alemania) · 2003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www.symrise.com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64,70 – 97,26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13.172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15.200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28,1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110,92 EUR</w:t>
      </w:r>
      <w:r>
        <w:t xml:space="preserve"> frente a 96,98 · Rentabilidad a 12 meses </w:t>
      </w:r>
      <w:r>
        <w:rPr>
          <w:b/>
          <w:bCs/>
        </w:rPr>
        <w:t xml:space="preserve">+15,7 % (base +20,3 %)</w:t>
      </w:r>
      <w:r>
        <w:t xml:space="preserve"> · Valor intrínseco 91,07 EUR · con la prima implícita del mercado: 107,47 (+10,8 %) · Alcista / bajista -2,4 % / -29,2 %</w:t>
      </w:r>
    </w:p>
    <w:p>
      <w:pPr>
        <w:spacing w:after="100"/>
      </w:pPr>
      <w:r>
        <w:rPr>
          <w:b/>
        </w:rPr>
        <w:t xml:space="preserve">La recomendación y por qué.</w:t>
      </w:r>
      <w:r>
        <w:t xml:space="preserve"> Mantener, con convicción baja. El objetivo a 12 meses es de 110,92 EUR: rentabilidad ponderada del 15,7 % y del 14,1 % en la media simple, 20,3 % en el base (dividendo del 1,3 % incluido), y asimetría de 1,85. No es Comprar porque el valor intrínseco, 91,07 EUR, queda un 6,1 % por debajo de los 96,98 EUR del cierre del 14-oct, y porque la regla de valor da Vender con nuestro WACC y Mantener con la prima del mercado. El objetivo medio de 16 analistas (101,30) queda dentro de nuestro rango. La convicción es baja porque la diferencia entre las dos reglas es de tasa de descuento; subiría si el orgánico del 3T (28-oct) pasa del 4,5 % o si la acción baja de 91,07 EUR.</w:t>
      </w:r>
    </w:p>
    <w:p>
      <w:pPr>
        <w:spacing w:after="100"/>
      </w:pPr>
      <w:r>
        <w:rPr>
          <w:b/>
        </w:rPr>
        <w:t xml:space="preserve">El negocio.</w:t>
      </w:r>
      <w:r>
        <w:t xml:space="preserve"> Symrise es el cuarto del mundo en sabores, fragancias e ingredientes (≈11 % del mercado AFF), con un foso estrecho: recetas dentro del producto del cliente y listas cerradas de proveedores. Pero rinde poco sobre el capital: ROIC del 9,1 % en 2024 y ≈10,8 % ajustado en 2025 frente a un WACC del 6,98 %, unos 2-4 puntos, por 1.811 M de fondo de comercio y compras que no rindieron (Swedencare, con 276 M de deterioros). </w:t>
      </w:r>
      <w:r>
        <w:rPr>
          <w:b/>
        </w:rPr>
        <w:t xml:space="preserve">Veredicto de calidad: No</w:t>
      </w:r>
      <w:r>
        <w:t xml:space="preserve"> (ROIC − WACC por debajo de 5 puntos). La sostenibilidad del crecimiento es «En parte»: la reinversión financia ≈3,3 % anual y proyectamos 3,8 %, apoyados en precio. </w:t>
      </w:r>
      <w:r>
        <w:rPr>
          <w:b/>
        </w:rPr>
        <w:t xml:space="preserve">Riesgo de que la IA se coma el negocio: bajo</w:t>
      </w:r>
      <w:r>
        <w:t xml:space="preserve">; las herramientas de formulación con IA favorecen a quien tiene las recetas y los datos sensoriales, y Symrise las usa desde 2018; el riesgo a vigilar es que las grandes de consumo internalicen la creación.</w:t>
      </w:r>
    </w:p>
    <w:p>
      <w:pPr>
        <w:spacing w:after="100"/>
      </w:pPr>
      <w:r>
        <w:rPr>
          <w:b/>
        </w:rPr>
        <w:t xml:space="preserve">Frente a Givaudan.</w:t>
      </w:r>
      <w:r>
        <w:t xml:space="preserve"> Givaudan cotiza a 28,5 veces el BPA del año próximo frente a 22,8 de Symrise; tiene ≈2 puntos más de margen EBITDA, un ROIC del 14,2 % y más crecimiento. Nuestro informe de Givaudan da Mantener con un 10,9 % y un valor intrínseco un 12,9 % bajo el precio. Symrise es más barata y su rentabilidad a 12 meses es mayor, pero el descuento del 20 % refleja la diferencia de calidad: ninguna de las dos pasa el filtro de compra.</w:t>
      </w:r>
    </w:p>
    <w:p>
      <w:pPr>
        <w:spacing w:after="100"/>
      </w:pPr>
      <w:r>
        <w:rPr>
          <w:b/>
        </w:rPr>
        <w:t xml:space="preserve">Finanzas.</w:t>
      </w:r>
      <w:r>
        <w:t xml:space="preserve"> Ventas de 4.929 M en 2025 (orgánico 2,8 %) y 2,0 % en el 1S26 con un 4,5 % en el 2T; margen ajustado del 21,9 % y caja libre de negocio del 15,8 %. Deuda neta con arrendamientos de 1.826 M (1,7 veces) y 2.279 M ajustada con pensiones. Ingresos y deuda comprobados a mano (no hay XBRL ESEF de Symrise): la deuda suma corto y largo plazo. Swedencare vale en libros ≈295 M y en bolsa ≈133 M: en el puente va a precio de mercado.</w:t>
      </w:r>
    </w:p>
    <w:p>
      <w:pPr>
        <w:spacing w:after="100"/>
      </w:pPr>
      <w:r>
        <w:rPr>
          <w:b/>
        </w:rPr>
        <w:t xml:space="preserve">Valoración.</w:t>
      </w:r>
      <w:r>
        <w:t xml:space="preserve"> El DCF da 87,31 EUR; el DCF inverso pide un 8,1 % de crecimiento anual frente a nuestro 4,3 %, o un margen del 24 %, el de Givaudan. Por PER los comparables dan 89,70-109,90. La v3 (selector: sin marcas) da un 15,7 % ponderado y la v2 de control un 12,6 % (base 9,6 %): la v3 sube el múltiplo un 10 % hacia una mediana de 28,6 veces de años con más crecimiento.</w:t>
      </w:r>
    </w:p>
    <w:p>
      <w:pPr>
        <w:spacing w:after="100"/>
      </w:pPr>
      <w:r>
        <w:rPr>
          <w:b/>
        </w:rPr>
        <w:t xml:space="preserve">Riesgos y catalizadores.</w:t>
      </w:r>
      <w:r>
        <w:t xml:space="preserve"> El principal es que el crecimiento no acelere hacia la meta de 2028 (5-7 %): sería el bajista, 74,89 EUR (−21,5 %). Swedencare publica el 21-oct y Symrise el 28-oct; la recompra termina el 31-oct. Los foros son positivos pero sin euforia y solo dudan del crecimiento.</w:t>
      </w:r>
    </w:p>
    <w:p>
      <w:pPr>
        <w:spacing w:after="100"/>
      </w:pPr>
      <w:r>
        <w:rPr>
          <w:b/>
        </w:rPr>
        <w:t xml:space="preserve">Qué cambiaría la decisión.</w:t>
      </w:r>
      <w:r>
        <w:t xml:space="preserve"> Compraríamos por debajo de 91,07 EUR (valor intrínseco), y venderíamos por encima de 124,63 EUR. Pasaríamos a Vender si el orgánico del 3T baja del 2 % o si la guía de 2027 renuncia a la meta de 2028.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110,92 EUR</w:t>
      </w:r>
      <w:r>
        <w:t xml:space="preserve"> (rentabilidad +15,7 % (base +20,3 %)) · Valor intrínseco: 91,07 EUR (-6,1 % sobre 96,98) · con la prima implícita del mercado: 107,47 (+10,8 %)</w:t>
      </w:r>
    </w:p>
    <w:p>
      <w:pPr>
        <w:spacing w:after="100"/>
      </w:pPr>
      <w:r>
        <w:t xml:space="preserve">Symrise es el cuarto proveedor mundial de sabores, fragancias e ingredientes, con 4.929 M EUR de ventas en 2025, un margen EBITDA ajustado del 21,9 % y una caja libre de negocio del 15,8 % [1, 7]. Su valor está en que sus recetas viven dentro de los productos de sus clientes: cambiar de proveedor obliga a reformular y probar, y por eso ha podido trasladar la inflación de 2022-2024 [1].</w:t>
      </w:r>
    </w:p>
    <w:p>
      <w:pPr>
        <w:spacing w:after="100"/>
      </w:pPr>
      <w:r>
        <w:t xml:space="preserve">A 96,98 EUR el mercado paga 22,8 veces el BPA de los próximos 12 meses, por debajo de su mediana histórica y un 20 % menos que Givaudan, pero el DCF inverso pide un 8,1 % de crecimiento anual o un margen del 24 %: descuenta que la empresa cumple su meta de 2028 [13, 19].</w:t>
      </w:r>
    </w:p>
    <w:p>
      <w:pPr>
        <w:spacing w:after="100"/>
      </w:pPr>
      <w:r>
        <w:t xml:space="preserve">El mercado acierta en lo esencial: Symrise es un negocio estable, pero de rendimiento sobre el capital modesto (ROIC de ≈10 % frente a un WACC del 7 %) y con un historial de incumplir la guía de ventas. Para invertir hay que creer que el 4,5 % orgánico del 2T26 es el nuevo ritmo y no un rebote; nosotros proyectamos un 4,8-5,0 %, algo menos que el consenso, y con eso el precio queda cerca del valor justo.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 × 4,07 = 74,89 · 25,6x × 4,51 = 115,46 · 28,6x × 4,82 = 137,85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 20,3 %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101,30 (nuestro base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 / -29,2 %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7,0 % y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91,07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91,07 y 124,63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124,63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91,07 EUR (valor intrínseco): Comprar si se mantiene la tesis.</w:t>
      </w:r>
    </w:p>
    <w:p>
      <w:pPr>
        <w:pStyle w:val="ListParagraph"/>
        <w:numPr>
          <w:ilvl w:val="0"/>
          <w:numId w:val="2"/>
        </w:numPr>
        <w:spacing w:after="60"/>
      </w:pPr>
      <w:r>
        <w:t xml:space="preserve">Precio por encima de 124,63 EUR: Vender.</w:t>
      </w:r>
    </w:p>
    <w:p>
      <w:pPr>
        <w:pStyle w:val="ListParagraph"/>
        <w:numPr>
          <w:ilvl w:val="0"/>
          <w:numId w:val="2"/>
        </w:numPr>
        <w:spacing w:after="60"/>
      </w:pPr>
      <w:r>
        <w:t xml:space="preserve">Crecimiento orgánico del 3T26 por debajo del 2 %: pasaríamos a Vender.</w:t>
      </w:r>
    </w:p>
    <w:p>
      <w:pPr>
        <w:pStyle w:val="ListParagraph"/>
        <w:numPr>
          <w:ilvl w:val="0"/>
          <w:numId w:val="2"/>
        </w:numPr>
        <w:spacing w:after="60"/>
      </w:pPr>
      <w:r>
        <w:t xml:space="preserve">Guía de 2027 con margen por debajo del 21,5 %: revisaríamos el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orgánico vuelve al 5-7 % de la meta de 2028 y que el margen sube hacia el 23 %: el DCF inverso pide un 8,1 % anual de ventas o un margen del 24 %. Tras un 43 % de subida en 2026, el mercado ha dejado de castigar las rebajas de guía de 2025.</w:t>
      </w:r>
    </w:p>
    <w:p>
      <w:pPr>
        <w:keepNext/>
        <w:spacing w:after="100"/>
      </w:pPr>
      <w:r>
        <w:rPr>
          <w:b/>
          <w:bCs/>
        </w:rPr>
        <w:t xml:space="preserve">Lo que creemos nosotros.</w:t>
      </w:r>
    </w:p>
    <w:p>
      <w:pPr>
        <w:spacing w:after="100"/>
      </w:pPr>
      <w:r>
        <w:t xml:space="preserve">Vemos un crecimiento del 4,8-5,0 % y un margen del 22,5 %: el BPA crece un 7 % anual y el valor intrínseco se queda en 91,07 EUR. La recompra y el rebote del 2T explican buena parte de la subida.</w:t>
      </w:r>
    </w:p>
    <w:p>
      <w:pPr>
        <w:keepNext/>
        <w:spacing w:after="100"/>
      </w:pPr>
      <w:r>
        <w:rPr>
          <w:b/>
          <w:bCs/>
        </w:rPr>
        <w:t xml:space="preserve">Por qué podemos tener razón.</w:t>
      </w:r>
    </w:p>
    <w:p>
      <w:pPr>
        <w:spacing w:after="100"/>
      </w:pPr>
      <w:r>
        <w:t xml:space="preserve">Symrise creció un 2,2 % anual en euros en 2023-2025 e incumplió su guía de ventas de 2025 dos veces; el ROIC no ha mejorado y Swedencare sigue cayendo. No vemos motivo para pagar más de lo que vale con nuestro coste de capital.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96,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Margen al alza</w:t>
      </w:r>
      <w:r>
        <w:t xml:space="preserve">: EBITDA ajustado del 19,1 % en 2023 al 21,9 % en 2025 [1, 11].</w:t>
      </w:r>
    </w:p>
    <w:p>
      <w:pPr>
        <w:pStyle w:val="ListParagraph"/>
        <w:numPr>
          <w:ilvl w:val="0"/>
          <w:numId w:val="2"/>
        </w:numPr>
        <w:spacing w:after="60"/>
      </w:pPr>
      <w:r>
        <w:rPr>
          <w:b/>
        </w:rPr>
        <w:t xml:space="preserve">Caja</w:t>
      </w:r>
      <w:r>
        <w:t xml:space="preserve">: caja libre de negocio ajustada del 15,8 % de las ventas en 2025 [7].</w:t>
      </w:r>
    </w:p>
    <w:p>
      <w:pPr>
        <w:pStyle w:val="ListParagraph"/>
        <w:numPr>
          <w:ilvl w:val="0"/>
          <w:numId w:val="2"/>
        </w:numPr>
        <w:spacing w:after="60"/>
      </w:pPr>
      <w:r>
        <w:rPr>
          <w:b/>
        </w:rPr>
        <w:t xml:space="preserve">Recompra</w:t>
      </w:r>
      <w:r>
        <w:t xml:space="preserve">: 400 M (≈3 % del capital) en 2026, con las acciones amortizadas [5].</w:t>
      </w:r>
    </w:p>
    <w:p>
      <w:pPr>
        <w:pStyle w:val="ListParagraph"/>
        <w:numPr>
          <w:ilvl w:val="0"/>
          <w:numId w:val="2"/>
        </w:numPr>
        <w:spacing w:after="60"/>
      </w:pPr>
      <w:r>
        <w:rPr>
          <w:b/>
        </w:rPr>
        <w:t xml:space="preserve">Aceleración</w:t>
      </w:r>
      <w:r>
        <w:t xml:space="preserve">: 4,5 % orgánico en el 2T26 tras el 2,8 % de 2025 [6].</w:t>
      </w:r>
    </w:p>
    <w:p>
      <w:pPr>
        <w:pStyle w:val="ListParagraph"/>
        <w:numPr>
          <w:ilvl w:val="0"/>
          <w:numId w:val="2"/>
        </w:numPr>
        <w:spacing w:after="60"/>
      </w:pPr>
      <w:r>
        <w:rPr>
          <w:b/>
        </w:rPr>
        <w:t xml:space="preserve">Descuento frente a Givaudan</w:t>
      </w:r>
      <w:r>
        <w:t xml:space="preserve">: 22,8 frente a 28,5 veces el BPA del año próximo [13].</w:t>
      </w:r>
    </w:p>
    <w:p>
      <w:pPr>
        <w:pStyle w:val="Heading2"/>
      </w:pPr>
      <w:r>
        <w:t xml:space="preserve">En contra</w:t>
      </w:r>
    </w:p>
    <w:p>
      <w:pPr>
        <w:pStyle w:val="ListParagraph"/>
        <w:numPr>
          <w:ilvl w:val="0"/>
          <w:numId w:val="2"/>
        </w:numPr>
        <w:spacing w:after="60"/>
      </w:pPr>
      <w:r>
        <w:rPr>
          <w:b/>
        </w:rPr>
        <w:t xml:space="preserve">ROIC bajo</w:t>
      </w:r>
      <w:r>
        <w:t xml:space="preserve">: ≈10 % frente a un WACC del 6,98 % [1].</w:t>
      </w:r>
    </w:p>
    <w:p>
      <w:pPr>
        <w:pStyle w:val="ListParagraph"/>
        <w:numPr>
          <w:ilvl w:val="0"/>
          <w:numId w:val="2"/>
        </w:numPr>
        <w:spacing w:after="60"/>
      </w:pPr>
      <w:r>
        <w:rPr>
          <w:b/>
        </w:rPr>
        <w:t xml:space="preserve">Guía incumplida</w:t>
      </w:r>
      <w:r>
        <w:t xml:space="preserve">: orgánico de 2025 del 2,8 % frente al 5-7 % inicial [1].</w:t>
      </w:r>
    </w:p>
    <w:p>
      <w:pPr>
        <w:pStyle w:val="ListParagraph"/>
        <w:numPr>
          <w:ilvl w:val="0"/>
          <w:numId w:val="2"/>
        </w:numPr>
        <w:spacing w:after="60"/>
      </w:pPr>
      <w:r>
        <w:rPr>
          <w:b/>
        </w:rPr>
        <w:t xml:space="preserve">Swedencare</w:t>
      </w:r>
      <w:r>
        <w:t xml:space="preserve">: 276 M deteriorados y ≈160 M más de diferencia con el mercado [1, 24].</w:t>
      </w:r>
    </w:p>
    <w:p>
      <w:pPr>
        <w:pStyle w:val="ListParagraph"/>
        <w:numPr>
          <w:ilvl w:val="0"/>
          <w:numId w:val="2"/>
        </w:numPr>
        <w:spacing w:after="60"/>
      </w:pPr>
      <w:r>
        <w:rPr>
          <w:b/>
        </w:rPr>
        <w:t xml:space="preserve">Precio exigente</w:t>
      </w:r>
      <w:r>
        <w:t xml:space="preserve">: el DCF inverso pide un 8,1 % de crecimiento anual.</w:t>
      </w:r>
    </w:p>
    <w:p>
      <w:pPr>
        <w:pStyle w:val="ListParagraph"/>
        <w:numPr>
          <w:ilvl w:val="0"/>
          <w:numId w:val="2"/>
        </w:numPr>
        <w:spacing w:after="60"/>
      </w:pPr>
      <w:r>
        <w:rPr>
          <w:b/>
        </w:rPr>
        <w:t xml:space="preserve">Fin del soporte</w:t>
      </w:r>
      <w:r>
        <w:t xml:space="preserve">: la recompra termina el 31-oct-2026 [17].</w:t>
      </w:r>
    </w:p>
    <w:p>
      <w:pPr>
        <w:pStyle w:val="Heading2"/>
      </w:pPr>
      <w:r>
        <w:t xml:space="preserve">Qué tiene que pasar para que la tesis funcione</w:t>
      </w:r>
    </w:p>
    <w:p>
      <w:pPr>
        <w:spacing w:after="100"/>
      </w:pPr>
      <w:r>
        <w:t xml:space="preserve">La tesis depende de que el crecimiento orgánico se quede cerca del 4,5 % del 2T26. La señal de que no se cumple sería un 3T26 por debajo del 3 % o una guía de 2027 por debajo del 4 %. En paralelo, el 3T de Swedencare (21-oct) dirá si llega un tercer deterioro.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meta de 2028 es creíble.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bajo de la guía.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de negocio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&gt; 14 %.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de Swedencare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 SEK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SEK</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deterioro.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de crecimiento con Givaudan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 3T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proyectos.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54,8x / 22,8x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Symrise nació en 2003 de la fusión de Haarmann &amp; Reimer (fundada en 1874, de Bayer) y Dragoco (1919), ambas de Holzminden, bajo control del fondo EQT; salió a bolsa en 2006 y entró en el DAX en 2021 [1]. Creció con compras: Diana (2014, naturales y alimentación animal, 1.300 M), Pinova (2016, terpenos), ADF/IDF (2019, ingredientes de pollo para alimentación animal), Probi y una participación en Swedencare (2021-2022) [1, 15]. Desde 2024, con Jean-Yves Parisot como consejero delegado, la estrategia ONE Symrise reorganiza el grupo en dos segmentos, vende negocios de poco margen (piensos de acuicultura en Ecuador, terpenos) y busca eficiencia con el programa ONE SYM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Haarmann &amp; Reimer y Dragoco bajo EQT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Diana: naturales y palatabilidad para alimentación animal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Pinova (terpenos, EE. UU.)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DAX; compra de participaciones en Swedencare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Swedencare pasa a asociada (≈41 %); primer deterioro de 126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Jean-Yves Parisot, consejero delegado; estrategia ONE Symrise y dos segmentos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deterioro de Swedencare (150 M) y terpenos en venta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recompra de acciones (hasta 400 M) y compra anunciada de Floral Concept [5].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Symrise vende ingredientes que dan sabor, olor o función a productos de consumo: sabores para alimentos y bebidas (salados, dulces, bebidas, naturales), ingredientes para alimentación de mascotas (palatabilidad y nutrición), probióticos, fragancias para perfumería fina y para detergentes y cosmética, ingredientes cosméticos (filtros solares, activos, conservantes) y moléculas aromáticas como el mentol [1]. Sus clientes son fabricantes de alimentación, bebidas, cosmética, perfumes, higiene y comida para mascotas, desde multinacionales hasta empresas regionales. Tiene más de 100 centros; Holzminden (Alemania) es la mayor planta, con más de 3.000 empleados, y produce en Francia, España, Brasil, México, Singapur, China, India, Japón y EE. UU. [1].</w:t>
      </w:r>
    </w:p>
    <w:p>
      <w:pPr>
        <w:pStyle w:val="Heading2"/>
      </w:pPr>
      <w:r>
        <w:t xml:space="preserve">Cómo gana dinero</w:t>
      </w:r>
    </w:p>
    <w:p>
      <w:pPr>
        <w:spacing w:after="100"/>
      </w:pPr>
      <w:r>
        <w:t xml:space="preserve">Cobra por kilo de ingrediente o de composición diseñada para un producto concreto del cliente. La receta queda dentro del producto final y el cliente rara vez la cambia durante su vida comercial: los ingresos son recurrentes de hecho, aunque no contractuales. El coste de un sabor o de una fragancia es una parte pequeña del coste del producto final y Symrise traslada la inflación de materias primas con meses de retraso [1]. El margen depende de la mezcla (perfumería fina y naturales, más altos; alimentación animal y moléculas aromáticas, más bajos), del precio de materias primas vegetales y petroquímicas y de la utilización de las plantas. Estacionalidad baja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Taste, Nutrition &amp; 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Scent &amp;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Taste, Nutrition &amp; 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Scent &amp;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Symrise no publica concentración de clientes; el sector trabaja con listas cerradas de proveedores («core lists») de las grandes de consumo, lo que da estabilidad a quien está dentro y barreras a quien no [1]. El poder de precios se vio en 2022-2024: trasladó la inflación de materias primas y el margen EBITDA ajustado volvió del 19,1 % de 2023 al 21,9 % de 2025 [1]. Pierde poder de precios en negocios más genéricos: en moléculas aromáticas sufrió en 2025 la competencia china en precio y volumen, y en Pet Nutrition los precios se normalizan a la baja en 2026 [1,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2,0 % (2T: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 en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2-4 %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21,9 %; 1S26: 21,8 %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21,5-22,5 %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de negocio ajustada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15,8 %; 1S26: 13,7 %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más del 14 %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arrendamientos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1,8x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pensiones, 2,2x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dic-25: 12.745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jun-26: 12.936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sabores y fragancias, moléculas aromáticas e ingredientes cosméticos (AFF), que Symrise cifra con IAL Consultants en ≈46,8 mil M EUR en 2025, más probióticos (6,5 mil M) e ingredientes para alimentación animal (3,2 mil M): ≈56,5 mil M EUR [1]. Usamos ese perímetro porque es el que da la cuota de la empresa (≈9 %). La comparación con Givaudan se hace en el mercado AFF tradicional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 mil M EUR en 2025 (mercado relevante de Symrise; AFF tradicional ≈46,8 mil M)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alimentos procesados y bebidas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creció un 6,6 % orgánico en 2025 y Asia/Pacífico un 3,2 %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Naturales y etiqueta limpia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Naturales y salados crecieron a un dígito alto en el 2T26; compra de Floral Concept para llevarlo a perfumería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Desestocaje y volúmenes de las grandes de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2025 bajó del 5-7 % al 2,3-3,3 % orgánico por demanda débil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moléculas aromáticas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 y volumen en Aroma Molecules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(dólar y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3,9 puntos a las ventas de 2025 y 2,4 en el 1S26 [1,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el 52 % del mercado AFF compiten por proyectos de las mismas multinacionales; la rivalidad es por servicio e innovación más que por precio, salvo en moléculas aromáticas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grandes con listas cerradas de proveedores, pero el ingrediente pesa poco en su coste y cambiarlo exige reformular y volver a probar con consumidores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vegetales y petroquímicas diversificadas; Symrise integra parte (mentol, terpenos, cebollas, vainilla de Madagascar)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bibliotecas de recetas, la regulación de seguridad alimentaria y cosmética y el acceso a las listas de proveedores frenan a los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alternativas al sabor o la fragancia diseñados; el riesgo está en la formulación interna de algunos clientes y en herramientas de IA (sección de riesgos) [1].</w:t>
            </w:r>
          </w:p>
        </w:tc>
      </w:tr>
    </w:tbl>
    <w:p>
      <w:pPr>
        <w:spacing w:after="160" w:before="0"/>
      </w:pPr>
    </w:p>
    <w:p>
      <w:pPr>
        <w:pStyle w:val="Heading2"/>
      </w:pPr>
      <w:r>
        <w:t xml:space="preserve">Ciclo</w:t>
      </w:r>
    </w:p>
    <w:p>
      <w:pPr>
        <w:spacing w:after="100"/>
      </w:pPr>
      <w:r>
        <w:t xml:space="preserve">Tras el desestocaje de 2023 y la demanda débil de 2025, el crecimiento orgánico de Symrise volvió al 4,5 % en el 2T26 y Givaudan acaba de publicar unas ventas de nueve meses que subieron su cotización un 6,5-7 % el 13-oct [5, 12]. El sector aguantó 2008-09 y 2020 con caídas pequeñas de ventas (bienes de consumo básico), y en 2022 sufrió por la inflación de costes, que trasladó con retraso. Indicadores: crecimiento orgánico trimestral de los cuatro grandes y volúmenes de las multinacionales de consumo.</w:t>
      </w:r>
    </w:p>
    <w:p>
      <w:pPr>
        <w:pStyle w:val="Heading2"/>
      </w:pPr>
      <w:r>
        <w:t xml:space="preserve">Regulación</w:t>
      </w:r>
    </w:p>
    <w:p>
      <w:pPr>
        <w:spacing w:after="100"/>
      </w:pPr>
      <w:r>
        <w:t xml:space="preserve">Regulación de aditivos y aromas (Reglamento CE 1334/2008 en la UE, FDA/GRAS en EE. UU.), de cosméticos (CE 1223/2009, con restricciones a filtros UV y alérgenos) y REACH para sustancias químicas [1]. Investigaciones de competencia desde marzo de 2023 a los cuatro grandes (Comisión Europea, WEKO, DOJ, SAMR, CCI, CMA): el DOJ suspendió la de Symrise el 5-feb-2026, la CMA en mayo de 2025, la CCI en julio de 2026 y la WEKO propuso suspenderla; siguen contra IFF, Givaudan y DSM-Firmenich [5]. Aranceles estadounidenses de 2025-2026 señalados como riesgo por la empresa [1].</w:t>
      </w:r>
    </w:p>
    <w:p>
      <w:pPr>
        <w:pStyle w:val="Heading2"/>
      </w:pPr>
      <w:r>
        <w:t xml:space="preserve">Tendencias y disrupción</w:t>
      </w:r>
    </w:p>
    <w:p>
      <w:pPr>
        <w:spacing w:after="100"/>
      </w:pPr>
      <w:r>
        <w:t xml:space="preserve">Naturales, reducción de azúcar y sal, proteínas alternativas, cuidado de mascotas y biotecnología (fermentación) desplazan la demanda hacia soluciones más complejas, donde los grandes ganan [1]. La inteligencia artificial se usa en la creación de fragancias y sabores (Symrise lo hace desde 2018 con herramientas propias) y acorta los ciclos de desarrollo; es más una herramienta de los grandes, que tienen los datos de recetas y de pruebas sensoriales, que una puerta para nuevos competidores. Los competidores asiáticos ganan cuota en moléculas aromáticas genéricas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del mercado relevante de 56,5 mil M EUR (4.929 M de ventas); 4.º mundial en el mercado AFF tradicional (≈11 %), tras Givaudan (17 %), DSM-Firmenich (15 %) e IFF (9 % en Taste y Scent) según la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Givaudan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más margen (EBITDA ≈24 %) y más peso en perfumería fina y sabores; ROIC ≈14 % [1,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DSFIR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Firmenich (perfumería y sabores) más ingredientes de nutrición; vendiendo la nutrición animal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IFF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endeudado tras la compra de N&amp;B de DuPont; vendiendo negocios no esenciales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Sabor y nutrición para alimentación; compite en salados y bebidas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CRDA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Ingredientes cosméticos y de fragancias (Iberchem); compite con Cosmetic Ingredients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Sensient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Colores y sabores; más pequeño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negocio de proveedor industrial.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receta va dentro del producto del cliente; cambiarla exige reformular y volver a probar; el margen se recuperó 2,8 puntos en dos años tras la inflación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Bibliotecas de recetas y moléculas, ≈180 solicitudes de patente en cosmética en diez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materias primas (mentol, naturales de Diana), pero sin ventaja en moléculas frente a China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grandes con el 52 % del mercado y listas cerradas de proveedores [1].</w:t>
            </w:r>
          </w:p>
        </w:tc>
      </w:tr>
    </w:tbl>
    <w:p>
      <w:pPr>
        <w:spacing w:after="160" w:before="0"/>
      </w:pPr>
    </w:p>
    <w:p>
      <w:pPr>
        <w:pStyle w:val="Heading2"/>
      </w:pPr>
      <w:r>
        <w:t xml:space="preserve">Amenazas</w:t>
      </w:r>
    </w:p>
    <w:p>
      <w:pPr>
        <w:spacing w:after="100"/>
      </w:pPr>
      <w:r>
        <w:t xml:space="preserve">Tres amenazas. La primera, que el crecimiento siga por debajo del de Givaudan (Symrise creció un 2,8 % orgánico en 2025 y Givaudan más), señal de que pierde proyectos [1, 12]. La segunda, la competencia china en moléculas aromáticas y en ingredientes cosméticos genéricos, que ya presiona precios [1]. La tercera, a más largo plazo, que las grandes de consumo internalicen parte de la formulación con herramientas de IA; la probabilidad es baja en cinco años porque el valor está en las recetas probadas, la regulación y el suministro.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spacing w:after="100"/>
      </w:pPr>
      <w:r>
        <w:t xml:space="preserve">Crecimiento anual compuesto 2021-2025: ingresos </w:t>
      </w:r>
      <w:r>
        <w:rPr>
          <w:b/>
          <w:bCs/>
        </w:rPr>
        <w:t xml:space="preserve">6,5 %</w:t>
      </w:r>
      <w:r>
        <w:t xml:space="preserve">, EBITDA </w:t>
      </w:r>
      <w:r>
        <w:rPr>
          <w:b/>
          <w:bCs/>
        </w:rPr>
        <w:t xml:space="preserve">7,4 %</w:t>
      </w:r>
      <w:r>
        <w:t xml:space="preserve">, BPA </w:t>
      </w:r>
      <w:r>
        <w:rPr>
          <w:b/>
          <w:bCs/>
        </w:rPr>
        <w:t xml:space="preserve">-9,9 %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3.826 M EUR en 2021 a 4.929 M en 2025 (TCAC del 6,5 %), pero casi todo el salto llegó en 2022 (+20,7 %, con compras y divisa); desde entonces crecen un 2,2 % anual en euros [1, 2, 3, 4]. El crecimiento orgánico fue del 2,8 % en 2025, frente a una guía inicial del 5-7 % [1], y del 2,0 % en el 1S26 (4,5 % en el 2T) con una divisa que resta 2,4 puntos [5]. El margen EBITDA ajustado subió del 19,1 % de 2023 al 20,7 % en 2024 y al 21,9 % en 2025 por precio, mejor uso de materias primas y el programa de eficiencia ONE SYM [1, 7, 11]; en el 1S26 fue del 21,8 % [5]. El beneficio publicado de 2022 y de 2025 está deprimido por dos deterioros de la participación en Swedencare (126 M y 150 M, dentro del EBIT por estar en puesta en equivalencia) y, en 2025, por un deterioro de 149 M del negocio de terpenos en venta, registrado en amortizaciones [1, 4].</w:t>
      </w:r>
    </w:p>
    <w:p>
      <w:pPr>
        <w:pStyle w:val="Heading2"/>
      </w:pPr>
      <w:r>
        <w:t xml:space="preserve">Ajustes y partidas no recurrentes</w:t>
      </w:r>
    </w:p>
    <w:p>
      <w:pPr>
        <w:spacing w:after="100"/>
      </w:pPr>
      <w:r>
        <w:t xml:space="preserve">Symrise publica EBITDA, EBIT y BPA ajustados por efectos únicos. 2022: deterioro de Swedencare de 126,1 M (EBITDA ajustado 921,5 M) [4]. 2023: 52 M de efectos únicos (EBITDA ajustado 903,5 M frente a 851,7 M publicado) [11]. 2024: sin ajustes relevantes (EBITDA 1.033 M). 2025: deterioro de Swedencare de 150,0 M, deterioro de 149,0 M del grupo enajenable de terpenos y ≈18 M de reestructuración, competencia y transformación; BPA ajustado 3,67 EUR frente a 1,78 publicado [1, 7]. 1S26: ≈9 M de costes de ONE SYM y competencia [5]. Los costes de transformación se repiten desde 2024: no los tratamos como extraordinarios en la proyección.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(resultados 2025) la dirección presentó una guía de 2026 prudente, crecimiento orgánico del 2-4 % y margen EBITDA ajustado del 21,5-22,5 %, tras rebajar dos veces la de 2025 (del 5-7 % al 2,3-3,3 %) [1, 8]. El 1T26 fue flojo (crecimiento orgánico negativo en Scent &amp; Care por la base alta de perfumería fina y los filtros UV) [10]. En julio el mensaje cambió de tono: el 2T creció un 4,5 % orgánico, con alimentación y bebidas en tasas de un dígito medio, fragancia de consumo y moléculas aromáticas en un dígito alto, Norteamérica y Asia en recuperación; se confirmó la guía y la meta de 2028 (5-7 % orgánico, margen del 21-23 %), y se anunció la compra de Floral Concept (naturales para perfumería, Grasse) [5, 6, 9]. Los analistas preguntaron por la distancia entre el 2-4 % de este año y el 5-7 % de 2028, por la alimentación animal (precios a la baja en Pet Nutrition) y por los fletes del mar Rojo y Ormuz; la dirección no cuantificó cuánto del ahorro de ONE SYM se reinvierte ni dio cifras de Floral Concept [6,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Swedencare pasa a asociada (puesta en equivalencia) y compra de Probi y de negocios de alimentación animal; 760 M en adquisiciones y participaciones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se refinanció en 2025 (bono de noviembre de 2025 amortizado y nuevas emisiones por 809 M) [1]: por eso la deuda a corto bajó de 861 M en 2024 a 400 M en 2025 y a 37 M en junio de 2026, con la caja usada para pagar ese corto y la recompra [5]. La deuda neta con arrendamientos bajó de 1.836 M (2024) a 1.620 M (2025) y subió a 1.826 M en junio por el dividendo (172 M) y la recompra [5, 7]. El circulante comercial es alto para el sector: 32-35 % de las ventas, con existencias de 1.069-1.129 M; las existencias cayeron 214 M en 2025 tras el exceso de 2022 [1,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1.725</w:t>
      </w:r>
      <w:r>
        <w:t xml:space="preserve">, conversión </w:t>
      </w:r>
      <w:r>
        <w:rPr>
          <w:b/>
          <w:bCs/>
        </w:rPr>
        <w:t xml:space="preserve">100 %</w:t>
      </w:r>
      <w:r>
        <w:t xml:space="preserve"> del beneficio neto; adquisiciones 1.640, dividendos 769, recompras 0.</w:t>
      </w:r>
    </w:p>
    <w:p>
      <w:pPr>
        <w:spacing w:after="100"/>
      </w:pPr>
      <w:r>
        <w:t xml:space="preserve">El flujo operativo fue de 772 M EUR en 2025 (895 M en 2024) y de 297 M en el 1S26, 116 M más que un año antes por menos impuestos pagados [1, 5]. La conversión mejoró desde 2022, cuando el aumento de existencias (−308 M) hundió el flujo a 360 M [4]. El capex en efectivo bajó del 5,7 % de las ventas en 2023 al 4,3 % en 2025 [1, 2]; Symrise no separa mantenimiento y crecimiento; estimación propia: el mantenimiento se acerca a la amortización sin intangibles comprados (≈4 % de las ventas). Los intereses se pagan en financiación (58 M en 2025) [1]. La caja libre de negocio ajustada (antes de impuestos e intereses) fue del 15,8 % de las ventas en 2025 y del 13,7 % en el 1S26 [5,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Wirtschaftsprüfungsgesellschaft</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se preparan bajo NIIF-UE con la cuenta por función [1]. Tres señales a vigilar. Primera, dos deterioros de Swedencare (126 M en 2022 y 150 M en 2025) muestran que el precio pagado en 2021-2022 no se ha recuperado; el test de junio de 2026 usó un coste de capital del 8,45 % y concluyó que el valor en uso (≈295 M) se sostiene [5], pero la cotización de Swedencare ha caído un 40 % desde diciembre y el valor de mercado de la participación ronda hoy 133 M. Segunda, los costes de transformación (ONE SYM) se ajustan cada año desde 2024: el EBITDA ajustado sobreestima el recurrente en ≈0,2-0,4 puntos de margen. Tercera, el deterioro de terpenos (149 M) se registró en amortizaciones, de modo que el EBITDA publicado de 2025 no lo recoge y el EBIT sí [1, 7]. Los pagos en acciones son menores (planes en efectivo virtual).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un tercer deterioro de Swedencare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contable ≈295 M EUR frente a ≈133 M a precio de mercado (22,85 SEK); la diferencia equivale a ≈1,2 EUR por acción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transformación ajustados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M en el 1S26 y ≈18 M en 2025: recurrentes en la práctica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 activos en venta dentro de amortizaciones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149 M de terpenos en 2025: el EBITDA publicado (912,6 M) no lo refleja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-1,3 % · </w:t>
      </w:r>
      <w:r>
        <w:rPr>
          <w:b/>
          <w:bCs/>
        </w:rPr>
        <w:t xml:space="preserve">WACC</w:t>
      </w:r>
      <w:r>
        <w:t xml:space="preserve">: 7,0 %.</w:t>
      </w:r>
    </w:p>
    <w:p>
      <w:pPr>
        <w:spacing w:after="100"/>
      </w:pPr>
      <w:r>
        <w:t xml:space="preserve">Symrise apenas crea valor: el ROIC del motor fue del 9,1 % en 2024 y del 7,1 % en 2025 (este último con el deterioro de terpenos dentro del EBIT), frente a un WACC del 6,98 %. Con el EBIT ajustado de 2025 (782 M) el ROIC sería ≈10,8 % (estimación propia), unos 4 puntos sobre el WACC. El problema es la rotación, 0,6 veces: 1.811 M de fondo de comercio y ≈1.600 M de circulante (127 días de existencias) pesan sobre unas ventas de 4.929 M [1]. El ROIC incremental de 2021-2025 es negativo porque el capital invertido creció con Swedencare, Probi y la alimentación animal mientras el beneficio ajustado subía poco [1, 4]. Givaudan, con un margen EBITDA de ≈24 %, saca un ROIC del 14,2 % con el mismo modelo [12]: la diferencia de calidad entre los dos es de margen y de capital pagado en compras.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451 M EUR a 30-jun-2026 tras amortizar 306 M netos de deuda a corto y recomprar acciones por 192 M; deuda financiera bruta de 2.096 M, casi toda a largo plazo (2.059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citado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477 M EUR a 30-jun-2026 (468 M a cierre de 2025), sobre todo planes alemanes de prestación definida [5]. Los arrendamientos suman 181 M [5]. La deuda neta publicada incluye la deuda financiera a corto y a largo plazo y los arrendamientos (1.826 M en junio); con pensiones, 2.303 M, 2,2 veces el EBITDA ajustado [5]. No hay pagos aplazados de adquisiciones relevantes. Contingencias: investigaciones de competencia desde 2023 (Comisión Europea, WEKO, DOJ, SAMR, CCI, CMA) sobre los cuatro grandes del sector; el DOJ, la CMA, la WEKO y la CCI han suspendido o propuesto suspender la de Symrise, y ninguna autoridad ha formulado cargos [5].</w:t>
      </w:r>
    </w:p>
    <w:p>
      <w:pPr>
        <w:pStyle w:val="Heading1"/>
      </w:pPr>
      <w:r>
        <w:t xml:space="preserve">12. Asignación de capital</w:t>
      </w:r>
    </w:p>
    <w:p>
      <w:pPr>
        <w:pStyle w:val="Confianza"/>
        <w:spacing w:after="100"/>
      </w:pPr>
      <w:r>
        <w:t xml:space="preserve">Confianza: Media</w:t>
      </w:r>
    </w:p>
    <w:p>
      <w:pPr>
        <w:spacing w:after="100"/>
      </w:pPr>
      <w:r>
        <w:t xml:space="preserve">Dividendo creciente: 1,25 EUR por 2025 (1,20 en 2024), la decimosexta subida seguida, ≈35-40 % del beneficio ajustado [1]. En 2026 la primera recompra, de hasta 400 M EUR (≈3 % del capital), entre febrero y octubre: 2,59 M de acciones por 192 M hasta junio y 3,95 M acumuladas el 11-sep [5, 17]. Prioridades declaradas: crecimiento orgánico, compras pequeñas que encajen (Floral Concept) y deuda neta con pensiones de 2,0-2,5 veces el EBITDA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Diana (naturales y alimentación animal)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ampliación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segmento de nutrición; Parisot venía de ahí.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ADF/IDF (ingredientes de pollo,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Pet Food; precios a la baja en 2026.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Swedencare (≈41 %, asociada)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deterioros de 126 M (2022) y 150 M (2025); valor de mercado ≈133 M frente a ≈295 M en libros.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Probi (hasta el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comprados en 2025 por 97 M; crecimiento de probióticos menguante en 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Floral Concept (naturales para perfumería, Grasse)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vinculante en julio de 2026; importe no publicado.</w:t>
            </w:r>
          </w:p>
        </w:tc>
      </w:tr>
    </w:tbl>
    <w:p>
      <w:pPr>
        <w:spacing w:after="160" w:before="0"/>
      </w:pPr>
    </w:p>
    <w:p>
      <w:pPr>
        <w:spacing w:after="100"/>
      </w:pPr>
      <w:r>
        <w:t xml:space="preserve">La dirección asignó mal el capital en 2021-2022: 1.370 M en compras y participaciones en dos años (Swedencare, Probi y alimentación animal) que hoy rinden por debajo del coste de capital y han exigido 276 M de deterioros [15]. Desde 2024 el giro es claro: menos compras, venta de negocios de poco margen (acuicultura, terpenos) y la primera recompra. El dividendo crece despacio y la recompra se hace a 74-90 EUR, por debajo del precio de hoy.</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Jean-Yves Parisot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2016 (venía de Diana, donde dirigía nutrición animal); consejero delegado desde abril de 2024. Con él, el margen EBITDA ajustado subió del 20,7 % al 21,9 % y llegó la primera recompra, pero el crecimiento orgánico de 2025 (2,8 %) quedó lejos de la guía inicial del 5-7 % [1,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Olaf Klinger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enero de 2016; responsable del objetivo de eficiencias de 40 M en 2025 y de la refinanciación de 2025 [1,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Coßmann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personas y relaciones laborales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febrero de 2023; compró acciones en marzo de 2026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Ribeiro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septiembre de 2024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 Friede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Incorporado en diciembre de 2025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König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el consejo de supervisión; compró 1.324 acciones a 73,04 EUR el 4-mar-2026 [15,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5-7 % (rebajado a 3-5 % en julio y a 2,3-3,3 % en octubre)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≈21 % (elevado a ≈21,5 %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21,9 %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negocio ≈14 % de las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 ajustado (12,4 % publicado)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con pensiones / EBITDA 2,0-2,5x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1,9x ajustado (2,3x publicado)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2-4 %, margen 21,5-22,5 %, caja libre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2,0 %, 21,8 %, 13,7 %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en finanzas (Klinger desde 2016) y renovado en negocio (tres incorporaciones desde 2023) [15]. La credibilidad en ventas está tocada: la guía orgánica de 2025 se rebajó dos veces y la meta de 2028 (5-7 % anual) exige casi duplicar el ritmo de 2025-2026 [1]. En márgenes y caja la dirección cumple.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König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Feist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Zijderveld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Bernd Hirsch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Pfeifer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Jeannette Chiarlitti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Kirchhoff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Jakob 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 Püttcher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0,13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accionista de control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3.948.518 acciones a 11-sep-2026, para amortizar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König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Stephanie Coßmann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2,03 M EUR en 2025: 0,98 M fijos, 0,79 M de bonus anual y 0,27 M del plan a largo plazo 2022-2025 [15]. El bonus combina objetivos financieros (crecimiento orgánico, margen EBITDA y caja libre) con un 10 % de seguridad laboral y un 10 % de objetivos ESG individuales [15]. El plan a largo plazo (cuatro años) se reparte 40 % BPA ajustado por divisa, 40 % rentabilidad total para el accionista frente a un grupo de comparables y 20 % ESG: premia beneficio y retorno, no solo crecimiento [15]. Se propuso añadir un periodo de bloqueo de acciones para el comité ejecutivo [15].</w:t>
      </w:r>
    </w:p>
    <w:p>
      <w:pPr>
        <w:pStyle w:val="Heading2"/>
      </w:pPr>
      <w:r>
        <w:t xml:space="preserve">Operaciones vinculadas, estructura de control y defensas</w:t>
      </w:r>
    </w:p>
    <w:p>
      <w:pPr>
        <w:spacing w:after="100"/>
      </w:pPr>
      <w:r>
        <w:t xml:space="preserve">Sociedad anónima alemana con estructura dual: comité ejecutivo y consejo de supervisión de diez miembros, cinco elegidos por los accionistas y cinco por los trabajadores (codeterminación) [15]. Una acción, un voto; sin accionista de control (≈95 % de flotante) ni blindajes estatutarios [1]. La recompra de 2026 (hasta 400 M, 2-feb a 31-oct) es la primera de la historia y las acciones se amortizarán [5]. Sin operaciones vinculadas relevantes; el consejero delegado se sienta en los consejos de Swedencare y Probi, filiales o asociadas del grupo [15].</w:t>
      </w:r>
    </w:p>
    <w:p>
      <w:pPr>
        <w:pStyle w:val="Heading2"/>
      </w:pPr>
      <w:r>
        <w:t xml:space="preserve">Señales de alerta</w:t>
      </w:r>
    </w:p>
    <w:p>
      <w:pPr>
        <w:pStyle w:val="ListParagraph"/>
        <w:numPr>
          <w:ilvl w:val="0"/>
          <w:numId w:val="2"/>
        </w:numPr>
        <w:spacing w:after="60"/>
      </w:pPr>
      <w:r>
        <w:t xml:space="preserve">Ninguna relevante en el gobierno tras revisar el informe de remuneraciones y el de gobierno; las investigaciones de competencia están en la sección de riesgos.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presentada el 4-mar y confirmada el 30-jul: crecimiento orgánico del 2-4 %, margen EBITDA ajustado del 21,5-22,5 % y caja libre de negocio por encima del 14 % de las ventas [5]. Metas de 2028 confirmadas: crecimiento orgánico del 5-7 % anual, margen EBITDA del 21-23 % y caja libre de más del 14 %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MarketScreener da un consenso medio de «sobreponderar» con un objetivo de 101,30 EUR, un 4,5 % sobre el precio [19]. El BPA de 2026 (3,84 EUR) es ajustado: excluye los costes de transformación. Yahoo Finance da 3,96 para 2026 y 4,39 para 2027 [13]. No hay serie de revisiones gratuita; tras el 1S26 la guía se confirmó y las estimaciones de ventas de 2026 (5.029 M) ya incorporan el efecto de la divisa. Solo hay una fuente con estimaciones completas: el objetivo y el BPA se contrastan con Yahoo.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perdió un 47 % entre noviembre de 2021 y diciembre de 2025 (de 130 a 67 EUR) por la normalización de los múltiplos de tipos cero, los deterioros de Swedencare y dos rebajas de guía en 2025, y se quedó muy por detrás del DAX (−2,2 % anual en cinco años frente a +9,7 %) [18]. En 2026 sube un 43,2 % (DAX +2,7 %): recompra de 400 M, margen al alza, el 4,5 % orgánico del 2T y, en la última semana, la subida de Givaudan tras sus ventas de nueve meses (13-oct) [6, 12, 17]. Cierra el 14-oct en 96,98 EUR, en su máximo de 52 semanas. Beta mensual de 5 años de 0,49 frente al DAX (0,66-0,73 ajustada) [18].</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Sobre el BPA ajustado del año siguiente, Symrise cotizó a 37,4 veces a finales de 2022, 29,1 en 2023, 28,0 en 2024 y 18,4 a finales de 2025 (sobre nuestro BPA de 2026), cuando la acción tocó 67 EUR tras rebajar dos veces la guía [1, 18]. Hoy, a 23,3 veces nuestro BPA de 2027, está por debajo de su mediana de cuatro años (28,6 veces) pero un 27 % por encima del mínimo de 2025. Lo estructural: los tipos ya no son los de 2020-2021 (excluidos por la burbuja de tipos cero, 40-45 veces) y el crecimiento de 2023-2025 (2-3 % en euros) es la mitad del de la década anterior; por eso no esperamos volver a la mediana en un año y la regla solo recorre un 10 % del camino.</w:t>
      </w:r>
    </w:p>
    <w:p>
      <w:pPr>
        <w:pStyle w:val="Heading1"/>
      </w:pPr>
      <w:r>
        <w:t xml:space="preserve">18. Comparables cotizados</w:t>
      </w:r>
    </w:p>
    <w:p>
      <w:pPr>
        <w:pStyle w:val="Confianza"/>
        <w:spacing w:after="100"/>
      </w:pPr>
      <w:r>
        <w:t xml:space="preserve">Confianza: Media</w:t>
      </w:r>
    </w:p>
    <w:p>
      <w:pPr>
        <w:spacing w:after="100"/>
      </w:pPr>
      <w:r>
        <w:t xml:space="preserve">Los cuatro grandes de sabores y fragancias que publican cuentas (Givaudan, DSM-Firmenich, IFF) más los especialistas en ingredientes con los que compite Symrise por segmento: Kerry (sabor y nutrición), Croda (ingredientes cosméticos y fragancias), Sensient (colores y sabores) y Novonesis (biotecnología e ingredientes funcionales). Todas las cifras de Yahoo Finance del 14-oct-2026; capitalización convertida a euros con el BCE [13, 20]. El PER es el del próximo ejercicio (2027 en las de año natural), la misma base que el de Symrise.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Givaudan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Sensient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Novonesis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20,5x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 / 25,0x / 25,9x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Symrise cotiza a 22,8 veces el BPA de los próximos 12 meses, por debajo de la mediana de sus comparables (25,0 veces) y de Givaudan (28,5 veces), DSM-Firmenich (25,2) y Novonesis (25,0), y por encima de IFF (22,3), Croda (19,9) y Kerry (16,2) [13]. Frente a Givaudan el descuento es del 20 %, y lo justifica la diferencia de calidad: Givaudan tiene un margen EBITDA de ≈24 % frente al 21,9 % ajustado de Symrise, un ROIC del 14 % frente a ≈10 % y un crecimiento orgánico más alto [12]. Por PER, los comparables dan 89,70-109,90 EUR; por EV/EBITDA de los últimos 12 meses, 111,76-164,32, pero ese rango está inflado por el EBITDA deprimido de varios comparables (DSM-Firmenich, Croda) y lo usamos con cautela. El múltiplo razonable es el PER: entre IFF y Givaudan.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+1,0 % en euros: el 1S26 cayó un 0,6 % con un 2,0 % orgánico y −2,4 puntos de divisa, y la guía es del 2-4 % orgánico [5]. Desde 2027 proyectamos un 4,8-5,0 % (orgánico ≈4,5 % más Floral Concept), por debajo de la meta de 2028 (5-7 %) y del 5 % del consenso para 2027-2028 [19], porque en 2023-2025 Symrise creció un 2,2 % anual en euros y la meta de 2025 se incumplió [1]. Bajamos al 3,0 % en 2032e, cerca del mercado (≈3 %) [1].</w:t>
      </w:r>
    </w:p>
    <w:p>
      <w:pPr>
        <w:keepNext/>
        <w:spacing w:after="100"/>
      </w:pPr>
      <w:r>
        <w:rPr>
          <w:b/>
          <w:bCs/>
        </w:rPr>
        <w:t xml:space="preserve">Márgenes.</w:t>
      </w:r>
    </w:p>
    <w:p>
      <w:pPr>
        <w:spacing w:after="100"/>
      </w:pPr>
      <w:r>
        <w:t xml:space="preserve">Margen EBITDA sin participadas del 21,6 % en 2026e (guía ajustada del 21,5-22,5 %, menos ≈0,4 puntos de costes de transformación que la empresa ajusta y nosotros no) [5], subiendo al 22,5 % en 2029e por mezcla (naturales, salida de acuicultura y terpenos) y ahorro. Es el centro de la meta de 2028 (21-23 %) y queda ≈1,5 puntos por debajo de Givaudan [12].</w:t>
      </w:r>
    </w:p>
    <w:p>
      <w:pPr>
        <w:keepNext/>
        <w:spacing w:after="100"/>
      </w:pPr>
      <w:r>
        <w:rPr>
          <w:b/>
          <w:bCs/>
        </w:rPr>
        <w:t xml:space="preserve">Inversión y circulante.</w:t>
      </w:r>
    </w:p>
    <w:p>
      <w:pPr>
        <w:spacing w:after="100"/>
      </w:pPr>
      <w:r>
        <w:t xml:space="preserve">Amortización del 6,0 % al 5,5 % de las ventas (6,0 % ajustado en 2025, con ≈2 puntos de intangibles comprados que no se reponen) y capex del 5,0 % al 5,6 % con las altas de derechos de uso (4,3-5,7 % en caja en 2023-2025) [1, 2]. Circulante del 33 % de las ventas, el de 2025 (32,5 %) y junio de 2026 (35 %) [5].</w:t>
      </w:r>
    </w:p>
    <w:p>
      <w:pPr>
        <w:keepNext/>
        <w:spacing w:after="100"/>
      </w:pPr>
      <w:r>
        <w:rPr>
          <w:b/>
          <w:bCs/>
        </w:rPr>
        <w:t xml:space="preserve">Coste del capital.</w:t>
      </w:r>
    </w:p>
    <w:p>
      <w:pPr>
        <w:spacing w:after="100"/>
      </w:pPr>
      <w:r>
        <w:t xml:space="preserve">Tasa libre del Bund a 10 años, 3,51 % el 14-oct [21]; beta de 0,75, entre la mensual de cinco años frente al DAX (0,49) y la semanal ajustada (0,73) [18], coherente con un negocio de consumo básico; prima de mercado del 5,5 %; coste de la deuda del 3,5 % antes de impuestos (bonos refinanciados en 2025) [1]; 13 % de deuda a valor de mercado. WACC del 6,98 %.</w:t>
      </w:r>
    </w:p>
    <w:p>
      <w:pPr>
        <w:keepNext/>
        <w:spacing w:after="100"/>
      </w:pPr>
      <w:r>
        <w:rPr>
          <w:b/>
          <w:bCs/>
        </w:rPr>
        <w:t xml:space="preserve">Valor terminal.</w:t>
      </w:r>
    </w:p>
    <w:p>
      <w:pPr>
        <w:spacing w:after="100"/>
      </w:pPr>
      <w:r>
        <w:t xml:space="preserve">Gordon con un 2,25 % en euros: inflación del 2 % y algo de crecimiento real, por debajo de la tasa libre menos medio punto (3,0 %). Implica ≈19 veces el NOPAT terminal; el múltiplo de salida de 15 veces EBITDA queda en la parte baja de los comparables (mediana LTM 20,5 veces) [13].</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(hoy: 8,7 %)</w:t>
            </w:r>
          </w:p>
        </w:tc>
      </w:tr>
    </w:tbl>
    <w:p>
      <w:pPr>
        <w:spacing w:after="160" w:before="0"/>
      </w:pPr>
    </w:p>
    <w:p>
      <w:pPr>
        <w:spacing w:after="100"/>
      </w:pPr>
      <w:r>
        <w:t xml:space="preserve">La proyección apenas necesita inversión neta de la amortización (reinversión acumulada de 380 M, el 8 % del NOPAT, con un capex bruto medio del 5,4 % de las ventas). En un negocio de activos ligeros, el crecimiento medio del 3,8 % tiene que salir de subir precios y de ganar volumen sin capital nuevo, y la prueba es el poder de precios y la cuota (8,9 % del mercado en 2032e, frente al 8,7 %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orgánica del 2-4 % (≈1,5 de volumen y ≈1,5 de precio) y −2 puntos de divisa y salida de acuicultura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(alimentación y bebidas, fragancia de consumo) y precio del 1,5 %; Floral Concept suma algo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con algo de mezcla; por debajo del 5-7 % de la meta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si se consolida la recuperación de Norteamérica y Asia.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el mercado (≈3 %) más precio.</w:t>
            </w:r>
          </w:p>
        </w:tc>
      </w:tr>
    </w:tbl>
    <w:p>
      <w:pPr>
        <w:spacing w:after="160" w:before="0"/>
      </w:pPr>
    </w:p>
    <w:p>
      <w:pPr>
        <w:spacing w:after="100"/>
      </w:pPr>
      <w:r>
        <w:t xml:space="preserve">La reinversión de la proyección es baja (8 % del NOPAT según el motor) porque la amortización lleva ≈2 puntos de ventas de intangibles comprados que no se reponen; hecha a mano, la reinversión real (capex menos amortización sin intangibles comprados, más el 33 % de circulante sobre las ventas nuevas) ronda el 30 % del NOPAT, que al ROIC ajustado de ≈10,8 % financia un crecimiento de ≈3,3 % anual. Proyectamos un 3,8 % medio: algo por encima, apoyado en precio (1,5 puntos al año, demostrado en 2022-2025) más que en volumen. La cuota baja del 8,7 % al 8,9 % del mercado relevante: no exigimos ganar cuota. El foso es estrecho y el crecimiento orgánico de los últimos tres años (2-3 %) está por debajo del proyectado; por eso «En parte». Ninguna prueba falla por más de medio punto, así que no rebajamos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7,0 %)</w:t>
            </w:r>
          </w:p>
        </w:tc>
      </w:tr>
    </w:tbl>
    <w:p>
      <w:pPr>
        <w:spacing w:after="160" w:before="0"/>
      </w:pPr>
    </w:p>
    <w:p>
      <w:pPr>
        <w:spacing w:after="100"/>
      </w:pPr>
      <w:r>
        <w:t xml:space="preserve">El DCF da 87,31 EUR por acción, un 10,0 % por debajo del precio, con un WACC del 6,98 %. El DCF inverso dice que a 96,98 EUR el mercado descuenta un crecimiento del 8,1 % anual en 2027-2032 (frente al 4,3 % de nuestro base en esos años) o un margen EBITDA del 24 % en vez del 22,5 %: la rentabilidad implícita es del 6,6 %, ligeramente por debajo de nuestro WACC. Es exigente pero no absurdo: un 24 % es el margen de Givaudan [12] y un 8 % de crecimiento es el de la meta de 2028 más precio y compras. Con la prima implícita del mercado (4,20 %) el DCF sube a 109,71 EUR: la acción solo parece barata si se acepta un coste de capital del mercado con beta 0,75. Conclusión: el precio ya descuenta que Symrise cumple su plan de 2028.</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orgánico se queda en el 2-3 % como en 2025, la alimentación animal y las moléculas aromáticas siguen bajando precios y el margen se estanca en el 21 %. Ya pasó en 2023 (margen ajustado del 19,1 %) y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estabiliza cerca del 4,5 % del 2T26, el margen sube al 22,5 % con la mezcla y ONE SYM, y la recompra reduce un 3,5 % las acciones.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vuelve al 6 % de crecimiento con naturales en perfumería (Floral Concept) y la recuperación de Norteamérica, y el margen se acerca al 23 % de la meta alta de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96,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84,50 EUR (-12,9 %).</w:t>
      </w:r>
    </w:p>
    <w:p>
      <w:pPr>
        <w:spacing w:after="100"/>
      </w:pPr>
      <w:r>
        <w:t xml:space="preserve">En el DCF la asimetría es desfavorable: el bajista vale 68,69 EUR (−29,2 %) y el alcista 94,67 (−2,4 %), por debajo del precio. A 12 meses, con la regla de múltiplos, el bajista da 74,89 (−21,5 %) y el alcista 137,85 (+43,4 %), asimetría de 1,85. La diferencia está en el múltiplo: la regla supone que el mercado sigue pagando ≈25 veces el beneficio de 2028; el DCF, con nuestro WACC, no lo justifica.</w:t>
      </w:r>
    </w:p>
    <w:p>
      <w:pPr>
        <w:pStyle w:val="Heading1"/>
      </w:pPr>
      <w:r>
        <w:t xml:space="preserve">22. Suma de partes</w:t>
      </w:r>
    </w:p>
    <w:p>
      <w:pPr>
        <w:pStyle w:val="Confianza"/>
        <w:spacing w:after="100"/>
      </w:pPr>
      <w:r>
        <w:t xml:space="preserve">Confianza: Media</w:t>
      </w:r>
    </w:p>
    <w:p>
      <w:pPr>
        <w:spacing w:after="100"/>
      </w:pPr>
      <w:r>
        <w:t xml:space="preserve">No aplica: los dos segmentos comparten clientes, centros de creación y compras, tienen márgenes parecidos (23,8 % y 18,9 % de EBITDA ajustado en 2025) y no hay comparables puros de cada uno que aporten más que la tabla de comparables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96,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91,07 EUR (-6,1 % sobre 96,98).</w:t>
      </w:r>
    </w:p>
    <w:p>
      <w:pPr>
        <w:spacing w:after="100"/>
      </w:pPr>
      <w:r>
        <w:t xml:space="preserve">El DCF pesa un 40 % y los escenarios un 35 % porque el negocio es estable y el valor depende de cuánto crezca y del margen; los comparables un 25 %, con el PER como múltiplo útil (el EV/EBITDA LTM está distorsionado por comparables con EBITDA deprimido). No hay transacciones con múltiplo publicado ni accionista de control que haga probable una opa. El valor objetivo es de 91,07 EUR, un 6,1 % por debajo del precio; el rango va de 68,69 (bajista) a 164,32 (EV/EBITDA alto de comparables). Con la prima implícita del mercado sube a 107,47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(23.3x) × 1.1 (tope: la mediana de 5 años, 28.6x,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+43,4 %</w:t>
            </w:r>
          </w:p>
        </w:tc>
      </w:tr>
    </w:tbl>
    <w:p>
      <w:pPr>
        <w:spacing w:after="160" w:before="0"/>
      </w:pPr>
    </w:p>
    <w:p>
      <w:pPr>
        <w:spacing w:after="100"/>
      </w:pPr>
      <w:r>
        <w:rPr>
          <w:b/>
          <w:bCs/>
        </w:rPr>
        <w:t xml:space="preserve">Objetivo a 12 meses (ponderado):</w:t>
      </w:r>
      <w:r>
        <w:t xml:space="preserve"> 110,92 EUR · rentabilidad +15,7 % (base +20,3 %) · señal Mantener.</w:t>
      </w:r>
    </w:p>
    <w:p>
      <w:pPr>
        <w:spacing w:after="100"/>
      </w:pPr>
      <w:r>
        <w:t xml:space="preserve">Para comparar, con la regla v2 (historia al cierre, mismo precio): 18,8x / 23,3x / 30,1x, 12,6 % Mantener; con el tope anterior del base (×1,3, 14-oct mediodía): 16,1 %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(4,16 EUR) está un 4,6 % por debajo del consenso (4,36) y el de 2028 (4,51) un 2,6 % por debajo (4,63) [19]: crecemos algo menos (4,8-5,0 % frente a ≈5 %) y no excluimos los costes de transformación. El objetivo base a 12 meses (115,46) queda un 14 % por encima del objetivo medio de 16 analistas (101,30): la diferencia es de múltiplo (25,6 veces frente a ≈22 implícitas), porque la regla sube el PER hacia su historia. No acercamos la cifra.</w:t>
      </w:r>
    </w:p>
    <w:p>
      <w:pPr>
        <w:keepNext/>
        <w:spacing w:after="100"/>
      </w:pPr>
      <w:r>
        <w:rPr>
          <w:b/>
          <w:bCs/>
        </w:rPr>
        <w:t xml:space="preserve">Del valor intrínseco al objetivo a 12 meses.</w:t>
      </w:r>
    </w:p>
    <w:p>
      <w:pPr>
        <w:spacing w:after="100"/>
      </w:pPr>
      <w:r>
        <w:t xml:space="preserve">El objetivo a 12 meses (110,92 EUR) queda un 22 % por encima del valor intrínseco (91,07): la regla supone que el mercado paga en 2027 algo más que hoy por un beneficio que crece un 8 % anual, mientras el DCF con nuestro WACC no llega al precio actual. El BPA base crece un 7,1 % anual desde el ajustado de 2025 (3,67), no desde el publicado (1,78), que lleva 299 M de deterioros. Para cerrar la distancia haría falta un crecimiento orgánico sostenido del 5 % o más y un margen del 23 %.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que el orgánico se mantiene cerca del 4,5 % del 2T y la guía del 2-4 %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Swedencare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trimestre flojo acerca un tercer deterioro de la participación (≈1,2 EUR por acción de diferencia con el mercado)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400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Desaparece el comprador de ≈140.000 acciones por semana; posible nueva recompra con el dividendo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ONE SYM; la meta de 2028 (5-7 %) pide acelerar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terpenos y compra de Floral Concept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Limpia la cartera hacia más margen; importes no publicados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las investigaciones de competencia (Comisión Europea y SAMR)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Suspensión para Symrise como en EE. UU., Reino Unido e India, o multa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crecimiento orgánico no acelera hacia el 5-7 % de 2028 y se queda en el 2-3 %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(bajista a 12 meses, 74,89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creció un 4,5 %; alimentación y bebidas en un dígito medio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3T y 4T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deterioro de Swedencare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(≈160 M, 1,2 EUR por acción; ya restado en el puente a precio de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test de junio usó un coste de capital del 8,45 % y el valor en uso aguantó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Swedencare por debajo de 22 SEK tras su 3T (21-oct) o rebaja de sus objetivos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proyectos frente a Givaudan y DSM-Firmenich en perfumería fina y sabores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Fragancia de consumo y naturales crecen a un dígito alto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crecimiento orgánico frente a Givaudan mayor de 3 puntos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y precios en moléculas aromáticas y en alimentación animal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negocios de poco margen (acuicultura, terpenos)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Scent &amp; Care por debajo del 17 %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 la IA se coma parte del negocio: clientes que formulan sabores y fragancias con IA y reducen el papel del proveedor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múltiplo bajara a 20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está en recetas probadas, ingredientes propios, regulación y suministro; Symrise usa IA en su propia creación desde 2018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de consumo que anuncien creación interna con IA o pérdida de listas de proveedores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en las investigaciones de competencia que siguen abiertas (Comisión Europea, SAMR)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Reino Unido e India la suspendieron para Symrise; sin cargos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Comisión Europea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fletes (dólar, emergentes, mar Rojo y Ormuz)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las cuatro regiones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divisa peor de −3 puntos en las ventas</w:t>
            </w:r>
          </w:p>
        </w:tc>
      </w:tr>
    </w:tbl>
    <w:p>
      <w:pPr>
        <w:spacing w:after="160" w:before="0"/>
      </w:pPr>
    </w:p>
    <w:p>
      <w:pPr>
        <w:pStyle w:val="Heading2"/>
      </w:pPr>
      <w:r>
        <w:t xml:space="preserve">Pre-mortem</w:t>
      </w:r>
    </w:p>
    <w:p>
      <w:pPr>
        <w:spacing w:after="100"/>
      </w:pPr>
      <w:r>
        <w:t xml:space="preserve">Es octubre de 2029 y la acción ha perdido un 40 %. La historia más probable: la aceleración del 2T26 fue un rebote de base, no un cambio de ritmo. En 2027 el crecimiento orgánico volvió al 2-3 % mientras Givaudan crecía al 5-6 %, porque Symrise perdió proyectos en perfumería fina y no compensó con naturales; la alimentación animal siguió bajando precios y las moléculas aromáticas sufrieron la competencia china. La dirección mantuvo la meta de 2028 hasta el último momento y la rebajó en marzo de 2028, igual que hizo con la guía de 2025. El margen se quedó en el 21 % porque el ahorro de ONE SYM se reinvirtió. Swedencare obligó a un tercer deterioro y el mercado volvió a castigar la asignación de capital. Con el BPA estancado en ≈4 EUR, el múltiplo bajó del 23 al 18 veces de los mínimos de 2025: 72 EUR. El indicador que lo habría anticipado es el crecimiento orgánico trimestral frente al de Givaudan, que ya en 2025 fue menor, y la distancia entre la guía inicial y la real.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el abastecimiento de materias primas naturales (vainilla de Madagascar, cebollas, cítricos) con riesgo de clima y de derechos humanos, que la empresa audita con SEDEX/SMETA y que forma parte del bonus del consejero delegado [1]. Segundo, la seguridad de producto y la regulación de filtros UV y alérgenos, que ya resta ventas en Care &amp; Wellness [5]. Tercero, las emisiones de sus plantas químicas (Holzminden, mentol), con objetivos de reducción y créditos de energía renovable [1].</w:t>
      </w:r>
    </w:p>
    <w:p>
      <w:pPr>
        <w:pStyle w:val="Heading2"/>
      </w:pPr>
      <w:r>
        <w:t xml:space="preserve">Controversias</w:t>
      </w:r>
    </w:p>
    <w:p>
      <w:pPr>
        <w:spacing w:after="100"/>
      </w:pPr>
      <w:r>
        <w:t xml:space="preserve">Investigaciones de competencia abiertas desde marzo de 2023 a los cuatro grandes del sector; para Symrise el DOJ, la CMA y la CCI las han suspendido y la WEKO propuso hacerlo; no hay cargos [5]. Sin otras sanciones relevantes en tres años en los documentos leídos.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4,5 % orgánico del 2T26 es base de comparación y cuál es demanda nueva, y qué ritmo hace falta en 2027 para llegar al 5-7 % anual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meta de 2028 es la diferencia entre nuestro base y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Swedencare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supuestos de margen y crecimiento sostiene el test de junio un valor de ≈295 M cuando el mercado da ≈133 M, y se plantea vender la participación?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tercer deterioro dañaría la credibilidad en asignación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ONE SYM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ahorro bruto genera ONE SYM y cuánto se reinvierte? ¿Cuándo dejan de ajustarse sus 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ajustado excluye ≈20 M al año de costes que se repiten.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otra recompra en 2027 y con qué límite de deuda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sostiene el BPA y la acción; termina el 31-oct.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y múltiplo se pagan por Floral Concept y cuánto se cobra por terpenos?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no publicados; miden la disciplina tras Swedencare.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Alimentación animal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bajarán los precios de Pet Nutrition en 2026-2027 y cómo afecta al margen de Taste, Nutrition &amp; Health?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negocio con caída orgánica en el 2T26.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«estable, algo cara, pero siempre muy rentable»; un participante vendió cerca de 96 EUR recogiendo beneficios y se comentan la venta de terpenos a Mutares y compras de consejeros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 SYIEY)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último análisis con debate («buenas mejoras, pero el crecimiento no está claro») resume la duda principal: margen al alza y crecimiento orgánico por debajo de la meta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y stock3 (prensa de inversión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se habla de «cohete bursátil» y de la recompra como soporte; las compras de directivos a 73 EUR en marzo se leen como señal de confianza [16, 27,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LYNX (análisis técnico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ha roto al alza el canal bajista de 2021-2025; los comentarios fijan soportes en la zona de 86-87 EUR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compras de directivos como soporte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acotado: la recompra suma ≈3,5 % del capital y termina el 31-oct; después el soporte desaparece [16,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pero de calidad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23 veces nuestro BPA de 2027 cotiza por debajo de su mediana adelantada (≈29 veces) y con descuento frente a Givaudan (28,5 veces) [25,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frente a la meta de 2028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2,8 % en 2025 y 2,0 % en el 1S26 frente al 5-7 % que promete la empresa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Recuperación tras la caída de 2021-2025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sube un 43 % en 2026 tras perder un 47 % desde el máximo; el beneficio ajustado apenas ha crecido en el mismo tiempo [28, 29].</w:t>
            </w:r>
          </w:p>
        </w:tc>
      </w:tr>
    </w:tbl>
    <w:p>
      <w:pPr>
        <w:spacing w:after="160" w:before="0"/>
      </w:pPr>
    </w:p>
    <w:p>
      <w:pPr>
        <w:spacing w:after="100"/>
      </w:pPr>
      <w:r>
        <w:t xml:space="preserve">Los foros acompañan la subida sin euforia y con poco debate: se valoran la recompra, las compras de directivos y la rentabilidad, y la única duda repetida es el crecimiento, la misma que la nuestra [16, 25, 26, 27]. No señalan riesgos nuevos; nadie habla de Swedencare ni de la IA. El tono coincide con el consenso de analistas (objetivo medio 101,30 EUR, un 4,5 % sobre el precio) [19].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29 (15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36,3 %: explica la causa (créditos fiscales, regularizaciones, mezcla de países) y no lo proyectes en el DCF. Explicación: El 36,3 % publicado de 2025 sube por los deterioros de Swedencare (150 M) y de terpenos (149 M), que no deducen; el ajustado fue del 25,7 % y el del 1S26 del 25,8 %. Proyectamos el 25,5 %.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8,9 % en 2032e frente al 8,7 %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32,5 % real: genera una variación de circulante de 40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(4,51) supone un 36,3 % anual desde 1,78 (2025): explícalo en valoracion.objetivo_12m.comentario o la confianza es baja. Explicación: El BPA publicado de 2025 (1,78) lleva 299 M de deterioros; desde el ajustado (3,67) el BPA base de 2028e (4,51) supone un 7,1 % anual, por debajo del consenso (4,63).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25 del Corporate Report 2025 (texto partido en columnas, sin calendario legible); 2) informe del 1S26 (no lo trae); 3) presentación a analistas (solo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ESEF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cuentas.mjs --esef "Symrise" (ninguna entidad); 2) LEI 529900D82I6R9601CF26 de GLEIF en filings.xbrl.org (404); 3) web de inversores (solo PDF)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tomadas de los PDF auditados; deuda e ingresos comprobados a mano (corto + largo plazo)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Corporate Report 2025 (menciona CDP sin nota legible); 2) web de sostenibilidad (no abierta por tiempo); 3) prensa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Corporate Report 2025 (no trae resultados de la junta); 2) web de la junta (no abierta);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 &gt; 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Corporate Report 2025 (solo flotante ≈95 %); 2) notificaciones de derechos de voto (no localizadas); 3) prensa (sin lista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adquisiciones del Corporate Report 2025 (sin múltiplos); 2) informe de Givaudan del repositorio (no tiene transacciones); 3) prensa (múltiplos de IFF-Frutarom, DSM-Firmenich o Novozymes-Chr. Hansen sin documento original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Bundesanzeiger (no abierto); 2) Yahoo (no la da para Xetra);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Report 2025 (informe de gestión, estados consolidados y notas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https://www.symrise.com/investors/financial-results/?doc=corporate-report-2025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2024 (Konzernabschluss, cuentas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https://symrise.com/corporatereport/2024/home/Symrise_GB24_Konzernabschluss_EN_geschuetzt.pdf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2023 (cuentas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https://www.symrise.com/corporatereport/2023/downloads/SYM_consolidatedfinancialstatements_2023_EN.pdf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2022 (cuentas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https://www.symrise.com/corporatereport/2022/downloads/SYM_consolidatedfinancialstatements_2022_EN.pdf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Group Report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https://www.symrise.com/investors/financial-results/?doc=interim-h1-2026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H1 2026: Symrise reports solid H1 2026 performance with accelerating growth momentum in Q2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https://www.symrise.com/investors/financial-results/?doc=press-h1-2026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Information FY 2025 (cifras publicadas y ajustadas, segmentos,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https://www.symrise.com/investors/financial-results/?doc=financial-information-fy-2025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Financial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https://www.symrise.com/investors/financial-results/?doc=press-fy-2025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presentation H1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https://www.symrise.com/investors/financial-results/?doc=analyst-h1-2026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press release (trading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EQS-News: Symrise AG again raises sales significantly in 2023 (EBITDA ajustado 903,5 M; efectos únicos 52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Börse München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https://boerse-muenchen.de/news/EQS214729/EQS-News_-Symrise-AG-again-raises-sales-significantly-in-2023-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Givaudan del repositorio (14-oct-2026): cuentas, márgenes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informes/givaudan-2026-10-14/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cotización, valor empresa, EBITDA y estimaciones de Givaudan, DSM-Firmenich, IFF, Kerry, Croda, Sensient y Novonesis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Swedencare AB half-year report April-June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Swedencare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https://www.swedencare.com/en/press/swedencare-ab-publ-half-year-report-april-1st-june-30th-2026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 y Corporate Report 2025: historia y estructura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https://www.symrise.com/investors/financial-results/?doc=remuneration-report-2025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Aktie: Insider greifen zu (compras de M. König y S. Coßmann,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https://www.boerse-express.com/news/articles/symrise-aktie-insider-greifen-zu-874795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31st Interim Report, Acquisition of Own Shares (acumulado 3.948.518 acciones a 11-sep-2026)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https://live.deutsche-boerse.com/news/EQS-CMS-Symrise-AG-Release-of-a-capital-market-information-481faeca-83bc-48d7-88ca-c6f65a0ccf1b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SY1.DE, EXS1.DE (DAX) y EXV7.DE (químicas europeas)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https://finance.yahoo.com/quote/SY1.DE/history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 finanzas y consenso (16 analistas, objetivo medio 101,30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https://uk.marketscreener.com/quote/stock/SYMRISE-AG-534094/finances/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(3,51 % el 14-oct-2026),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Quarterly Statement Q3 2026,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https://www.symrise.com/investors/financial-calendar-and-presentations/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Swedencare (SECARE.ST) y EUR/SEK, 30-dic-2025 y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https://finance.yahoo.com/quote/SECARE.ST/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 keiner eine Meinung? (hilo del foro,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https://www.wallstreet-online.de/diskussion/1151240-1/symrise-keiner-eine-meinung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feed de SYIEY (transcripciones y artículos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https://seekingalpha.com/api/sa/combined/SYIEY.xml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Aktie: Rückkauf läuft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https://www.boerse-express.com/news/articles/symrise-aktie-rueckkauf-laeuft-869305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Jetzt kann die Kursrakete durchstarten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https://stock3.com/news/symrise-jetzt-kann-die-kursrakete-durchstarten-17214674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técnico de Symrise (canal de tendencia)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https://www.lynxbroker.de/analysen/aktuelle-analysen/symrise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84,3 %</w:t>
      </w:r>
      <w:r>
        <w:t xml:space="preserve"> · Secciones con menos del 60 % de campos cubiertos: </w:t>
      </w:r>
      <w:r>
        <w:rPr>
          <w:b/>
          <w:bCs/>
        </w:rPr>
        <w:t xml:space="preserve">transacciones, consenso</w:t>
      </w:r>
      <w:r>
        <w:t xml:space="preserve"> · Generado el 14 oct 2026.</w:t>
      </w:r>
    </w:p>
    <w:p>
      <w:pPr>
        <w:pStyle w:val="Nota"/>
        <w:spacing w:after="100"/>
      </w:pPr>
      <w:r>
        <w:t xml:space="preserve">Symrise no figura en el repositorio ESEF de filings.xbrl.org (su LEI 529900D82I6R9601CF26 devuelve 404), así que las cuentas de 2021-2025 se toman de los estados consolidados auditados en PDF (2022, 2023, 2024 y el Corporate Report 2025) y del informe intermedio del 1S26. Ingresos y deuda se han comprobado a mano: los ingresos son los consolidados del grupo (los dos segmentos suman el total) y la deuda financiera suma la parte a corto y a largo plazo de «Borrowings» (37 + 2.059 M en junio de 2026), con los arrendamientos aparte (36 + 145 M). El BPA de la historia del PER es el ajustado sin deterioros (2022: 2,91; 2023: 2,72, estimación propia con los 52 M de efectos únicos al 25 % de impuestos; 2025: 3,67), porque el publicado lleva los deterioros de Swedencare y de terpenos. Las acciones son las de después de la recompra a 11-sep-2026 (135,82 M); la caja del puente se rebaja en 119 M por lo pagado desde junio (estimación: 1,36 M de acciones a ≈88 EUR). Comparables de Yahoo Finance convertidos con el BCE del 14-oct. Sin transacciones con múltiplo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Symrise AG (SY1)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96,98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(64,70 – 97,26)</c:v>
                </c:pt>
                <c:pt idx="1">
                  <c:v>Comparables: PER NTM (89,70 – 109,90)</c:v>
                </c:pt>
                <c:pt idx="2">
                  <c:v>DCF (WACC y g ± 0,5) (71,25 – 111,91)</c:v>
                </c:pt>
                <c:pt idx="3">
                  <c:v>Escenarios (bajista – alcista) (68,69 – 94,67)</c:v>
                </c:pt>
                <c:pt idx="4">
                  <c:v>DCF con la prima implícita del mercado (4,2 %)</c:v>
                </c:pt>
                <c:pt idx="5">
                  <c:v>Precio actual (96,98)</c:v>
                </c:pt>
              </c:strCache>
            </c:strRef>
          </c:cat>
          <c:val>
            <c:numRef>
              <c:f>Hoja1!$B$2:$B$7</c:f>
              <c:numCache>
                <c:formatCode>#,##0</c:formatCode>
                <c:ptCount val="6"/>
                <c:pt idx="0">
                  <c:v>64.7</c:v>
                </c:pt>
                <c:pt idx="1">
                  <c:v>89.7</c:v>
                </c:pt>
                <c:pt idx="2">
                  <c:v>71.25</c:v>
                </c:pt>
                <c:pt idx="3">
                  <c:v>68.69</c:v>
                </c:pt>
                <c:pt idx="4">
                  <c:v>95.45</c:v>
                </c:pt>
                <c:pt idx="5">
                  <c:v>96.5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(64,70 – 97,26)</c:v>
                </c:pt>
                <c:pt idx="1">
                  <c:v>Comparables: PER NTM (89,70 – 109,90)</c:v>
                </c:pt>
                <c:pt idx="2">
                  <c:v>DCF (WACC y g ± 0,5) (71,25 – 111,91)</c:v>
                </c:pt>
                <c:pt idx="3">
                  <c:v>Escenarios (bajista – alcista) (68,69 – 94,67)</c:v>
                </c:pt>
                <c:pt idx="4">
                  <c:v>DCF con la prima implícita del mercado (4,2 %)</c:v>
                </c:pt>
                <c:pt idx="5">
                  <c:v>Precio actual (96,98)</c:v>
                </c:pt>
              </c:strCache>
            </c:strRef>
          </c:cat>
          <c:val>
            <c:numRef>
              <c:f>Hoja1!$C$2:$C$7</c:f>
              <c:numCache>
                <c:formatCode>#,##0</c:formatCode>
                <c:ptCount val="6"/>
                <c:pt idx="0">
                  <c:v>32.56</c:v>
                </c:pt>
                <c:pt idx="1">
                  <c:v>20.200000000000003</c:v>
                </c:pt>
                <c:pt idx="2">
                  <c:v>40.66</c:v>
                </c:pt>
                <c:pt idx="3">
                  <c:v>25.980000000000004</c:v>
                </c:pt>
                <c:pt idx="4">
                  <c:v>32.749999999999986</c:v>
                </c:pt>
                <c:pt idx="5">
                  <c:v>0.9599999999999937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Taste, Nutrition &amp; Health</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2334.6</c:v>
                </c:pt>
                <c:pt idx="1">
                  <c:v>2912.5</c:v>
                </c:pt>
                <c:pt idx="2">
                  <c:v>2978</c:v>
                </c:pt>
                <c:pt idx="3">
                  <c:v>3090.7</c:v>
                </c:pt>
                <c:pt idx="4">
                  <c:v>3028.1</c:v>
                </c:pt>
              </c:numCache>
            </c:numRef>
          </c:val>
        </c:ser>
        <c:ser>
          <c:idx val="1"/>
          <c:order val="1"/>
          <c:tx>
            <c:strRef>
              <c:f>Hoja1!$C$1</c:f>
              <c:strCache>
                <c:ptCount val="1"/>
                <c:pt idx="0">
                  <c:v>Scent &amp; Care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1491.1</c:v>
                </c:pt>
                <c:pt idx="1">
                  <c:v>1706</c:v>
                </c:pt>
                <c:pt idx="2">
                  <c:v>1752.2</c:v>
                </c:pt>
                <c:pt idx="3">
                  <c:v>1907.8</c:v>
                </c:pt>
                <c:pt idx="4">
                  <c:v>1901.2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Taste, Nutrition &amp; Health</c:v>
                </c:pt>
                <c:pt idx="1">
                  <c:v>Scent &amp; Care</c:v>
                </c:pt>
              </c:strCache>
            </c:strRef>
          </c:cat>
          <c:val>
            <c:numRef>
              <c:f>Hoja1!$B$2:$B$3</c:f>
              <c:numCache>
                <c:formatCode>General</c:formatCode>
                <c:ptCount val="2"/>
                <c:pt idx="0">
                  <c:v>61.4</c:v>
                </c:pt>
                <c:pt idx="1">
                  <c:v>38.6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EAME</c:v>
                </c:pt>
                <c:pt idx="1">
                  <c:v>Norteamérica</c:v>
                </c:pt>
                <c:pt idx="2">
                  <c:v>Asia/Pacífico</c:v>
                </c:pt>
                <c:pt idx="3">
                  <c:v>Latinoamérica</c:v>
                </c:pt>
              </c:strCache>
            </c:strRef>
          </c:cat>
          <c:val>
            <c:numRef>
              <c:f>Hoja1!$B$2:$B$5</c:f>
              <c:numCache>
                <c:formatCode>0"%"</c:formatCode>
                <c:ptCount val="4"/>
                <c:pt idx="0">
                  <c:v>41</c:v>
                </c:pt>
                <c:pt idx="1">
                  <c:v>24.9</c:v>
                </c:pt>
                <c:pt idx="2">
                  <c:v>20.8</c:v>
                </c:pt>
                <c:pt idx="3">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56500</c:v>
                </c:pt>
                <c:pt idx="1">
                  <c:v>58200</c:v>
                </c:pt>
                <c:pt idx="2">
                  <c:v>59900</c:v>
                </c:pt>
                <c:pt idx="3">
                  <c:v>61700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Symrise</c:v>
                </c:pt>
                <c:pt idx="1">
                  <c:v>Givaudan</c:v>
                </c:pt>
                <c:pt idx="2">
                  <c:v>DSM-Firmenich</c:v>
                </c:pt>
                <c:pt idx="3">
                  <c:v>IFF</c:v>
                </c:pt>
                <c:pt idx="4">
                  <c:v>Kerry Group</c:v>
                </c:pt>
                <c:pt idx="5">
                  <c:v>Croda</c:v>
                </c:pt>
                <c:pt idx="6">
                  <c:v>Sensient</c:v>
                </c:pt>
              </c:strCache>
            </c:strRef>
          </c:cat>
          <c:val>
            <c:numRef>
              <c:f>Hoja1!$B$2:$B$8</c:f>
              <c:numCache>
                <c:formatCode>0.0"%"</c:formatCode>
                <c:ptCount val="7"/>
                <c:pt idx="0">
                  <c:v>12.7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3825.7</c:v>
                </c:pt>
                <c:pt idx="1">
                  <c:v>4618.5</c:v>
                </c:pt>
                <c:pt idx="2">
                  <c:v>4730.2</c:v>
                </c:pt>
                <c:pt idx="3">
                  <c:v>4998.5</c:v>
                </c:pt>
                <c:pt idx="4">
                  <c:v>4929.3</c:v>
                </c:pt>
                <c:pt idx="5">
                  <c:v>4979</c:v>
                </c:pt>
                <c:pt idx="6">
                  <c:v>5218</c:v>
                </c:pt>
                <c:pt idx="7">
                  <c:v>5478</c:v>
                </c:pt>
                <c:pt idx="8">
                  <c:v>5752</c:v>
                </c:pt>
                <c:pt idx="9">
                  <c:v>6011</c:v>
                </c:pt>
                <c:pt idx="10">
                  <c:v>6222</c:v>
                </c:pt>
                <c:pt idx="11">
                  <c:v>6408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808.9</c:v>
                </c:pt>
                <c:pt idx="1">
                  <c:v>908.6999999999999</c:v>
                </c:pt>
                <c:pt idx="2">
                  <c:v>894.3</c:v>
                </c:pt>
                <c:pt idx="3">
                  <c:v>1028</c:v>
                </c:pt>
                <c:pt idx="4">
                  <c:v>1075.1000000000001</c:v>
                </c:pt>
                <c:pt idx="5">
                  <c:v>1075</c:v>
                </c:pt>
                <c:pt idx="6">
                  <c:v>1148</c:v>
                </c:pt>
                <c:pt idx="7">
                  <c:v>1222</c:v>
                </c:pt>
                <c:pt idx="8">
                  <c:v>1294</c:v>
                </c:pt>
                <c:pt idx="9">
                  <c:v>1353</c:v>
                </c:pt>
                <c:pt idx="10">
                  <c:v>1400</c:v>
                </c:pt>
                <c:pt idx="11">
                  <c:v>1442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38.7</c:v>
                </c:pt>
                <c:pt idx="1">
                  <c:v>36.9</c:v>
                </c:pt>
                <c:pt idx="2">
                  <c:v>35.8</c:v>
                </c:pt>
                <c:pt idx="3">
                  <c:v>39.3</c:v>
                </c:pt>
                <c:pt idx="4">
                  <c:v>37.6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21.1</c:v>
                </c:pt>
                <c:pt idx="1">
                  <c:v>19.7</c:v>
                </c:pt>
                <c:pt idx="2">
                  <c:v>18.9</c:v>
                </c:pt>
                <c:pt idx="3">
                  <c:v>20.6</c:v>
                </c:pt>
                <c:pt idx="4">
                  <c:v>21.8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14.5</c:v>
                </c:pt>
                <c:pt idx="1">
                  <c:v>13.4</c:v>
                </c:pt>
                <c:pt idx="2">
                  <c:v>12.7</c:v>
                </c:pt>
                <c:pt idx="3">
                  <c:v>14.2</c:v>
                </c:pt>
                <c:pt idx="4">
                  <c:v>12.7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9.8</c:v>
                </c:pt>
                <c:pt idx="1">
                  <c:v>6.1</c:v>
                </c:pt>
                <c:pt idx="2">
                  <c:v>7.2</c:v>
                </c:pt>
                <c:pt idx="3">
                  <c:v>9.6</c:v>
                </c:pt>
                <c:pt idx="4">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c:v>
                </c:pt>
                <c:pt idx="1">
                  <c:v>68</c:v>
                </c:pt>
                <c:pt idx="2">
                  <c:v>67</c:v>
                </c:pt>
                <c:pt idx="3">
                  <c:v>69</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154</c:v>
                </c:pt>
                <c:pt idx="1">
                  <c:v>166</c:v>
                </c:pt>
                <c:pt idx="2">
                  <c:v>151</c:v>
                </c:pt>
                <c:pt idx="3">
                  <c:v>154</c:v>
                </c:pt>
                <c:pt idx="4">
                  <c:v>127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64</c:v>
                </c:pt>
                <c:pt idx="1">
                  <c:v>66</c:v>
                </c:pt>
                <c:pt idx="2">
                  <c:v>59</c:v>
                </c:pt>
                <c:pt idx="3">
                  <c:v>61</c:v>
                </c:pt>
                <c:pt idx="4">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299.3</c:v>
                </c:pt>
                <c:pt idx="1">
                  <c:v>43.80000000000004</c:v>
                </c:pt>
                <c:pt idx="2">
                  <c:v>356.3</c:v>
                </c:pt>
                <c:pt idx="3">
                  <c:v>556.0999999999999</c:v>
                </c:pt>
                <c:pt idx="4">
                  <c:v>469.29999999999995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374.9</c:v>
                </c:pt>
                <c:pt idx="1">
                  <c:v>280</c:v>
                </c:pt>
                <c:pt idx="2">
                  <c:v>340.5</c:v>
                </c:pt>
                <c:pt idx="3">
                  <c:v>478.2</c:v>
                </c:pt>
                <c:pt idx="4">
                  <c:v>249.3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c:v>
                </c:pt>
                <c:pt idx="1">
                  <c:v>8</c:v>
                </c:pt>
                <c:pt idx="2">
                  <c:v>7.6</c:v>
                </c:pt>
                <c:pt idx="3">
                  <c:v>9.1</c:v>
                </c:pt>
                <c:pt idx="4">
                  <c:v>7.1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c:v>
                </c:pt>
                <c:pt idx="1">
                  <c:v>7</c:v>
                </c:pt>
                <c:pt idx="2">
                  <c:v>7</c:v>
                </c:pt>
                <c:pt idx="3">
                  <c:v>7</c:v>
                </c:pt>
                <c:pt idx="4">
                  <c:v>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11.8</c:v>
                </c:pt>
                <c:pt idx="1">
                  <c:v>8.3</c:v>
                </c:pt>
                <c:pt idx="2">
                  <c:v>9.5</c:v>
                </c:pt>
                <c:pt idx="3">
                  <c:v>12.6</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1.67</c:v>
                </c:pt>
                <c:pt idx="1">
                  <c:v>2.46</c:v>
                </c:pt>
                <c:pt idx="2">
                  <c:v>2.42</c:v>
                </c:pt>
                <c:pt idx="3">
                  <c:v>1.79</c:v>
                </c:pt>
                <c:pt idx="4">
                  <c:v>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610.4</c:v>
                </c:pt>
                <c:pt idx="1">
                  <c:v>760.2</c:v>
                </c:pt>
                <c:pt idx="2">
                  <c:v>94.3</c:v>
                </c:pt>
                <c:pt idx="3">
                  <c:v>71.7</c:v>
                </c:pt>
                <c:pt idx="4">
                  <c:v>103.2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138</c:v>
                </c:pt>
                <c:pt idx="1">
                  <c:v>146.3</c:v>
                </c:pt>
                <c:pt idx="2">
                  <c:v>153.2</c:v>
                </c:pt>
                <c:pt idx="3">
                  <c:v>158.8</c:v>
                </c:pt>
                <c:pt idx="4">
                  <c:v>172.9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Capital flotante</c:v>
                </c:pt>
                <c:pt idx="1">
                  <c:v>Autocartera (recompra 2026)</c:v>
                </c:pt>
              </c:strCache>
            </c:strRef>
          </c:cat>
          <c:val>
            <c:numRef>
              <c:f>Hoja1!$B$2:$B$3</c:f>
              <c:numCache>
                <c:formatCode>0.0"%"</c:formatCode>
                <c:ptCount val="2"/>
                <c:pt idx="0">
                  <c:v>95</c:v>
                </c:pt>
                <c:pt idx="1">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c:v>
                </c:pt>
                <c:pt idx="1">
                  <c:v>25.5</c:v>
                </c:pt>
                <c:pt idx="2">
                  <c:v>-8.8</c:v>
                </c:pt>
                <c:pt idx="3">
                  <c:v>47</c:v>
                </c:pt>
                <c:pt idx="4">
                  <c:v>16.7</c:v>
                </c:pt>
                <c:pt idx="5">
                  <c:v>21.3</c:v>
                </c:pt>
                <c:pt idx="6">
                  <c:v>-21.3</c:v>
                </c:pt>
                <c:pt idx="7">
                  <c:v>-1</c:v>
                </c:pt>
                <c:pt idx="8">
                  <c:v>4.1</c:v>
                </c:pt>
                <c:pt idx="9">
                  <c:v>-32.1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24.1</c:v>
                </c:pt>
                <c:pt idx="1">
                  <c:v>18.2</c:v>
                </c:pt>
                <c:pt idx="2">
                  <c:v>18.1</c:v>
                </c:pt>
                <c:pt idx="3">
                  <c:v>15.8</c:v>
                </c:pt>
                <c:pt idx="4">
                  <c:v>10.5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c:v>
                </c:pt>
                <c:pt idx="1">
                  <c:v>17</c:v>
                </c:pt>
                <c:pt idx="2">
                  <c:v>17</c:v>
                </c:pt>
                <c:pt idx="3">
                  <c:v>17</c:v>
                </c:pt>
                <c:pt idx="4">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Symrise</c:v>
                </c:pt>
                <c:pt idx="1">
                  <c:v>Givaudan</c:v>
                </c:pt>
                <c:pt idx="2">
                  <c:v>DSM-Firmenich</c:v>
                </c:pt>
                <c:pt idx="3">
                  <c:v>IFF</c:v>
                </c:pt>
                <c:pt idx="4">
                  <c:v>Kerry Group</c:v>
                </c:pt>
                <c:pt idx="5">
                  <c:v>Croda</c:v>
                </c:pt>
                <c:pt idx="6">
                  <c:v>Sensient</c:v>
                </c:pt>
                <c:pt idx="7">
                  <c:v>Novonesis</c:v>
                </c:pt>
              </c:strCache>
            </c:strRef>
          </c:cat>
          <c:val>
            <c:numRef>
              <c:f>Hoja1!$B$2:$B$9</c:f>
              <c:numCache>
                <c:formatCode>0.0"x"</c:formatCode>
                <c:ptCount val="8"/>
                <c:pt idx="0">
                  <c:v>13.4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589</c:v>
                </c:pt>
                <c:pt idx="1">
                  <c:v>583</c:v>
                </c:pt>
                <c:pt idx="2">
                  <c:v>615</c:v>
                </c:pt>
                <c:pt idx="3">
                  <c:v>647</c:v>
                </c:pt>
                <c:pt idx="4">
                  <c:v>677</c:v>
                </c:pt>
                <c:pt idx="5">
                  <c:v>719</c:v>
                </c:pt>
                <c:pt idx="6">
                  <c:v>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3321</c:v>
                </c:pt>
                <c:pt idx="1">
                  <c:v>10565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96,98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68.69</c:v>
                </c:pt>
                <c:pt idx="1">
                  <c:v>87.31</c:v>
                </c:pt>
                <c:pt idx="2">
                  <c:v>94.67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96,98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(64,70 – 97,26)</c:v>
                </c:pt>
                <c:pt idx="1">
                  <c:v>Comparables: PER NTM (89,70 – 109,90)</c:v>
                </c:pt>
                <c:pt idx="2">
                  <c:v>DCF (WACC y g ± 0,5) (71,25 – 111,91)</c:v>
                </c:pt>
                <c:pt idx="3">
                  <c:v>Escenarios (bajista – alcista) (68,69 – 94,67)</c:v>
                </c:pt>
                <c:pt idx="4">
                  <c:v>DCF con la prima implícita del mercado (4,2 %)</c:v>
                </c:pt>
                <c:pt idx="5">
                  <c:v>Precio actual (96,98)</c:v>
                </c:pt>
              </c:strCache>
            </c:strRef>
          </c:cat>
          <c:val>
            <c:numRef>
              <c:f>Hoja1!$B$2:$B$7</c:f>
              <c:numCache>
                <c:formatCode>#,##0</c:formatCode>
                <c:ptCount val="6"/>
                <c:pt idx="0">
                  <c:v>64.7</c:v>
                </c:pt>
                <c:pt idx="1">
                  <c:v>89.7</c:v>
                </c:pt>
                <c:pt idx="2">
                  <c:v>71.25</c:v>
                </c:pt>
                <c:pt idx="3">
                  <c:v>68.69</c:v>
                </c:pt>
                <c:pt idx="4">
                  <c:v>95.45</c:v>
                </c:pt>
                <c:pt idx="5">
                  <c:v>96.5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(64,70 – 97,26)</c:v>
                </c:pt>
                <c:pt idx="1">
                  <c:v>Comparables: PER NTM (89,70 – 109,90)</c:v>
                </c:pt>
                <c:pt idx="2">
                  <c:v>DCF (WACC y g ± 0,5) (71,25 – 111,91)</c:v>
                </c:pt>
                <c:pt idx="3">
                  <c:v>Escenarios (bajista – alcista) (68,69 – 94,67)</c:v>
                </c:pt>
                <c:pt idx="4">
                  <c:v>DCF con la prima implícita del mercado (4,2 %)</c:v>
                </c:pt>
                <c:pt idx="5">
                  <c:v>Precio actual (96,98)</c:v>
                </c:pt>
              </c:strCache>
            </c:strRef>
          </c:cat>
          <c:val>
            <c:numRef>
              <c:f>Hoja1!$C$2:$C$7</c:f>
              <c:numCache>
                <c:formatCode>#,##0</c:formatCode>
                <c:ptCount val="6"/>
                <c:pt idx="0">
                  <c:v>32.56</c:v>
                </c:pt>
                <c:pt idx="1">
                  <c:v>20.200000000000003</c:v>
                </c:pt>
                <c:pt idx="2">
                  <c:v>40.66</c:v>
                </c:pt>
                <c:pt idx="3">
                  <c:v>25.980000000000004</c:v>
                </c:pt>
                <c:pt idx="4">
                  <c:v>32.749999999999986</c:v>
                </c:pt>
                <c:pt idx="5">
                  <c:v>0.9599999999999937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