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Roche Holding AG</w:t>
      </w:r>
    </w:p>
    <w:p>
      <w:pPr>
        <w:spacing w:after="60"/>
        <w:rPr>
          <w:color w:val="52514E"/>
          <w:sz w:val="22"/>
          <w:szCs w:val="22"/>
        </w:rPr>
      </w:pPr>
      <w:r>
        <w:rPr>
          <w:color w:val="52514E"/>
          <w:sz w:val="22"/>
          <w:szCs w:val="22"/>
        </w:rPr>
        <w:t xml:space="preserve">ROP (antes ROG) · SIX Swiss Exchange · ISIN CH1499059983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390,90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358,01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-5,9 % (base +0,5 %)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353,31 CHF · mercado 445,34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315.456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Roche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ROP (antes ROG) / CH1499059983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 y diagnóstico in vitro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Basilea · 1896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112.774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www.roche.com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390,90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258,20 – 395,00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807,0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315.456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363.866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339 M CHF/día (3 meses, bonos de participación ROP)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358,01 CHF</w:t>
      </w:r>
      <w:r>
        <w:t xml:space="preserve"> frente a 390,90 · Rentabilidad a 12 meses </w:t>
      </w:r>
      <w:r>
        <w:rPr>
          <w:b/>
          <w:bCs/>
        </w:rPr>
        <w:t xml:space="preserve">-5,9 % (base +0,5 %)</w:t>
      </w:r>
      <w:r>
        <w:t xml:space="preserve"> · Valor intrínseco 353,31 CHF · con la prima implícita del mercado: 445,34 (+13,9 %) · Alcista / bajista +2,6 % / -27,9 %</w:t>
      </w:r>
    </w:p>
    <w:p>
      <w:pPr>
        <w:spacing w:after="100"/>
      </w:pPr>
      <w:r>
        <w:rPr>
          <w:b/>
        </w:rPr>
        <w:t xml:space="preserve">La recomendación y por qué.</w:t>
      </w:r>
      <w:r>
        <w:t xml:space="preserve"> Mantener, con convicción baja. El objetivo a 12 meses es de 358,01 CHF (−5,9 % ponderado con dividendo; +0,5 % el base), sobre un cierre de 390,90 CHF del 23-oct-2026, y el valor intrínseco (353,31) queda un 9,6 % por debajo del precio. Ni lo uno ni lo otro llega al umbral de venta (−10 %). El objetivo medio de los analistas (386,36) coincide con nuestro base (383,04) [28]. La convicción es baja porque la regla absoluta (con nuestro WACC) da Vender y la relativa (con la prima implícita del mercado) da Comprar. La subiría una caída hacia 320 CHF; la bajaría una guía de 2027 por debajo de un dígito alto de crecimiento del BPA core.</w:t>
      </w:r>
    </w:p>
    <w:p>
      <w:pPr>
        <w:spacing w:after="100"/>
      </w:pPr>
      <w:r>
        <w:rPr>
          <w:b/>
        </w:rPr>
        <w:t xml:space="preserve">Qué cambió desde el informe del 14-oct.</w:t>
      </w:r>
      <w:r>
        <w:t xml:space="preserve"> Antes salía Vender (v3 ponderada −12,5 %, base −15,3 % a 379,20 CHF). El 3T26 (22-oct) confirmó la guía y el crecimiento del 6-8 % a tipo constante [6]. Rehicimos el análisis con red: el precio de partida del anterior (334,30) era un error de dato (el cierre real del 13-oct fue 359,80), la historia del PER pasa a ser adelantada (mediana 15,6 veces frente a 14,0) y la beta se calcula con datos propios (1,07 frente a 0,70 copiada), sin prima adicional. El base a 12 meses sube porque el PER de partida es real.</w:t>
      </w:r>
    </w:p>
    <w:p>
      <w:pPr>
        <w:spacing w:after="100"/>
      </w:pPr>
      <w:r>
        <w:rPr>
          <w:b/>
        </w:rPr>
        <w:t xml:space="preserve">El negocio.</w:t>
      </w:r>
      <w:r>
        <w:t xml:space="preserve"> Roche es la mayor empresa de oncología del mundo y el líder del diagnóstico in vitro, con un margen core del 39 % en el 1S26 y un ROIC del 28 %, 22 puntos por encima del WACC [5]. La calidad sostiene el crecimiento proyectado (2,6 % anual en francos), que es menor que el que consigue a tipo constante.</w:t>
      </w:r>
    </w:p>
    <w:p>
      <w:pPr>
        <w:spacing w:after="100"/>
      </w:pPr>
      <w:r>
        <w:rPr>
          <w:b/>
        </w:rPr>
        <w:t xml:space="preserve">Finanzas.</w:t>
      </w:r>
      <w:r>
        <w:t xml:space="preserve"> Deuda neta de 22.071 M (≈1 vez el EBITDA), calificación AA, FCF de 12.420 M en los últimos 12 meses (3,9 % de la capitalización) y 39 años de dividendo al alza [1, 5]. Calidad contable buena (Beneish −2,72; Piotroski 7).</w:t>
      </w:r>
    </w:p>
    <w:p>
      <w:pPr>
        <w:spacing w:after="100"/>
      </w:pPr>
      <w:r>
        <w:rPr>
          <w:b/>
        </w:rPr>
        <w:t xml:space="preserve">Valoración.</w:t>
      </w:r>
      <w:r>
        <w:t xml:space="preserve"> El DCF da 358,10 CHF y los comparables 334,83-347,69 (≈18 veces el BPA core adelantado frente a 16,0 de mediana). El precio descuenta un crecimiento del 3,8 % anual frente a nuestro 2,6 %: una rentabilidad implícita del 5,7 %, poco por debajo del WACC. Nuestro BPA está un 1-2 % por debajo del consenso por la divisa.</w:t>
      </w:r>
    </w:p>
    <w:p>
      <w:pPr>
        <w:spacing w:after="100"/>
      </w:pPr>
      <w:r>
        <w:rPr>
          <w:b/>
        </w:rPr>
        <w:t xml:space="preserve">Riesgos y catalizadores.</w:t>
      </w:r>
      <w:r>
        <w:t xml:space="preserve"> Pesan los precios en EE. UU. (nación más favorecida) y el franco. Las decisiones de la FDA sobre giredestrant (30-nov y 18-dic) y la guía de 2027 (≈4-feb) son los hechos con fecha. El sentimiento es positivo, sin euforia [34, 39].</w:t>
      </w:r>
    </w:p>
    <w:p>
      <w:pPr>
        <w:spacing w:after="100"/>
      </w:pPr>
      <w:r>
        <w:rPr>
          <w:b/>
        </w:rPr>
        <w:t xml:space="preserve">Qué cambiaría la decisión.</w:t>
      </w:r>
      <w:r>
        <w:t xml:space="preserve"> Compraríamos por debajo de 319,83 CHF y venderíamos por encima de 408,68. También una guía de 2027 con BPA core por encima de 22,5 (subir) o una respuesta negativa de la FDA a giredestrant (bajar).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358,01 CHF</w:t>
      </w:r>
      <w:r>
        <w:t xml:space="preserve"> (rentabilidad -5,9 % (base +0,5 %)) · Valor intrínseco: 353,31 CHF (-9,6 % sobre 390,90) · con la prima implícita del mercado: 445,34 (+13,9 %)</w:t>
      </w:r>
    </w:p>
    <w:p>
      <w:pPr>
        <w:spacing w:after="100"/>
      </w:pPr>
      <w:r>
        <w:t xml:space="preserve">Roche es la mayor empresa de oncología del mundo y el líder del diagnóstico in vitro, con un ROIC del 28 %, deuda baja y menos ventas expuestas a genéricos hasta 2032 que sus rivales europeos [1, 33]. Crece un 6-8 % a tipo constante cada trimestre desde 2024, pero el franco se come 3-5 puntos: en francos, sus ventas son las de 2021.</w:t>
      </w:r>
    </w:p>
    <w:p>
      <w:pPr>
        <w:spacing w:after="100"/>
      </w:pPr>
      <w:r>
        <w:t xml:space="preserve">A 390,90 CHF, el precio descuenta un crecimiento anual del 3,8 % (DCF inverso) y paga 18 veces el BPA core de 2027e, más que su mediana adelantada de 2021-2025 (15,6x) y que las grandes farmacéuticas (16,0x). Tras un +48 % en un año, el mercado ha pasado de castigar a Roche por su cartera a pagarle una prima por su defensa frente a los genéricos.</w:t>
      </w:r>
    </w:p>
    <w:p>
      <w:pPr>
        <w:spacing w:after="100"/>
      </w:pPr>
      <w:r>
        <w:t xml:space="preserve">La prima es razonable, pero ya está pagada: con nuestro BPA (22,8 en 2028e) y un PER que se acerque a su historia, el base a 12 meses da 383 CHF, casi el precio. Para invertir hoy hay que creer en el escenario alcista (giredestrant y obesidad) o aceptar la rentabilidad que pide el mercado (4,8 %) en lugar de nuestro WACC (6,1 %).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358,01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 × 20,60 = 267,80 · 16,8x × 22,80 = 383,04 · 16,8x × 23,70 = 398,16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 / 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386,36 (nuestro base -0,9 %)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353,31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 / -27,9 %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 frente a 6,1 % y 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4,8 %)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445,34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 frente a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319,83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319,83 y 408,68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408,68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319,83 CHF: pasaríamos a Comprar si se mantiene el base a 12 meses y el valor intrínseco.</w:t>
      </w:r>
    </w:p>
    <w:p>
      <w:pPr>
        <w:pStyle w:val="ListParagraph"/>
        <w:numPr>
          <w:ilvl w:val="0"/>
          <w:numId w:val="2"/>
        </w:numPr>
        <w:spacing w:after="60"/>
      </w:pPr>
      <w:r>
        <w:t xml:space="preserve">Precio por encima de 408,68 CHF: pasaríamos a Vender.</w:t>
      </w:r>
    </w:p>
    <w:p>
      <w:pPr>
        <w:pStyle w:val="ListParagraph"/>
        <w:numPr>
          <w:ilvl w:val="0"/>
          <w:numId w:val="2"/>
        </w:numPr>
        <w:spacing w:after="60"/>
      </w:pPr>
      <w:r>
        <w:t xml:space="preserve">Guía de BPA core de 2027 por debajo de un dígito alto a tipo constante: rebajaríamos el base.</w:t>
      </w:r>
    </w:p>
    <w:p>
      <w:pPr>
        <w:pStyle w:val="ListParagraph"/>
        <w:numPr>
          <w:ilvl w:val="0"/>
          <w:numId w:val="2"/>
        </w:numPr>
        <w:spacing w:after="60"/>
      </w:pPr>
      <w:r>
        <w:t xml:space="preserve">Respuesta completa de la FDA a giredestrant: pasaríamos al escenario bajista.</w:t>
      </w:r>
    </w:p>
    <w:p>
      <w:pPr>
        <w:pStyle w:val="ListParagraph"/>
        <w:numPr>
          <w:ilvl w:val="0"/>
          <w:numId w:val="2"/>
        </w:numPr>
        <w:spacing w:after="60"/>
      </w:pPr>
      <w:r>
        <w:t xml:space="preserve">Extensión de la nación más favorecida a Medicare con recortes de más del 5 % en precios netos: rebajaríamos el valor intrínseco.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Roche mantiene un crecimiento del BPA core del 8 % anual a tipo constante (consenso 20,33-20,55 en 2026 y 21,99-22,13 en 2027), con lanzamientos que compensan las patentes, y que merece un PER de 18 veces, una prima sobre el sector por su menor riesgo de genéricos. Los analistas suben objetivos hasta 386-396 CHF de media [28, 30].</w:t>
      </w:r>
    </w:p>
    <w:p>
      <w:pPr>
        <w:keepNext/>
        <w:spacing w:after="100"/>
      </w:pPr>
      <w:r>
        <w:rPr>
          <w:b/>
          <w:bCs/>
        </w:rPr>
        <w:t xml:space="preserve">Lo que creemos nosotros.</w:t>
      </w:r>
    </w:p>
    <w:p>
      <w:pPr>
        <w:spacing w:after="100"/>
      </w:pPr>
      <w:r>
        <w:t xml:space="preserve">Coincidimos en el negocio y en las cifras a tipo constante, pero no en la divisa: nuestro BPA está un 1-2 % por debajo. El negocio vale 353-358 CHF por acción con nuestro WACC, y a 12 meses el base (383) apenas supera el precio.</w:t>
      </w:r>
    </w:p>
    <w:p>
      <w:pPr>
        <w:keepNext/>
        <w:spacing w:after="100"/>
      </w:pPr>
      <w:r>
        <w:rPr>
          <w:b/>
          <w:bCs/>
        </w:rPr>
        <w:t xml:space="preserve">Por qué podemos tener razón.</w:t>
      </w:r>
    </w:p>
    <w:p>
      <w:pPr>
        <w:spacing w:after="100"/>
      </w:pPr>
      <w:r>
        <w:t xml:space="preserve">El precio implica una rentabilidad del 5,7 % anual, entre nuestro WACC (6,1 %) y lo que pide hoy el mercado (4,8 %). No hay margen de seguridad ni un exceso claro: la acción está en precio.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39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ROIC del 28 %</w:t>
      </w:r>
      <w:r>
        <w:t xml:space="preserve">: más de 22 puntos sobre el WACC, de los más altos del sector.</w:t>
      </w:r>
    </w:p>
    <w:p>
      <w:pPr>
        <w:pStyle w:val="ListParagraph"/>
        <w:numPr>
          <w:ilvl w:val="0"/>
          <w:numId w:val="2"/>
        </w:numPr>
        <w:spacing w:after="60"/>
      </w:pPr>
      <w:r>
        <w:rPr>
          <w:b/>
        </w:rPr>
        <w:t xml:space="preserve">Crecimiento constante</w:t>
      </w:r>
      <w:r>
        <w:t xml:space="preserve">: +6-8 % a tipo constante cada trimestre desde 2024; guía confirmada el 22-oct.</w:t>
      </w:r>
    </w:p>
    <w:p>
      <w:pPr>
        <w:pStyle w:val="ListParagraph"/>
        <w:numPr>
          <w:ilvl w:val="0"/>
          <w:numId w:val="2"/>
        </w:numPr>
        <w:spacing w:after="60"/>
      </w:pPr>
      <w:r>
        <w:rPr>
          <w:b/>
        </w:rPr>
        <w:t xml:space="preserve">Menos genéricos que los rivales</w:t>
      </w:r>
      <w:r>
        <w:t xml:space="preserve">: menos del 30 % de las ventas expuestas hasta 2032 (Novartis, más del 70 %).</w:t>
      </w:r>
    </w:p>
    <w:p>
      <w:pPr>
        <w:pStyle w:val="ListParagraph"/>
        <w:numPr>
          <w:ilvl w:val="0"/>
          <w:numId w:val="2"/>
        </w:numPr>
        <w:spacing w:after="60"/>
      </w:pPr>
      <w:r>
        <w:rPr>
          <w:b/>
        </w:rPr>
        <w:t xml:space="preserve">Balance sólido</w:t>
      </w:r>
      <w:r>
        <w:t xml:space="preserve">: deuda neta de ≈1 vez el EBITDA, calificación AA y 39 años de dividendo al alza.</w:t>
      </w:r>
    </w:p>
    <w:p>
      <w:pPr>
        <w:pStyle w:val="ListParagraph"/>
        <w:numPr>
          <w:ilvl w:val="0"/>
          <w:numId w:val="2"/>
        </w:numPr>
        <w:spacing w:after="60"/>
      </w:pPr>
      <w:r>
        <w:rPr>
          <w:b/>
        </w:rPr>
        <w:t xml:space="preserve">Catalizadores cercanos</w:t>
      </w:r>
      <w:r>
        <w:t xml:space="preserve">: giredestrant (30-nov y 18-dic) y fenebrutinib (prioritaria).</w:t>
      </w:r>
    </w:p>
    <w:p>
      <w:pPr>
        <w:pStyle w:val="Heading2"/>
      </w:pPr>
      <w:r>
        <w:t xml:space="preserve">En contra</w:t>
      </w:r>
    </w:p>
    <w:p>
      <w:pPr>
        <w:pStyle w:val="ListParagraph"/>
        <w:numPr>
          <w:ilvl w:val="0"/>
          <w:numId w:val="2"/>
        </w:numPr>
        <w:spacing w:after="60"/>
      </w:pPr>
      <w:r>
        <w:rPr>
          <w:b/>
        </w:rPr>
        <w:t xml:space="preserve">Ya no está barata</w:t>
      </w:r>
      <w:r>
        <w:t xml:space="preserve">: 18 veces el BPA core de 2027e frente a 15,6 de su mediana y 16,0 del sector.</w:t>
      </w:r>
    </w:p>
    <w:p>
      <w:pPr>
        <w:pStyle w:val="ListParagraph"/>
        <w:numPr>
          <w:ilvl w:val="0"/>
          <w:numId w:val="2"/>
        </w:numPr>
        <w:spacing w:after="60"/>
      </w:pPr>
      <w:r>
        <w:rPr>
          <w:b/>
        </w:rPr>
        <w:t xml:space="preserve">El franco</w:t>
      </w:r>
      <w:r>
        <w:t xml:space="preserve">: resta ≈5 puntos al BPA de 2026; las ventas en francos son las de 2021.</w:t>
      </w:r>
    </w:p>
    <w:p>
      <w:pPr>
        <w:pStyle w:val="ListParagraph"/>
        <w:numPr>
          <w:ilvl w:val="0"/>
          <w:numId w:val="2"/>
        </w:numPr>
        <w:spacing w:after="60"/>
      </w:pPr>
      <w:r>
        <w:rPr>
          <w:b/>
        </w:rPr>
        <w:t xml:space="preserve">Precios en EE. UU.</w:t>
      </w:r>
      <w:r>
        <w:t xml:space="preserve">: nación más favorecida y negociación de Medicare.</w:t>
      </w:r>
    </w:p>
    <w:p>
      <w:pPr>
        <w:pStyle w:val="ListParagraph"/>
        <w:numPr>
          <w:ilvl w:val="0"/>
          <w:numId w:val="2"/>
        </w:numPr>
        <w:spacing w:after="60"/>
      </w:pPr>
      <w:r>
        <w:rPr>
          <w:b/>
        </w:rPr>
        <w:t xml:space="preserve">Asimetría mala</w:t>
      </w:r>
      <w:r>
        <w:t xml:space="preserve">: bajista −29 % y alcista +4 % a 12 meses.</w:t>
      </w:r>
    </w:p>
    <w:p>
      <w:pPr>
        <w:pStyle w:val="ListParagraph"/>
        <w:numPr>
          <w:ilvl w:val="0"/>
          <w:numId w:val="2"/>
        </w:numPr>
        <w:spacing w:after="60"/>
      </w:pPr>
      <w:r>
        <w:rPr>
          <w:b/>
        </w:rPr>
        <w:t xml:space="preserve">Compras con deterioros</w:t>
      </w:r>
      <w:r>
        <w:t xml:space="preserve">: ROIC incremental de 2021-2025 negativo.</w:t>
      </w:r>
    </w:p>
    <w:p>
      <w:pPr>
        <w:pStyle w:val="Heading2"/>
      </w:pPr>
      <w:r>
        <w:t xml:space="preserve">Qué tiene que pasar para que la tesis funcione</w:t>
      </w:r>
    </w:p>
    <w:p>
      <w:pPr>
        <w:spacing w:after="100"/>
      </w:pPr>
      <w:r>
        <w:t xml:space="preserve">La tesis a 12 meses depende de que la guía de 2027 (≈4-feb) mantenga un BPA core de un dígito alto a tipo constante y de que la FDA apruebe giredestrant antes de fin de año. Si la FDA lo retrasa o la guía cae a un dígito medio, el escenario bajista (267,80) gana peso; si el franco se debilita, el BPA sube por encima del base.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(9M26)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volumen proyectado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el BPA de 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divisa en el BPA core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puntos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−6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BPA en francos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Decisiones de la FDA (giredestrant, fenebrutinib)</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Pendientes (nov-dic 2026,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Respuesta completa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2028-2030</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adelantado de comparables (mediana)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 14x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objetivo depende del múltiplo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16,0x / 14,6x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25,5x / 18,0x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Fundada en Basilea en 1896 por Fritz Hoffmann-La Roche, la empresa sigue controlada por los herederos de la familia fundadora mediante un pacto de voto que data de 1948 [1, 13]. Su transformación clave fue la biotecnología: tomó la mayoría de Genentech en 1990 y la compró entera en 2009, y entró en Chugai (Japón) en 2002 [5, 13]. Esa base explica su liderazgo en oncología. En 2021 recompró la participación que Novartis tenía desde 2001 [4]. En 2023 Thomas Schinecker sustituyó a Severin Schwan, que pasó a presidente. En marzo de 2026 los Genussscheine (ROG), sin voto, se canjearon por bonos de participación (ROP)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Fritz Hoffmann-La Roche funda la empresa en Basilea; las familias fundadoras mantienen un pacto de voto desde 1948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 toma la mayoría de Genentech (EE. UU.), base de su biotecnología oncológica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Chugai (Japón), hoy filial cotizada consolidada al 61,1 %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el resto de Genentech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Ocrevus, Hemlibra y Tecentriq relevan a Avastin, Herceptin y MabThera, que pierden la patente y caen ante biosimilares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por 19.000 M CHF del 33 % de las acciones al portador que tenía Novartis desde 2001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Schinecker pasa a consejero delegado y Severin Schwan a presidente; compra de Telavant (anti-TL1A)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para obesidad y metabolismo (Carmot, alianza con Zealand, 89bio) y deterioro total del fondo de comercio de Spark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Genussscheine (ROG) se canjean 1 por 1 por bonos de participación (ROP) desde el 17 de marzo [5].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Roche es el mayor grupo de oncología del mundo y el líder del diagnóstico in vitro. Farma (≈78 % de las ventas de 2025) vende medicamentos biológicos y moléculas pequeñas en oncología (Tecentriq, Phesgo, Polivy, Columvi), neurología (Ocrevus, Evrysdi), inmunología (Xolair, Actemra), oftalmología (Vabysmo) y hemofilia (Hemlibra), a hospitales, mayoristas y sistemas públicos de salud; Genentech (EE. UU.) y Chugai (Japón, 61,1 %) son sus dos grandes filiales [1, 5]. Diagnóstico (≈22 %) vende analizadores y reactivos de laboratorio central, diagnóstico molecular, patología y punto de atención, y la base instalada genera ventas recurrentes de reactivos [1]. EE. UU. es el primer mercado (48 % de las ventas de 2025), seguido de Europa (24 %) y China (8 %) [1].</w:t>
      </w:r>
    </w:p>
    <w:p>
      <w:pPr>
        <w:pStyle w:val="Heading2"/>
      </w:pPr>
      <w:r>
        <w:t xml:space="preserve">Cómo gana dinero</w:t>
      </w:r>
    </w:p>
    <w:p>
      <w:pPr>
        <w:spacing w:after="100"/>
      </w:pPr>
      <w:r>
        <w:t xml:space="preserve">En Farma, el margen sale de las patentes: un biológico de éxito vende miles de millones durante 10-15 años con un coste de producción bajo, y el margen operativo core de la división es del 53 % en el 1S26 [5]. La I+D (≈20 % de las ventas) es el coste que sostiene el negocio y se paga por adelantado [1]. Cuando una patente vence, las ventas del producto caen un 50-80 % en pocos años ante biosimilares, y por eso el crecimiento depende de lanzar más que lo que se pierde. En Diagnóstico, el modelo es de cuchilla y recambio: casi todas las ventas son reactivos y servicios sobre analizadores instalados, con un margen core del 17,5 % [5]. La divisa pesa mucho: casi todo se vende fuera de Suiza y la empresa informa en francos.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Farma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Farma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48.042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son sistemas públicos de salud, aseguradoras, hospitales, mayoristas (en EE. UU., los tres grandes distribuidores concentran la mayor parte de las ventas de Genentech) y laboratorios clínicos [1]. No hay dependencia de un cliente final, pero sí de los pagadores: los precios los fijan o negocian gobiernos (Medicare en EE. UU., agencias de precios en Europa, compras centralizadas en China). El poder de precios es limitado y decreciente: en Farma, el crecimiento sale del volumen y de la mezcla, no del precio, y Roche espera recortes por la nación más favorecida en EE. UU. [6, 7]. En Diagnóstico, los contratos con laboratorios duran 5-7 años y la tasa de renovación es alta por el coste de cambiar de plataforma.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del grupo, crecimiento a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(ene-sep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3T26: +7 % a tipo constante y +8 % en CHF</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Farma +7 % y Diagnóstico +4 % en nueve meses; el 3T de Japón lleva un adelanto por el cambio de ERP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core diluido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 (2025); 10,85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a tipo constante en 2025; +9 %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franco restó 7 puntos en 2025 y 11 en el 1S26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core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 (2025); 39,0 %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puntos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Farma 53,0 % y Diagnóstico 17,5 % en el 1S26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los cinco motores (Xolair, Hemlibra, Ocrevus, Phesgo, Vabysmo)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16.800 M CHF (ene-sep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Compensan la caída de los productos sin patente (−0,4 bn a tipo constante)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Impacto de pérdidas de exclusividad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bn CHF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−0,6 bn CHF previsto en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Rebajado desde ≈ −1 bn en enero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Avastin, Herceptin, MabThera, Lucentis y Actemra [7, 11,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libre (definición de Roche)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15.336 M CHF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11.807 M (2025); 4.197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en CHF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circulante, compras de intangibles e impuestos en 2025; el 1S26 sube un 26 %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Diagnóstico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13.847 M CHF (2025, +4 % a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10.281 M (ene-sep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Asia-Pacífico −4 % por las reformas de precios en China; Norteamérica +9 %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medicamentos con receta a escala mundial (Farma, el 78 % de las ventas y ≈90 % del beneficio) más el diagnóstico in vitro (el 22 % restante) [15, 18]. Para el tamaño usamos Evaluate (World Preview 2024, 2025 y 2026), que mide ventas con receta en dólares; IQVIA da cifras mayores porque mide gasto a precio de lista (más de 2,6 billones USD en 2030, +5-8 % anual) [16]. El diagnóstico in vitro relevante para Roche suma ≈84.000 M CHF en 2025 (laboratorio central 40.000 M, diabetes 15.000, PCR 9.000, punto de atención 9.000, secuenciación 7.000 y patología 4.000)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billones USD de ventas mundiales con receta en 2025 (estimación propia a partir de Evaluate: más de 2 billones en 2032 con un +7 % anual)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ventas mundiales con receta; Evaluate y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clases terapéuticas (obesidad, inmunología, oncología)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Evaluate prevé ventas con receta de más de 2 billones USD en 2032 (+7 % anual desde 2025), lideradas por obesidad y autoinmunes [15].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de patente y biosimilares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 espera un impacto de ≈0,6 bn CHF en 2026 (0,7 bn en 2025); el primer biosimilar de Xolair en EE. UU. ya se ha lanzado [5,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en EE. UU. (nación más favorecida, aranceles, IRA)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 anuncia 50.000 M USD de inversión en fabricación e I+D en EE. UU., ligada a los acuerdos de precios y aranceles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Reformas de precios del diagnóstico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−4 % a tipo constante en las ventas de Diagnóstico de enero-septiembre de 2026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Envejecimiento y uso de medicamentos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el uso mundial se acerca a 4 billones de dosis diarias en 2030 (+2,7 % anual) [16].</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cinco primeras tienen ≈25 % del mercado; la rivalidad es por áreas (inmunooncología, esclerosis múltiple, cáncer de mama) y se libra con datos clínicos, no con precio, mientras dura la patente [15,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Gobiernos y aseguradoras fijan o negocian precios: nación más favorecida y Medicare en EE. UU., referencias de precios en Europa, compras centralizadas en China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Insumos y fabricación por contrato abundantes; Roche fabrica la mayor parte de sus biológicos.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Desarrollar un fármaco cuesta más de 2.000 M USD y diez años; las biotecnológicas entran con una molécula, pero suelen acabar vendidas o licenciadas a las grandes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Genéricos y biosimilares al vencer la patente: Roche pierde ≈0,6 bn CHF en 2026 y ≈0,7 bn en 2025 [5, 7].</w:t>
            </w:r>
          </w:p>
        </w:tc>
      </w:tr>
    </w:tbl>
    <w:p>
      <w:pPr>
        <w:spacing w:after="160" w:before="0"/>
      </w:pPr>
    </w:p>
    <w:p>
      <w:pPr>
        <w:pStyle w:val="Heading2"/>
      </w:pPr>
      <w:r>
        <w:t xml:space="preserve">Ciclo</w:t>
      </w:r>
    </w:p>
    <w:p>
      <w:pPr>
        <w:spacing w:after="100"/>
      </w:pPr>
      <w:r>
        <w:t xml:space="preserve">La demanda de medicamentos apenas depende del ciclo económico: en 2008-09 el sector siguió creciendo y en 2020 cayeron las visitas y subió la covid; en 2022 el sector bajó menos que el mercado. Lo que se mueve en ciclos es la ola de patentes: 2025-2030 es un periodo de pérdidas de exclusividad grandes para el sector (Keytruda, Eliquis, Stelara) y de precios presionados en EE. UU. [15, 19]. El indicador que lo dice es el porcentaje de ventas en riesgo de genéricos, más alto que en la década anterior.</w:t>
      </w:r>
    </w:p>
    <w:p>
      <w:pPr>
        <w:pStyle w:val="Heading2"/>
      </w:pPr>
      <w:r>
        <w:t xml:space="preserve">Regulación</w:t>
      </w:r>
    </w:p>
    <w:p>
      <w:pPr>
        <w:spacing w:after="100"/>
      </w:pPr>
      <w:r>
        <w:t xml:space="preserve">En EE. UU., la Ley de Reducción de la Inflación (IRA) negocia precios de Medicare para los fármacos más vendidos desde 2026, y la orden de «nación más favorecida» de 2025 presiona para igualar precios con otros países ricos; los aranceles a fármacos importados empujan a fabricar en EE. UU. (Roche: 50.000 M USD de inversión) [6]. En Europa, la nueva legislación farmacéutica acorta la protección de datos, y Alemania aprobó en 2026 una reforma que llevó a Roche a congelar inversiones. En China, las compras centralizadas bajan los precios del diagnóstico [6].</w:t>
      </w:r>
    </w:p>
    <w:p>
      <w:pPr>
        <w:pStyle w:val="Heading2"/>
      </w:pPr>
      <w:r>
        <w:t xml:space="preserve">Tendencias y disrupción</w:t>
      </w:r>
    </w:p>
    <w:p>
      <w:pPr>
        <w:spacing w:after="100"/>
      </w:pPr>
      <w:r>
        <w:t xml:space="preserve">Las grandes tendencias son la obesidad y el metabolismo (el mayor mercado nuevo, liderado por Lilly y Novo), los conjugados anticuerpo-fármaco y los biespecíficos en oncología, las terapias subcutáneas que alargan la vida de los biológicos y la IA en descubrimiento y patología [15]. Roche gana con las subcutáneas (Ocrevus, Phesgo) y la patología digital, y llega tarde a la obesidad, donde compra cartera (Carmot, Zealand, 89bio, Rona). En diagnóstico, la glucosa continua y la secuenciación crecen más que el laboratorio central [18].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oncología y en diagnóstico in vitro; ≈4-5 % de las ventas mundiales de medicamentos con receta (Farma 47.669 M CHF en 2025 sobre ≈1,25 billones USD) y ≈16 % del diagnóstico in vitro relevante (13.847 M CHF sobre ≈84.000 M) [15,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&amp; Johnson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JNJ</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Inmunología, oncología (Darzalex) y neurociencia; 94.193 M USD de ingresos y 26.333 M de EBIT en 2025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Keytruda compite con Tecentriq en inmunooncología; 65.011 M USD y 24.467 M de EBIT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cáncer de mama (Enhertu, camizestrant frente a giredestrant) y pulmón; 58.739 M USD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Novartis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Kesimpta compite con Ocrevus en esclerosis múltiple; 56.674 M USD y 19.005 M de EBIT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43.105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Inmunología (Dupixent frente a Xolair en asma y urticaria); 46.716 M EUR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AbbVie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Inmunología y hematología (Venclexta, socio de Roche); 61.160 M USD y 21.115 M de EBIT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en Diagnóstico (datos y software de laboratorio); en Farma no hay efecto de red.</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Analizadores instalados con contratos de 5-7 años y reactivos cautivos; en Farma, los pacientes estables rara vez cambian de biológico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core de Farma del 53 % (1S26) y ROIC del 28 % durante años, muy por encima de las rivales europeas, sostenidos por patentes y por la cartera [A].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fabricación de biológicos y de I+D (≈12.000 M CHF al año); no es una ventaja de coste unitario frente a otras grandes.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del diagnóstico in vitro con el mayor menú de pruebas y base instalada; pocos rivales pueden cubrir el mismo catálogo [13].</w:t>
            </w:r>
          </w:p>
        </w:tc>
      </w:tr>
    </w:tbl>
    <w:p>
      <w:pPr>
        <w:spacing w:after="160" w:before="0"/>
      </w:pPr>
    </w:p>
    <w:p>
      <w:pPr>
        <w:pStyle w:val="Heading2"/>
      </w:pPr>
      <w:r>
        <w:t xml:space="preserve">Amenazas</w:t>
      </w:r>
    </w:p>
    <w:p>
      <w:pPr>
        <w:spacing w:after="100"/>
      </w:pPr>
      <w:r>
        <w:t xml:space="preserve">Lo que más erosiona el foso es el vencimiento de patentes: Ocrevus, Perjeta, Xolair y Hemlibra pierden exclusividad entre 2028 y 2032, y la protección depende de reemplazarlos con lanzamientos (probabilidad alta de pérdida parcial). La regulación de precios en EE. UU. reduce el valor de cada patente (probabilidad media). En diagnóstico, las compras centralizadas en China y los rivales de bajo coste presionan el laboratorio central (probabilidad media, impacto bajo). La IA puede abaratar el descubrimiento y acortar la ventaja de ser primero.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20.727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2021-2025: ingresos </w:t>
      </w:r>
      <w:r>
        <w:rPr>
          <w:b/>
          <w:bCs/>
        </w:rPr>
        <w:t xml:space="preserve">-1,0 %</w:t>
      </w:r>
      <w:r>
        <w:t xml:space="preserve">, EBITDA </w:t>
      </w:r>
      <w:r>
        <w:rPr>
          <w:b/>
          <w:bCs/>
        </w:rPr>
        <w:t xml:space="preserve">-0,7 %</w:t>
      </w:r>
      <w:r>
        <w:t xml:space="preserve">, BPA </w:t>
      </w:r>
      <w:r>
        <w:rPr>
          <w:b/>
          <w:bCs/>
        </w:rPr>
        <w:t xml:space="preserve">-0,2 %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de 2025 (63.356 M CHF con otros ingresos) son casi las de 2021 (65.850) en francos, pero a tipo constante el grupo creció un 7 % en 2024 y en 2025: la diferencia es la divisa (el franco restó 5-7 puntos al año) y la caída de las ventas de covid (≈−5.000 M entre 2022 y 2023) [1, 2]. El crecimiento es orgánico casi por completo: las compras (Telavant, Carmot, 89bio) son de cartera, sin ventas. El margen EBITDA con los deterioros devueltos pasó del 35,3 % (2021) al 36,9 % (2022), cayó al 34,3 % en 2023 por la covid y está en el 35,6 % en 2025; el margen operativo core subió del 34,4 % al 35,5 % en 2025 y al 39,0 % en el 1S26 por la mezcla (Vabysmo, Ocrevus, Phesgo) y los ahorros [1, 5]. 2023 no es comparable por la caída de covid y 2024 por 5.417 M de deterioros.</w:t>
      </w:r>
    </w:p>
    <w:p>
      <w:pPr>
        <w:pStyle w:val="Heading2"/>
      </w:pPr>
      <w:r>
        <w:t xml:space="preserve">Ajustes y partidas no recurrentes</w:t>
      </w:r>
    </w:p>
    <w:p>
      <w:pPr>
        <w:spacing w:after="100"/>
      </w:pPr>
      <w:r>
        <w:t xml:space="preserve">Roche publica un resultado «core» que excluye la amortización y el deterioro de intangibles y fondo de comercio, las reestructuraciones, los litigios relevantes y los efectos de compras y desinversiones. La diferencia entre el BPA core y el NIIF fue de 3,6 CHF en 2021, 4,9 en 2022, 4,3 en 2023, 8,5 en 2024 y 3,4 en 2025 [1, 2]. Los deterioros se repiten cada año (653-5.417 M) y las reestructuraciones también (0,8 bn en el 1S26), así que no son del todo extraordinarios. En el EBITDA del motor devolvemos solo los deterioros; la reestructuración se queda dentro.</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El 22-oct-2026 (ventas de enero-septiembre), Roche habló de «fuerte impulso»: +6 % a tipo constante en nueve meses y +7 % en el 3T, con Farma +7 % y Diagnóstico +4 % [6, 7]. Confirmó la guía de 2026 y rebajó el impacto de pérdidas de exclusividad a ≈0,6 bn (≈1 bn en julio). Explicó que el +25 % de Japón en el 3T es un adelanto de pedidos por el cambio de sistema ERP de Chugai, que se devolverá en parte; sin él, el grupo crecería ≈6 %. Destacó la cartera: aprobaciones de Tecentriq en colon, Enspryng en TED y Gazyva en síndrome nefrótico, la presentación de fenebrutinib y las fechas de giredestrant [6]. En el 1S26 (23-jul) el mensaje fue el margen: core del 39 % y BPA core +9 % a tipo constante, con el franco restando 11 puntos [12]. Entre una y otra cambia el énfasis: del margen a la cartera y la inversión en EE. UU. La transcripción de las preguntas de los analistas no estaba accesible (hueco).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100.703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Telavant (anticuerpo anti-TL1A), compra de activos cerrada el 14-dic-23 por 7.100 M USD (6.200 M CHF): entra en el balance (intangibles) y no en la cuenta.).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subió de 16.160 M a dic-25 a 22.071 M a jun-26 por el dividendo (8.273 M) que se paga en marzo; a fin de año suele volver a bajar [5]. Es ≈1 vez el EBITDA y la deuda bruta (31.805 M) vence de forma escalonada: 1.130 M en lo que queda de 2026 y 2.700-3.300 M al año hasta 2030. El circulante comercial bajó del 23,9 % de las ventas en 2023 al 20,8 % en 2025, por menos existencias de covid y mejor cobro [1]. La lectura es de un balance muy sólido (AA/Aa2/AA), con espacio para seguir comprando cartera.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62.880</w:t>
      </w:r>
      <w:r>
        <w:t xml:space="preserve">, conversión </w:t>
      </w:r>
      <w:r>
        <w:rPr>
          <w:b/>
          <w:bCs/>
        </w:rPr>
        <w:t xml:space="preserve">107 %</w:t>
      </w:r>
      <w:r>
        <w:t xml:space="preserve"> del beneficio neto; adquisiciones 15.023, dividendos 40.318, recompras 24.915.</w:t>
      </w:r>
    </w:p>
    <w:p>
      <w:pPr>
        <w:spacing w:after="100"/>
      </w:pPr>
      <w:r>
        <w:t xml:space="preserve">Roche convierte en caja más que su beneficio: el FCF acumulado de 2021-2025 (62.880 M) es el 107 % del beneficio neto [1, 2, 3, 4]. 2024 (164 %) es anómalo porque el beneficio contable lleva 5.417 M de deterioros sin salida de caja; 2023 (90 %) y 2025 (89 %) bajan por más circulante y por la inversión en EE. UU. El capex sube de 4.549 M (2021) a 5.779 M (2025), el 9,1 % de las ventas; Roche no separa mantenimiento y crecimiento, y estimamos (estimación propia) que ≈5 % de las ventas es mantenimiento y el resto ampliaciones de capacidad, sobre todo el plan de 50.000 M USD en EE. UU. Las recompras de 2021 (19.000 M a Novartis) se financiaron con deuda; desde entonces solo hay compras de acciones para los planes de remuneración.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las cuentas de 2025; revisión limitada sin salvedades del semestral de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No hay cambios de criterio relevantes en 2021-2025. Roche no capitaliza la I+D interna (solo las compras de cartera y licencias como intangibles), lo que es prudente. La remuneración en acciones es pequeña frente al beneficio. Los deterioros son la partida a vigilar: 11.618 M acumulados en 2021-2025 (Spark, Flatiron y cartera de neurociencia), señal de que parte de las compras no cumple [1, 2, 3, 4]. El reconocimiento de ingresos es sencillo (venta de producto) salvo los descuentos y devoluciones en EE. UU., estimados y provisionados. Los indicadores del motor son buenos: Altman Z de 5,08 (zona segura), Piotroski F de 7 sobre 9 (falla en liquidez corriente y margen bruto) y Beneish M de −2,72, lejos del umbral de manipulación (−1,78). El auditor (KPMG) lleva 17 años, un periodo largo. Confianza alta en las cifras; la diferencia core-NIIF es la que hay que leer con cuidado.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recurrentes de intangibles y fondo de comercio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653 M (2021), 2.965 M (2022), 1.868 M (2023), 5.417 M (2024; 2.122 M del fondo de comercio de Spark y el resto sobre todo de Flatiron), 715 M (2025) y 1.065 M en el 1S26: compras de I+D que no cumplen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core frente a NIIF</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core (19,46 en 2025) excluye amortización y deterioro de intangibles, reestructuraciones y litigios; el NIIF fue 16,04. La brecha media 2021-2025 es de 4,5 CHF por acción [1, 2,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Reestructuraciones casi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planes globales de reestructuración se repiten (0,8 bn en el 1S26) y Roche los excluye del core [5].</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47.866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48.329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51.164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54.367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55.397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7.492 M en 2025 (el 14 % del capital invertido medio); ha subido más de un 5 % en 0 de 4 años: sin compras. ROIC publicado 28,2 %; sin fondo de comercio, 32,7 %. Sin compras relevantes: el publicado ya es el ROIC del negocio.</w:t>
      </w:r>
    </w:p>
    <w:p>
      <w:pPr>
        <w:spacing w:after="100"/>
      </w:pPr>
      <w:r>
        <w:rPr>
          <w:b/>
          <w:bCs/>
        </w:rPr>
        <w:t xml:space="preserve">ROIC incremental</w:t>
      </w:r>
      <w:r>
        <w:t xml:space="preserve"> (variación del NOPAT sobre variación del capital invertido en el periodo): -7,2 % · </w:t>
      </w:r>
      <w:r>
        <w:rPr>
          <w:b/>
          <w:bCs/>
        </w:rPr>
        <w:t xml:space="preserve">WACC</w:t>
      </w:r>
      <w:r>
        <w:t xml:space="preserve">: 6,1 %.</w:t>
      </w:r>
    </w:p>
    <w:p>
      <w:pPr>
        <w:spacing w:after="100"/>
      </w:pPr>
      <w:r>
        <w:t xml:space="preserve">El ROIC de Roche es del 28,2 % en 2025 (27-35 % en 2021-2025; 32,7 % sin fondo de comercio), más de 22 puntos sobre el WACC del 6,11 %: es de los más altos del sector, por encima de Novartis (18,8 %) y AstraZeneca (16,4 %) [32]. El ROE del 39,3 % lo amplía la deuda que financió la recompra a Novartis en 2021 (apalancamiento de 3,1 veces) [4]. El margen neto es del 20,3 % y baja en 2022-2024 por los deterioros (Spark, Telavant parcial, cartera de neurociencia), que hacen negativo el ROIC incremental de 2021-2025 (−7,2 %). El negocio crea valor; lo que no siempre crea valor son las compras de cartera.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25.540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valores negociables de 9.734 M CHF a 30-jun-26 (15.476 M a dic-25) y una línea comprometida de 7.500 M USD que respalda el papel comercial (3.000 M USD emitidos) [5]. Deuda neta de 22.071 M CHF a jun-26 tras pagar 8.273 M de dividendos (16.160 M a dic-25)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AA, Moody’s Aa2 y Fitch AA (máximas notas a corto plazo) [1, 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obligaciones de prestación definida de 3.904 M CHF frente a activos de 1.506 M a jun-26, un déficit bruto de 2.398 M (en el puente, neto de impuestos) [5]. Provisiones por litigios y medioambiente pequeñas en relación con el grupo; Roche tiene abiertos pleitos de patentes y de responsabilidad de producto habituales en el sector, sin uno que sea material según la empresa [1]. Pagos contingentes de compras (hitos de Telavant, Carmot, 89bio y licencias) registrados a valor razonable. No tiene covenants financieros en sus bonos y su papel comercial está respaldado por una línea comprometida de 7.500 M USD. No usa factoring ni confirming de forma relevante. Los minoritarios de Chugai (38,9 %) no son deuda, pero restan valor: se llevan en el puente a precio de mercado.</w:t>
      </w:r>
    </w:p>
    <w:p>
      <w:pPr>
        <w:pStyle w:val="Heading1"/>
      </w:pPr>
      <w:r>
        <w:t xml:space="preserve">12. Asignación de capital</w:t>
      </w:r>
    </w:p>
    <w:p>
      <w:pPr>
        <w:pStyle w:val="Confianza"/>
        <w:spacing w:after="100"/>
      </w:pPr>
      <w:r>
        <w:t xml:space="preserve">Confianza: Alta</w:t>
      </w:r>
    </w:p>
    <w:p>
      <w:pPr>
        <w:spacing w:after="100"/>
      </w:pPr>
      <w:r>
        <w:t xml:space="preserve">La prioridad declarada para la caja es invertir en I+D y en el crecimiento (incluida la fabricación en EE. UU.), luego el dividendo y después las compras de cartera [1]. El dividendo sube en francos cada año: 9,80 CHF por 2025, la subida número 39 seguida, y la guía de 2026 anticipa otra subida [6, 11]. No hay programa de recompra: desde 2021 solo compra acciones para los planes de remuneración. Roche mantiene la calificación AA como límite al endeudamiento y prefiere compras pequeñas o medianas de cartera con pagos por hitos frente a grandes fusiones.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Flatiron Health (datos clínicos oncológicos)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deteriorado en 2024 junto con otros activos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Spark Therapeutics (terapia génica)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2.122 M CHF deteriorado entero en 2024 y reorganización en 2025: compra fallida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53,3 M de acciones al portador a Novartis (amortizadas)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(préstamo puente de 13.500 M CHF, refinanciado con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Acciones diluidas de 860 M (2021) a 808 M (2022): +6 % de BPA [3,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GenMark Diagnostics y TIB Molbiol (diagnóstico molecular)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Diagnóstico molecular; sin deterioros relevantes publicados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Telavant (anti-TL1A, colitis y Crohn)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Afimkibart en fase III; aún sin ventas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Carmot Therapeutics (obesidad: CT-388 y CT-996)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Enicepatida y CT-996 (tifeglipron) con fase II positiva en 2026 [1,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89bio (pegozafermina, MASH) y Poseida (CAR-T alogénico)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89bio: 2.428 M USD más hasta 1.044 M USD de pagos contingentes; Poseida: 1.132 M USD [1].</w:t>
            </w:r>
          </w:p>
        </w:tc>
      </w:tr>
    </w:tbl>
    <w:p>
      <w:pPr>
        <w:spacing w:after="160" w:before="0"/>
      </w:pPr>
    </w:p>
    <w:p>
      <w:pPr>
        <w:spacing w:after="100"/>
      </w:pPr>
      <w:r>
        <w:t xml:space="preserve">Roche reparte casi todo el beneficio: dividendo de 9,80 CHF por 2025 (39 años seguidos al alza) y un pago del 50 % del beneficio core [1, 11]. No recompra acciones desde la compra de la participación de Novartis (2021, 18.991 M CHF, financiada con deuda) [4]. Las compras son de cartera y en efectivo: Telavant (6.220 M en 2023), Carmot, 89bio, Rona y la licencia de Hansoh, con pagos por hitos [A, D11]. El ROIC del 28 % muestra que el capital rinde muy por encima de su coste, aunque el ROIC incremental de 2021-2025 es negativo por los deterioros (Spark, 2.122 M) y la caída de las ventas covid. La deuda neta del 1S26 (22.071 M, ≈1 vez el EBITDA) deja margen para seguir comprando sin tocar el dividendo [5].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Schinecker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Roche Group)</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dirigió Roche Diagnostics (2019-2023). Con él, la guía de 2023, 2024 y 2025 se cumplió o se superó y el margen operativo core pasó del 32,8 % (2023) al 35,5 % (2025) [11, 13].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Alan Hippe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2011; ha mantenido la calificación AA y financió con deuda la recompra de 19.000 M CHF a Novartis en 2021 [4, 13].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Severin Schwan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2008 a 2023; reelegido presidente en 2026 con el 97,75 % de los votos; tiene 265.962 acciones y 91.693 bonos [13,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Teresa Graham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Roche Pharmaceuticals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Farma: margen operativo core del 53,0 % en el 1S26, +2,0 puntos [5, 13].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Matt Sause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de Roche Diagnostics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Dirige Diagnóstico: ventas +4 % a tipo constante en 2026 pese a China; lanzamientos de AXELIOS 1 y del espectrómetro cobas i 601 [7, 13].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crecimiento bajo a medio de un dígito; BPA core en línea con las ventas (tipo constante)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+9 %; BPA core +6 %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estables a crecimiento bajo de un dígito; BPA core: bajo a medio de un dígito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+2 %; BPA core +5 %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caída baja de un dígito (fin de la COVID); BPA core en línea con las ventas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+1 %; BPA core +6 % (+1 % sin la resolución de disputas fiscales)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crecimiento medio de un dígito; BPA core: alto de un dígito sin el efecto fiscal de 2023 (subida en el 1S)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+7 %; BPA core +12 % (+7 % con el efecto fiscal)</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medio de un dígito; BPA core: alto de un dígito a bajo de dos dígitos (subida desde alto de un dígito)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+7 %; BPA core +11 %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medio de un dígito; BPA core: alto de un dígito; dividendo al alza (tipo constante)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Ene-sep: ventas +6 %; 1S: BPA core +9 % (guía confirmada el 22-oct)</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es alta: Roche cumplió o superó su guía anual en 2021-2025 y la de 2026 va camino de cumplirse [7, 11, 22, 23, 24, 25]. El equipo es estable: Thomas Schinecker (consejero delegado desde 2023) y el director financiero Alan Hippe (desde 2011) han mantenido la disciplina de margen y la calificación AA. La sucesión es interna y ordenada: Schwan pasó de consejero delegado a presidente en 2023 y los jefes de Farma y Diagnóstico llegaron ese año. El punto débil es la I+D: varios fracasos de cartera (tiragolumab, gantenerumab) y deterioros entre 2022 y 2024. El consejo propone ahora a Christophe Weber, ex consejero delegado de Takeda [7].</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Severin Schwan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Presidencia y 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 Hoffmann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sostenibilidad (presidente); presidencia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Jörg Duschmalé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Frost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Anita Hauser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presidencia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Akiko Iwasaki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P. Lifton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Jemilah Mahmood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Schneider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Claudia Suessmuth Dyckerhoff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sostenibilidad;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Lubomira Rochet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Severin Schwan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61,9 %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las cuentas de 2025; revisión limitada sin salvedades del semestral de 2026</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Pacto de voto de las familias Hoffmann y Oeri (desde 1948)</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69,318 M de acciones al portador = 64,97 %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2024-2025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Maja Oeri (fuera del pacto)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4,05 M de acciones al portador = 3,79 %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7,58 % al 3,79 % de los votos en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Melchior Oeri (fuera del pacto)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4,05 M de acciones al portador = 3,79 %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en 2025 (recibió la mitad del paquete de Maja Oeri)</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12,5 M de títulos (0,4 M acciones y 12,1 M bonos de participación) para los planes de remuneración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13,6 M a dic-25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del comité ejecutivo depende del beneficio operativo core, del crecimiento de ventas a tipo constante, del beneficio operativo después del coste del capital (OPACC) y de objetivos individuales, y se paga en efectivo [13]. El largo plazo se da en derechos de revalorización (S-SARs) y acciones restringidas (RSU) que maduran en tres-cuatro años; el valor sale de la cotización, no de un ROIC o un TSR relativo explícito. La junta del 10-mar-2026 aprobó la remuneración con el 90-98 % a favor, pero el pacto familiar (65 % de los votos) vota siempre a favor: entre el capital libre presente el voto en contra pudo llegar hasta ≈62 % (cota superior) [21].</w:t>
      </w:r>
    </w:p>
    <w:p>
      <w:pPr>
        <w:pStyle w:val="Heading2"/>
      </w:pPr>
      <w:r>
        <w:t xml:space="preserve">Operaciones vinculadas, estructura de control y defensas</w:t>
      </w:r>
    </w:p>
    <w:p>
      <w:pPr>
        <w:spacing w:after="100"/>
      </w:pPr>
      <w:r>
        <w:t xml:space="preserve">El pacto de voto de las familias Hoffmann y Oeri, vigente desde 1948, tiene 69,3 M de acciones al portador, el 65 % de los votos con solo ≈8,6 % del capital económico [1]. Los bonos de participación (ROP), el 87 % del capital, tienen los mismos derechos económicos pero no votan. Es una estructura de doble clase que hace imposible una oferta hostil y deja al minoritario sin voz en la junta. En 2026, con el canje, Roche pagó 0,999 CHF por acción al portador para igualarla con los bonos de participación, un pago que solo reciben quienes votan [5]. No hay operaciones vinculadas relevantes con la familia.</w:t>
      </w:r>
    </w:p>
    <w:p>
      <w:pPr>
        <w:pStyle w:val="Heading2"/>
      </w:pPr>
      <w:r>
        <w:t xml:space="preserve">Señales de alerta</w:t>
      </w:r>
    </w:p>
    <w:p>
      <w:pPr>
        <w:pStyle w:val="ListParagraph"/>
        <w:numPr>
          <w:ilvl w:val="0"/>
          <w:numId w:val="2"/>
        </w:numPr>
        <w:spacing w:after="60"/>
      </w:pPr>
      <w:r>
        <w:t xml:space="preserve">Control familiar: el pacto Hoffmann-Oeri decide la junta con el 8,6 % del capital; los bonos de participación (ROP, 87 % del capital) no votan.</w:t>
      </w:r>
    </w:p>
    <w:p>
      <w:pPr>
        <w:pStyle w:val="ListParagraph"/>
        <w:numPr>
          <w:ilvl w:val="0"/>
          <w:numId w:val="2"/>
        </w:numPr>
        <w:spacing w:after="60"/>
      </w:pPr>
      <w:r>
        <w:t xml:space="preserve">Pago de 0,999 CHF por acción al portador (106,6 M CHF) en 2026 para igualarla con los nuevos bonos de participación: favorece solo a los que votan.</w:t>
      </w:r>
    </w:p>
    <w:p>
      <w:pPr>
        <w:pStyle w:val="ListParagraph"/>
        <w:numPr>
          <w:ilvl w:val="0"/>
          <w:numId w:val="2"/>
        </w:numPr>
        <w:spacing w:after="60"/>
      </w:pPr>
      <w:r>
        <w:t xml:space="preserve">Roche suspende inversiones en Alemania por la reforma sanitaria (19-oct-2026).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22-oct-2026 Roche confirmó la guía de 2026 (fijada el 29-ene y confirmada el 23-jul): ventas del grupo +un dígito medio y BPA core +un dígito alto, ambos a tipo de cambio constante, y dividendo de nuevo al alza en francos [6]. A tipos del 30-sep, la divisa resta ≈3 puntos a las ventas y ≈5 al BPA core del año. El impacto de pérdidas de exclusividad baja a ≈0,6 mil millones (≈1 mil millones en julio) [6]. No hay plan con cifras a medio plazo; en el Pharma Day (sep-2026) la dirección presentó una fase III con 12 moléculas nuevas y 19 indicaciones adicionales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2"/>
        <w:gridCol w:w="1302"/>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Encuesta de consenso de Roche tras el 1S26 (31-ago-2026, 17 analistas): ventas + otros ingresos, beneficio operativo core y BPA core; EBITDA = core + ≈2.700 M de depreciación [31]. Stock Analysis (S&amp;P Global, 20-oct): ingresos 63.070 M y BPA 20,55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Roche (31-ago, 17 analistas) [31]; Stock Analysis: ingresos 66.190 M y BPA 22,13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consenso gratuito verificable a la fecha de corte (Stock Analysis lo reserva a suscriptores; Stocksguide bloquea el acceso)</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64.504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67.624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26.464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9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386,36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250,00 – 440,00</w:t>
            </w:r>
          </w:p>
        </w:tc>
      </w:tr>
    </w:tbl>
    <w:p>
      <w:pPr>
        <w:spacing w:after="160" w:before="0"/>
      </w:pPr>
    </w:p>
    <w:p>
      <w:pPr>
        <w:pStyle w:val="Heading2"/>
      </w:pPr>
      <w:r>
        <w:t xml:space="preserve">Revisiones de estimaciones</w:t>
      </w:r>
    </w:p>
    <w:p>
      <w:pPr>
        <w:spacing w:after="100"/>
      </w:pPr>
      <w:r>
        <w:t xml:space="preserve">El BPA core de 2026 del consenso apenas se ha movido en el año: 20,33 en la encuesta de Roche de agosto [31] y 20,55 en S&amp;P Global (20-oct) [28]; 2027e entre 21,99 y 22,13. Lo que ha subido son los objetivos: Oddo BHF pasó el 20-oct de infraponderar a sobreponderar con objetivo de 440 CHF (antes 300) [33]; RBC 400 y UBS 376, mientras Deutsche Bank (340) y JPMorgan (325) siguen en mantener [28]. El 3T26 (22-oct) fue solo de ventas: superó en ingresos con farma algo por debajo [14]. MarketScreener no es accesible; se contrastó con Stock Analysis y MarketBeat (ADR RHHBY: 13 analistas, objetivo 60 USD, ≈396 CHF por acción a 8 ADR por título) [28, 30].</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-42,3 %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Roche ha pasado de rezagada a líder del SMI: +48,3 % en un año con dividendos frente a +18,3 % del índice y +10,5 % del sector farmacéutico europeo, y +22,2 % anual a tres años [26]. Antes, de 2022 a mayo de 2024 cayó un 42 %: fracasos de la cartera (tiragolumab, gantenerumab), la caída de las ventas covid y el franco fuerte [A]. El cambio llegó con el crecimiento del 6-8 % a tipo constante cada trimestre desde 2024, el margen core al alza (39 % en el 1S26), la compra de cartera en obesidad e inmunología y un riesgo de genéricos menor que el de sus rivales (&lt;30 % de las ventas hasta 2032 frente a &gt;70 % en Novartis, según Oddo) [8, A]. A cinco y diez años aún va por detrás del SMI (5,3 % frente a 7,7 % anual).</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 / +9,8 % / +23,7 % / +41,6 %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 +53,5 %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2027-02-04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BPA core 10,85 CHF (+9 % a tipo constante), margen core del 39 % y guía confirmada; varios bancos subieron objetivos en los días siguientes [5,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un día sin noticia propia identificada en las fuentes revisadas (prensa suiza, Seeking Alpha, web de Roche); coincide con la antesala del Pharma Day del 28-sep y con datos de cartera en congresos de oncología. Sin efecto en la tesis [26, 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14-oct a 20-oct-2026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Racha de noticias: compra de Rona (obesidad, 13-oct), aprobación de Enspryng en TED (16-oct), licencia de ADC de Hansoh (19-oct) y doble subida de Oddo BHF a sobreponderar con objetivo 440 (20-oct, +2,6 % ese día). No llega al 15 % en un mes (mayor subida mensual en 6 meses: +11,9 %) [14, 27,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enero-septiembre 46.493 M CHF (+6 % a tipo constante, +1 % en francos); 3T +7 % a tipo constante y +8 % en francos. Farma +7 % (Japón +25 % por el cambio de sistema ERP de Chugai), Diagnóstico +4 %. Guía confirmada; pérdidas de exclusividad rebajadas a ≈0,6 mil millones [6]. La acción cerró plana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propone a Christophe Weber, ex consejero delegado de Takeda, como consejero en la junta del 9-mar-2027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Oddo BHF sube Roche dos escalones, de infraponderar a sobreponderar, y el objetivo de 300 a 440 CHF: ve menos riesgo de genéricos que en sus rivales y más crecimiento por la cartera [33,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conjugados anticuerpo-fármaco de Hansoh por hasta 14.000 M USD (pagos por hitos); el mismo día Roche congela inversiones en Alemania por la reforma sanitaria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Rona Therapeutics (ARN de interferencia para obesidad) por hasta 1.160 M USD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da revisión prioritaria a fenebrutinib en esclerosis múltiple; giredestrant (cáncer de mama) tiene fechas de decisión el 30-nov-2026 (temprano) y el 18-dic-2026 (avanzado) [6,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2026-03-17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banco francés rebajó Roche a neutral por potencial limitado (cash.ch); revertido en la práctica por la subida posterior y la mejora de Oddo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en máximos de 52 semanas y a un 1 % de su máximo histórico (400,55), con tendencia alcista (16 % sobre la media de 200 sesiones) y +23,7 % en seis meses. Lo explican unos resultados que cumplen cada trimestre, el margen core al alza y una racha de compras de cartera y mejoras de recomendación en octubre. No hay colocaciones, ampliaciones ni ventas anunciadas del pacto familiar; los próximos resultados, a principios de febrero, quedan a más de tres meses (regla 11: no retrasan). Se buscó en la web de inversores de Roche, cash.ch, finanzen.ch, vermoegenszentrum (AWP), Seeking Alpha, Stock Analysis y MarketBeat. Ninguna noticia retrasa ni descarta: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beneficio contable (NIIF), Roche cotiza a 25,5 veces el de los últimos 12 meses, por encima de su máximo de cierre de 2021-2025 (24,8 veces) y de su media (20,5), y a 16,0 veces el EBITDA frente a 10,7 de media. La lectura exagera la prima: el beneficio contable de 2022-2024 lleva deterioros de hasta 5.400 M al año. Con el BPA core, la misma base que los escenarios, el PER adelantado de hoy (18,1 veces el BPA de 2027e) supera la mediana de 2021-2025 (15,6 veces) y la media de 2018-2025 (15,1), y solo 2021 (18,7) fue más caro [10, 26]. Lo que ha cambiado es el riesgo percibido: menos genéricos por delante que los rivales y un crecimiento del 6-8 % a tipo constante cada trimestre desde 2024 [6, 8, 9].</w:t>
      </w:r>
    </w:p>
    <w:p>
      <w:pPr>
        <w:pStyle w:val="Heading1"/>
      </w:pPr>
      <w:r>
        <w:t xml:space="preserve">18. Comparables cotizados</w:t>
      </w:r>
    </w:p>
    <w:p>
      <w:pPr>
        <w:pStyle w:val="Confianza"/>
        <w:spacing w:after="100"/>
      </w:pPr>
      <w:r>
        <w:t xml:space="preserve">Confianza: Media</w:t>
      </w:r>
    </w:p>
    <w:p>
      <w:pPr>
        <w:spacing w:after="100"/>
      </w:pPr>
      <w:r>
        <w:t xml:space="preserve">Las grandes farmacéuticas mundiales con cartera de especialidad (oncología, inmunología, neurología) y escala comparable: Novartis (el rival suizo directo), AstraZeneca, Merck, Sanofi, GSK, Johnson &amp; Johnson, Pfizer, AbbVie y Bristol-Myers. Fuera Eli Lilly (32,9 veces, por la obesidad) y Novo Nordisk (11,7 veces, por su caída): son casos extremos de un solo segmento y la mediana no cambia con ellos (16,0 veces). No hay un comparable puro del diagnóstico de Roche (Abbott y Danaher mezclan otros negocios).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315.456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Novartis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219.340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&amp; Johnson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523.552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Pfizer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AbbVie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Bristol-Myers Squibb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103.536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 / 14,0x / 14,5x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 / 16,0x / 17,5x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347,69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3,2x / 4,8x / 6,1x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Roche cotiza a ≈18 veces el BPA core de los próximos 12 meses frente a 16,0 de mediana de las grandes farmacéuticas (17,5 el percentil 75), y a 16,0 veces el EBITDA de los últimos 12 meses frente a 14,0 [29, 32]. La prima es de un 10-15 %, la misma que pagan Novartis (16,6x) y Merck (17,5x) frente a las europeas con problemas de patentes (GSK 10,3x, Sanofi 8,7x) y por debajo de Johnson &amp; Johnson (23,7x). Se justifica en parte: ROIC del 28 % (mediana del grupo ≈18 %), deuda baja (1,0 vez el EBITDA) y menos ventas expuestas a genéricos hasta 2032. No se justifica por crecimiento: el de Roche en francos (≈2 % en 2026, ≈4,5 % en 2027) es inferior al de AbbVie, Novartis o AstraZeneca. Usaríamos 16-17 veces: la mediana más la mitad de la prima de calidad. A la mediana, la acción valdría 347,69 CHF (−11,1 %).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fijo en +2,0 % en francos: tres trimestres publicados (+6 % a tipo constante, +1 % en francos hasta septiembre) y la guía de un dígito medio a tipo constante, con ≈3 puntos de divisa en contra [6, 7]. 2027e +4,5 %, en línea con el consenso (+4,6-4,9 %) [28, 31]. Desde 2028e baja de 4,5 % a 1,0 %: entre 2029 y 2032 pierden la patente Ocrevus, Perjeta, Xolair y parte de Hemlibra, y el crecimiento depende de lanzamientos (giredestrant, fenebrutinib, obesidad). Es menos que el mercado (+5-8 % anual según IQVIA y Evaluate) [15, 16, 19, 20], porque el franco resta 1-2 puntos al año en la última década: las ventas en francos de 2025 son las de 2021 (−1 % anual).</w:t>
      </w:r>
    </w:p>
    <w:p>
      <w:pPr>
        <w:keepNext/>
        <w:spacing w:after="100"/>
      </w:pPr>
      <w:r>
        <w:rPr>
          <w:b/>
          <w:bCs/>
        </w:rPr>
        <w:t xml:space="preserve">Márgenes.</w:t>
      </w:r>
    </w:p>
    <w:p>
      <w:pPr>
        <w:spacing w:after="100"/>
      </w:pPr>
      <w:r>
        <w:t xml:space="preserve">Margen EBITDA NIIF con los deterioros devueltos: 35,6 % en 2025, 36,1 % en los últimos 12 meses; el margen core del 1S26 es del 39 % [1, 5]. Proyectamos 36,5 % en 2026e y 37,5 % desde 2028e: los ahorros del programa de reestructuración de Diagnóstico y la mezcla (Vabysmo, Ocrevus subcutáneo, Phesgo) lo sostienen, y el consenso espera un margen core del 36,5 % y del 37,5 % sobre ventas en 2026-2027 [31]. Dejamos dentro ≈3 puntos de reestructuración y otros costes que Roche saca del core porque se repiten cada año. Bajamos al 37 % desde 2032 por las pérdidas de exclusividad. Nuestro EBITDA de 2026e y 2027e queda a menos de un 1 % del consenso homogéneo.</w:t>
      </w:r>
    </w:p>
    <w:p>
      <w:pPr>
        <w:keepNext/>
        <w:spacing w:after="100"/>
      </w:pPr>
      <w:r>
        <w:rPr>
          <w:b/>
          <w:bCs/>
        </w:rPr>
        <w:t xml:space="preserve">Inversión y circulante.</w:t>
      </w:r>
    </w:p>
    <w:p>
      <w:pPr>
        <w:spacing w:after="100"/>
      </w:pPr>
      <w:r>
        <w:t xml:space="preserve">Capex del 9,0 % de las ventas en 2026-2027 (9,1 % en 2025; 7,3-8,0 % en 2021-2024) por el plan de 50.000 M USD en EE. UU. en cinco años, y bajando al 7,0 % al final [1, 6]. La amortización sube del 5,4 % al 6,8 %, para que en el último año el capex la cubra con poco margen. Circulante comercial al 21 % de las ventas, su nivel real (20,8 % en 2025; existencias 7.479 + clientes 11.506 − proveedores 5.779) [1]. Las compras de cartera (licencias y empresas pequeñas) no van en el capex: se tratan como parte del gasto de I+D que sostiene el crecimiento terminal.</w:t>
      </w:r>
    </w:p>
    <w:p>
      <w:pPr>
        <w:keepNext/>
        <w:spacing w:after="100"/>
      </w:pPr>
      <w:r>
        <w:rPr>
          <w:b/>
          <w:bCs/>
        </w:rPr>
        <w:t xml:space="preserve">Coste del capital.</w:t>
      </w:r>
    </w:p>
    <w:p>
      <w:pPr>
        <w:spacing w:after="100"/>
      </w:pPr>
      <w:r>
        <w:t xml:space="preserve">Tasa libre del 0,59 %: bono de la Confederación a 10 años, media de septiembre (OCDE vía FRED) [42]. Prima de mercado del 5,5 %. Beta 1,07: la propia mensual de 5 años frente al SMI (0,97) [26] desapalancada con la deuda de Roche (D/E de mercado 10,0 %, impuestos 18 %) da 0,90; la de Damodaran para farmacéuticas europeas, 1,09 [36]. La media (0,99) se reapalanca con la deuda propia de Roche: 1,07. Coste de la deuda del 3,0 % antes de impuestos (calificación AA; bonos en CHF ≈1 %, EUR ≈3 %, USD ≈4,5-5 %) con un peso del 9,1 % a mercado. Sin prima adicional: vende en todo el mundo y es de las empresas menos arriesgadas del índice. WACC 6,11 %. Con la prima implícita del mercado (4,2 %) sería del 4,85 % [43].</w:t>
      </w:r>
    </w:p>
    <w:p>
      <w:pPr>
        <w:keepNext/>
        <w:spacing w:after="100"/>
      </w:pPr>
      <w:r>
        <w:rPr>
          <w:b/>
          <w:bCs/>
        </w:rPr>
        <w:t xml:space="preserve">Valor terminal.</w:t>
      </w:r>
    </w:p>
    <w:p>
      <w:pPr>
        <w:spacing w:after="100"/>
      </w:pPr>
      <w:r>
        <w:t xml:space="preserve">Crecimiento a perpetuidad del 0,8 %, la inflación a largo plazo que prevé el BNS para el franco; la tasa libre (0,59 %) queda por debajo, lo que limita el terminal a la inflación y sin crecimiento real. Con el 0,3 % el valor bajaría a 333,87 CHF y con el 1,3 % subiría a 387,36. El valor terminal pesa el 64 % del valor empresa. El múltiplo de salida de contraste (12 veces el EBITDA) está por debajo de los comparables actuales (14,0x), coherente con un negocio maduro en 2035.</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11.699</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371.891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361.588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337.394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288.984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-0,2 %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332,34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448,25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15.938 M (8 %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 (reinvierte el 33 %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 (histórico: -7,2 %)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frente al 2,5 %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15.938 M, el 8 % del NOPAT, con un capex bruto medio del 7,9 % de las ventas). En un negocio de activos ligeros, el crecimiento medio del 2,5 %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+6,0: ventas a tipo constante del +6 % hasta septiembre y guía de un dígito medio [6]. Precio −0,5: reformas en EE. UU. (nación más favorecida) y Alemania, y la presión en China en Diagnóstico [7, 14]. Otros −3,5: divisa (≈−3 puntos) y menor contribución de otros ingresos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+5,0: Vabysmo, Ocrevus subcutáneo, Phesgo, Polivy, Columvi y Lunsumio, más Diagnóstico (+4-5 %) [7]. Precio −0,5: la misma presión regulatoria. Sin divisa: tipos de 2026. El consenso espera un +4,6-4,9 % [28, 31].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+5,0: lanzamientos de giredestrant (decisiones de la FDA en nov-dic 2026) y fenebrutinib (revisión prioritaria), y la plataforma de diagnóstico continuo de glucosa [6, 18]. Precio −0,5.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+4,0: los lanzamientos compensan el inicio de las pérdidas de exclusividad de Ocrevus y Perjeta. Precio −0,5.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+3,5: genéricos y biosimilares de Xolair y Hemlibra empiezan a restar; Oddo estima menos del 30 % de las ventas expuestas hasta 2032 [33]. Precio −0,5.</w:t>
            </w:r>
          </w:p>
        </w:tc>
      </w:tr>
    </w:tbl>
    <w:p>
      <w:pPr>
        <w:spacing w:after="160" w:before="0"/>
      </w:pPr>
    </w:p>
    <w:p>
      <w:pPr>
        <w:spacing w:after="100"/>
      </w:pPr>
      <w:r>
        <w:t xml:space="preserve">Sí. La proyección pide un crecimiento medio del 2,6 % anual en francos, por debajo del mercado farmacéutico (+5-8 % anual en dólares hasta 2030) [15, 16] y del +6-8 % a tipo constante que Roche consigue cada trimestre desde 2024 [6, 8, 9]. Con un ROIC del 28 %, el crecimiento que se financia con la reinversión es del 9,4 %, muy por encima del proyectado. La duda está en el precio: suponemos medio punto de caída al año por las reformas de EE. UU. y Europa, y la divisa, que ha restado 1-2 puntos al año en la última década. El crecimiento histórico en francos (−1 % anual en 2021-2025) está deformado por las ventas de covid de 2021-2022. No se mide la cuota: el mercado de la sección 3 no tiene el mismo perímetro que las ventas del grupo.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 (base: 2,6 %)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39,3 % (base: 37,0 %)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(WACC: 6,1 %)</w:t>
            </w:r>
          </w:p>
        </w:tc>
      </w:tr>
    </w:tbl>
    <w:p>
      <w:pPr>
        <w:spacing w:after="160" w:before="0"/>
      </w:pPr>
    </w:p>
    <w:p>
      <w:pPr>
        <w:spacing w:after="100"/>
      </w:pPr>
      <w:r>
        <w:t xml:space="preserve">El DCF da 358,10 CHF por acción, un 8,4 % por debajo del precio, con un WACC del 6,11 % y un valor terminal que pesa el 64 %. Con la prima implícita del mercado (WACC 4,85 %) subiría a 490,85. El DCF inverso dice que el precio de 390,90 descuenta un crecimiento del 3,8 % anual en 2027-2035e frente al 2,6 % de nuestro caso base, o una rentabilidad implícita del 5,7 % anual, algo por debajo del WACC (6,11 %) y por encima de lo que pide hoy el mercado a su beta (4,8 %). La distancia es pequeña: un punto más de crecimiento al año en francos, que Roche consiguió a tipo constante en 2024-2026. El precio no es caro para la calidad, pero tampoco deja margen de seguridad.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Giredestrant o fenebrutinib decepcionan en la FDA o en ventas, la nación más favorecida baja los precios en EE. UU. y el franco sigue fuerte: crecimiento 1,5 puntos menor cada año y margen 2 puntos menor; perpetuidad del 0,5 %. El BPA core de 2028e se queda en 20,6 CHF.</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 mantiene un crecimiento del 4-5 % a tipo constante hasta 2028, con los lanzamientos compensando las primeras pérdidas de exclusividad; el franco resta 1-2 puntos y el margen EBITDA sube al 37,5 %. BPA core de 22,8 CHF en 2028e.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401,11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Giredestrant se convierte en tratamiento estándar en cáncer de mama hormonal, la obesidad entra en fase III con datos competitivos y Diagnóstico acelera con la glucosa continua: un punto más de crecimiento y de margen cada año. BPA core de 23,7 CHF en 2028e.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CHF) · precio actual 39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349,77 CHF (-10,5 %).</w:t>
      </w:r>
    </w:p>
    <w:p>
      <w:pPr>
        <w:spacing w:after="100"/>
      </w:pPr>
      <w:r>
        <w:t xml:space="preserve">Por valor intrínseco: 281,75, 358,10 y 401,11 CHF (−27,9 %, −8,4 % y +2,6 %). La asimetría es mala (0,09 veces): solo el alcista supera el precio, y por poco. A 12 meses, con nuestros BPA y el PER de la regla común, el cuadro es parecido: bajista 267,80 (−29 %), base 383,04 (+0,5 % con dividendo) y alcista 398,16 (+4,4 %). El alcista usa el mismo PER que el base porque ni la historia ni los comparables pagan más de 16,8 veces. El mercado ya paga el escenario base y parte del alcista. Con la prima implícita del mercado el DCF subiría a 490,85: la acción solo está barata si se acepta una rentabilidad del 4,8 %.</w:t>
      </w:r>
    </w:p>
    <w:p>
      <w:pPr>
        <w:pStyle w:val="Heading1"/>
      </w:pPr>
      <w:r>
        <w:t xml:space="preserve">22. Suma de partes</w:t>
      </w:r>
    </w:p>
    <w:p>
      <w:pPr>
        <w:pStyle w:val="Confianza"/>
        <w:spacing w:after="100"/>
      </w:pPr>
      <w:r>
        <w:t xml:space="preserve">Confianza: Media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CHF) · precio actual 39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392,85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353,31 CHF (-9,6 % sobre 390,90).</w:t>
      </w:r>
    </w:p>
    <w:p>
      <w:pPr>
        <w:spacing w:after="100"/>
      </w:pPr>
      <w:r>
        <w:t xml:space="preserve">Pesos: DCF 50 %, comparables 30 % y escenarios 20 %. Las transacciones no pesan: las compras del sector son de biotecnológicas sin beneficio y el control familiar hace imposible una oferta por Roche. El DCF pesa más porque Roche es un negocio maduro y predecible; los comparables recogen cómo paga el mercado a las grandes farmacéuticas (16 veces el BPA adelantado). Los métodos coinciden: 358,10 por DCF, 334,83-347,69 por comparables y 349,77 por escenarios. El valor ponderado es de 353,31 CHF (−9,6 %), con un rango entre el bajista (281,75) y el alcista (401,11). Con la prima implícita del mercado (4,2 %), el valor sube a 445,34 (+13,9 %): la regla absoluta da Vender y la relativa Comprar, y por eso la convicción es baja. Nuestra recomendación sigue a la regla a 12 meses: Mantener.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(18.1x) a mitad de camino hacia abajo, hacia la mediana de 5 años (15.6x)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383,04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398,16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spacing w:after="100"/>
      </w:pPr>
      <w:r>
        <w:rPr>
          <w:b/>
          <w:bCs/>
        </w:rPr>
        <w:t xml:space="preserve">Objetivo a 12 meses (ponderado):</w:t>
      </w:r>
      <w:r>
        <w:t xml:space="preserve"> 358,01 CHF · rentabilidad -5,9 % (base +0,5 %) · señal Mantener.</w:t>
      </w:r>
    </w:p>
    <w:p>
      <w:pPr>
        <w:spacing w:after="100"/>
      </w:pPr>
      <w:r>
        <w:t xml:space="preserve">Para comparar, con la regla v2 (historia al cierre, mismo precio): 13,2x / 14,3x / 16,0x, -14,1 %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core de 2026e (20,2) y de 2027e (21,6) queda un 1-2 % por debajo del consenso (20,33-20,55 y 21,99-22,13) [28, 31], sobre todo por la divisa, que el consenso de agosto aún no recogía entera (≈−5 puntos en 2026 a tipos de septiembre) [6]. En ingresos y EBITDA estamos a menos de un 1 % del consenso de Roche. Nuestro precio base a 12 meses (383,04 CHF) queda un 0,9 % por debajo del objetivo medio de los analistas (386,36); la dispersión es grande (250-440) y la media incluye objetivos antiguos (JPMorgan 325, Deutsche Bank 340) y nuevos (Oddo 440) [28, 33].</w:t>
      </w:r>
    </w:p>
    <w:p>
      <w:pPr>
        <w:keepNext/>
        <w:spacing w:after="100"/>
      </w:pPr>
      <w:r>
        <w:rPr>
          <w:b/>
          <w:bCs/>
        </w:rPr>
        <w:t xml:space="preserve">Del valor intrínseco al objetivo a 12 meses.</w:t>
      </w:r>
    </w:p>
    <w:p>
      <w:pPr>
        <w:spacing w:after="100"/>
      </w:pPr>
      <w:r>
        <w:t xml:space="preserve">Objetivo a 12 meses de 358,01 CHF (ponderado 25/50/25; simple 349,67), un −5,9 % con dividendo; el base da +0,5 %. Con la regla v2 (historia al cierre) saldría un −14,1 %. La misma base de BPA en todo: la historia del PER y los tres casos usan el BPA core diluido. El BPA base de 2028e (22,8) crece un 5,4 % anual sobre el core de 2025 (19,46), por debajo del +8 % del consenso para 2027, porque el franco resta. El valor intrínseco (353,31) queda un 1,3 % por debajo del objetivo a 12 meses: las dos medidas dicen lo mismo, que el precio ya recoge el escenario base. Se compraría por debajo de 319,83 y se vendería por encima de 408,68.</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giredestrant en cáncer de mama (enfermedad temprana)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aprobación ya está en el consenso; un retraso restaría ≈3-5 % a la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giredestrant en enfermedad avanzada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el lanzamiento de 2027; sostiene el +5 % de volumen de 2028e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Hacia el 4-feb-2027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guía de BPA core de un dígito alto a tipo constante confirma el base (21,6 en 2027e); por debajo, el bajista gana peso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fenebrutinib en esclerosis múltiple (revisión prioritaria)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Protege las ventas de neurología frente a la pérdida de patente de Ocrevus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(dividendo de 2026; Christophe Weber al consejo)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dividendo número 40; sin efecto en el valor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fase II/III en obesidad (petrelintide, CT-388) y aranceles o nación más favorecida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Opción no incluida en el base; la regulación de precios es el riesgo principal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en EE. UU.: nación más favorecida, aranceles a fármacos y negociación de Medicare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inversión de 50.000 M USD en EE. UU. y fabricación local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netos de EE. UU. con caídas de más del 3 %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 o retraso de lanzamientos clave (giredestrant, fenebrutinib, obesidad)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(escenario bajista a 12 meses: −29 %)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amplia (12 moléculas nuevas y 19 indicaciones adicionales en fase III) y Diagnóstico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Respuesta completa de la FDA o datos de fase III por debajo del estándar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5 % de apreciación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francos menores que las ventas en francos solo en parte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USD/CHF por debajo de 0,78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de exclusividad 2028-2032 (Ocrevus, Perjeta, Xolair, Hemlibra)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Versiones subcutáneas y combinaciones fijas (Ocrevus Zunovo, Phesgo) que alargan la vida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Biosimilares aprobados antes de lo previsto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del PER del sector (rotación hacia cíclicas, menos apetito por defensivas)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(de 18 a 15,6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del 2,5 % y beta cercana 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Mediana del PER adelantado de comparables por debajo de 14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o deterioros de cartera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por hitos y deuda baja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más de 10.000 M CHF o nuevos deterioros de más de 2.000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Diagnóstico en China (compras centralizadas y reforma de precios)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Diagnóstico es ≈22 % de las ventas y China una parte pequeña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Diagnóstico por debajo del +2 % a tipo constante</w:t>
            </w:r>
          </w:p>
        </w:tc>
      </w:tr>
    </w:tbl>
    <w:p>
      <w:pPr>
        <w:spacing w:after="160" w:before="0"/>
      </w:pPr>
    </w:p>
    <w:p>
      <w:pPr>
        <w:pStyle w:val="Heading2"/>
      </w:pPr>
      <w:r>
        <w:t xml:space="preserve">Pre-mortem</w:t>
      </w:r>
    </w:p>
    <w:p>
      <w:pPr>
        <w:spacing w:after="100"/>
      </w:pPr>
      <w:r>
        <w:t xml:space="preserve">Octubre de 2027: la acción vale 280 CHF. ¿Qué pasó? La FDA pidió más datos para giredestrant en la enfermedad temprana y fenebrutinib salió con una etiqueta restringida por el hígado. A la vez, la administración de EE. UU. extendió la nación más favorecida a Medicare Parte B y bajó los precios netos un 5 %, y el franco se apreció hasta 0,75 por dólar. La guía de 2027 se quedó en un crecimiento de BPA de un dígito bajo en francos y el mercado dejó de pagar la prima frente a Novartis: el PER volvió a 13 veces, el de 2023. Los indicadores que lo habrían anticipado: una carta de respuesta completa en diciembre, precios netos de EE. UU. a la baja en el 4T26 y el dólar por debajo de 0,78 francos.</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Positivo · </w:t>
      </w:r>
      <w:r>
        <w:rPr>
          <w:b/>
          <w:bCs/>
        </w:rPr>
        <w:t xml:space="preserve">Efecto en valor (3-5 años):</w:t>
      </w:r>
      <w:r>
        <w:t xml:space="preserve"> +3 % a 3-5 años</w:t>
      </w:r>
    </w:p>
    <w:p>
      <w:pPr>
        <w:spacing w:after="100"/>
      </w:pPr>
      <w:r>
        <w:t xml:space="preserve">Roche es usuaria y beneficiaria de la IA: aplica IA al descubrimiento de fármacos y, sobre todo, a la patología digital, con algoritmos de análisis de imagen con marcado CE que dan más valor a su base instalada de Diagnóstico [13, 18]. La IA reduce costes de I+D y de ensayos (selección de pacientes) más de lo que amenaza su negocio: no sustituye a un fármaco aprobado ni a un reactivo. El riesgo es competitivo: si la IA abarata descubrir fármacos, entran más rivales en las mismas dianas y se acortan los años de ventaja. La señal a vigilar es el tiempo de la fase de descubrimiento a fase I y el coste por molécula que publica Roche en sus días de inversores.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(Dow Jones Sustainability Indices)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Incluida en el índice farmacéutico del DJSI (evaluación con información pública desde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2026-01</w:t>
            </w:r>
          </w:p>
        </w:tc>
      </w:tr>
    </w:tbl>
    <w:p>
      <w:pPr>
        <w:spacing w:after="160" w:before="0"/>
      </w:pPr>
    </w:p>
    <w:p>
      <w:pPr>
        <w:pStyle w:val="Heading2"/>
      </w:pPr>
      <w:r>
        <w:t xml:space="preserve">Asuntos materiales</w:t>
      </w:r>
    </w:p>
    <w:p>
      <w:pPr>
        <w:spacing w:after="100"/>
      </w:pPr>
      <w:r>
        <w:t xml:space="preserve">Los asuntos que más afectan a las cifras son el acceso y el precio de los medicamentos (la presión de pagadores es el primer riesgo de crecimiento), la seguridad de los pacientes y la calidad de fabricación (una retirada o un aviso de la FDA paraliza ventas) y la gobernanza por el control familiar [A]. En medio ambiente, Roche ya usa electricidad 100 % renovable en sus centros se fija objetivos de reducción de emisiones de alcance 1 y 2 hasta 2029 y pide a sus proveedores objetivos de la iniciativa SBTi; el coste del CO₂ es pequeño frente a su beneficio [13].</w:t>
      </w:r>
    </w:p>
    <w:p>
      <w:pPr>
        <w:pStyle w:val="Heading2"/>
      </w:pPr>
      <w:r>
        <w:t xml:space="preserve">Controversias</w:t>
      </w:r>
    </w:p>
    <w:p>
      <w:pPr>
        <w:spacing w:after="100"/>
      </w:pPr>
      <w:r>
        <w:t xml:space="preserve">Sin sanciones relevantes en los últimos tres años en las fuentes revisadas. Hay pleitos de patentes y de responsabilidad de producto habituales en el sector y la congelación de inversiones en Alemania (19-oct-2026) por la reforma sanitaria, que es una disputa de política, no una sanción [6].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restará la nación más favorecida y la negociación de Medicare a los precios netos de 2027-2028?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mayor riesgo para el crecimiento del 4,5 % proyectado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costes está en francos y cuánto cubre la fabricación en EE. UU. del efecto divisa?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franco resta 1-2 puntos al año a las ventas y hasta 5 al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¿Cuáles son las ventas máximas que Roche espera de giredestrant y fenebrutinib, y en qué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Sostienen el volumen de 2028-2030 frente a las patentes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espacio para recompras con la deuda neta en ≈1 vez el EBITDA, o la prioridad seguirá siendo comprar cartera?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no están en nuestro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vuelve el margen de Diagnóstico a su nivel de 2024 tras la reestructuración y China?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≈22 % de las ventas y el margen bajó en 2025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Japón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del +25 % de Japón en el 3T26 se devuelve en el 4T por el cambio de sistema de Chugai?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Afecta a la base de 2026 y al crecimiento de 2027</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(flujo de $RHHBY)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Tono algo alcista y poco volumen: los mensajes giran en torno a la decisión de la FDA sobre giredestrant (30-nov y 18-dic) y a si el ADR aguanta en 60-65 USD tras romper máximos; pocos bajistas, que hablan de precio ya exigente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(prensa financiera suiza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Artículos sobre la «doble subida» de Oddo y el récord a la vista (20-oct), la antesala del 3T (divisa, diagnóstico en China y cartera, 21-oct) y, en agosto, el aviso técnico de rebote en 375 CHF; en marzo, una rebaja a neutral por potencial limitado [34, 40,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(noticias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 de noticias favorable: compras de cartera (Rona, Hansoh), aprobaciones (Enspryng, Tecentriq) y datos de supervivencia en cáncer de pulmón de Tam-Peli (≈6 meses más, 25-oct). El 3T se tituló «supera en ingresos, farma algo por debajo» [14].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Giredestrant y la cartera de oncología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fechas de la FDA antes de fin de año (30-nov y 18-dic) [6]. Una aprobación ya está casi descontada por los analistas; el valor está en las ventas máximas (varios miles de millones), que dependen de los datos del estudio adyuvante.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Obesidad (petrelintide, CT-388, Rona)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Fase II de petrelintide (oct-2026) y compras de Carmot, Zealand (licencia) y Rona [A, D11]: Roche llega tarde frente a Lilly y Novo; el mercado le da poco valor hoy, lo que limita el riesgo.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tras el +48 % en un año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 a ≈17,8 veces el BPA core de 2027e, por encima de su mediana adelantada (≈15,6x) y de la de comparables (16,0x) [32]. La prima tiene base en el menor riesgo de genéricos, pero ya no hay descuento.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y reformas de precios (EE. UU., Alemania)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franco resta ≈5 puntos al BPA core de 2026 [6]; la nación más favorecida en EE. UU. y la reforma alemana pesan en precio. Roche ha respondido con inversión en EE. UU. y congelando inversión en Alemania [14].</w:t>
            </w:r>
          </w:p>
        </w:tc>
      </w:tr>
    </w:tbl>
    <w:p>
      <w:pPr>
        <w:spacing w:after="160" w:before="0"/>
      </w:pPr>
    </w:p>
    <w:p>
      <w:pPr>
        <w:spacing w:after="100"/>
      </w:pPr>
      <w:r>
        <w:t xml:space="preserve">El sentimiento del particular y de la prensa es positivo y mejora, en línea con el precio en máximos y las subidas de objetivo; no hay euforia visible (poco volumen en foros) pero tampoco escepticismo. El riesgo es que el optimismo ya esté en el múltiplo: con la acción a 17,8 veces el BPA de 2027e, una decepción en giredestrant o en la guía de 2027 tendría más recorrido a la baja que hace un año. El sentimiento no señala un riesgo que el análisis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45 (20 primarias); citas distintas en el texto: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21,0 % frente a 20,8 % real: genera una variación de circulante de 365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0,80 %.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 fuentes (20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37,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en CHF de 4T24-3T25 y transcripción de la conferencia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presentaciones de resultados (solo crecimiento a tipo constante por trimestre y ventas acumuladas); 2) transcripción de Seeking Alpha (bloqueada) y GuruFocus (de pago); 3) prensa (pharmaphorum, cash.ch): sin resumen de las preguntas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discurso de la dirección se toma de la presentación y del comunicado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21 del Finance Report 2025; 2) nota 11 del semestral 2026 (solo calendario); 3) cálculo con el calendario por tramos (los de 2031-2035 y 2036+ no dan año exacto)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exacto del mercado farmacéutico de 2025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IQVIA Global Use of Medicines 2026 (solo cifras de 2030 en abierto); 2) Evaluate World Preview 2024-2026 (cifras de 2030 y 2032 con su TCAC); 3) derivado: 2 billones USD en 2032 ÷ 1,07^7 ≈ 1,25 billones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con fecha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Annual Report 2025 (sostenibilidad: sin notas de agencias); 2) MSCI y Sustainalytics: páginas con JavaScript, sin cifra legible; 3) prensa: sin fecha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consejeros y directivos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SIX Management Transactions: anónimas (solo cargo e importe), sin consulta por emisor accesible; 2) Annual Report 2025: tenencias a fin de año (Schwan 265.962 acciones, de 254.090) sin fechas de operación; 3) prensa suiza: ninguna venta relevante publicada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insiders_sin_operaciones = false porque no se pudo comprobar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remuneración del CEO sobre el empleado medio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Remuneration Report 2025: no lo publica; 2) Finance Report 2025: coste de personal sin cifra limpia de plantilla media; 3) cálculo con 112.774 empleados (recuento, no media)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en contra exacto de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la junta: solo % a favor; 2) acta de la junta: no publicada en la web; 3) cálculo de la cota superior con la asistencia y el pacto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2028e (ventas, EBITDA y BPA)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(2027-2028 solo para suscriptores); 2) Stocksguide (403); 3) MarketScreener (bloqueado)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Transacciones precedentes con múltiplos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Compras recientes del sector (89bio, Carmot, Telavant, Rona): objetivos sin EBITDA ni ventas; 2) grandes fusiones farmacéuticas de 2019-2021 (BMS-Celgene, AbbVie-Allergan): fuera de plazo y con otro perfil; 3) MarketScreener y Mergermarket (bloqueado 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La SIX no publica registro oficial de cortos (lecciones de Suiza); 2) Stock Analysis no lo da para la SIX; 3) MarketBeat (solo el ADR RHHBY, poco representativo)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Causa de la subida del 14-sep-2026 (+5,0 %)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cash.ch y finanzen.ch; 2) Seeking Alpha News; 3) búsqueda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Análisis de colaboradores de Seeking Alpha y transcripción de la conferencia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RSS de Seeking Alpha (solo titulares); 2) página de análisis (protección anti-bots, no se forzó); 3) web de Roche (el 3T no tiene conferencia con transcripción pública)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foros en alemán (finanzen.net, cash.ch)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Reddit (bloqueada); 2) foro de finanzen.net (requiere JavaScript); 3) comentarios de cash.ch (sin hilo abierto en octubre)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Finance Report 2025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https://assets.roche.com/f/176343/x/fca190f63e/fb25e.pdf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Finance Report 2023 (cuentas 2023 y 2022 reexpresado; balance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https://assets.roche.com/f/176343/x/3b1fb647e2/fb23e.pdf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Report 2022 (flujos 2022-2021, arrendamientos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https://assets.roche.com/f/176343/x/537a274a55/fb22e.pdf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Report 2021 (cuentas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https://assets.roche.com/f/176343/x/0a222028d9/fb21e.pdf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https://assets.roche.com/f/176343/x/8a0b362d66/hy26e.pdf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Update: Roche continues strong momentum in the third quarter (ad hoc, ventas de enero-septiembre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https://assets.roche.com/f/176343/x/cb5207798e/221026_ir_q3.pdf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YTD September 2026 sales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https://assets.roche.com/f/176343/x/214d9ddfff/irp261022.pdf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sales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https://assets.roche.com/f/176343/x/75c58a5152/irp260423.pdf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YTD September 2025 sales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https://assets.roche.com/f/176343/x/a22e1c7d2f/irp251023.pdf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Report 2020 (BPA core 2019-2020)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https://assets.roche.com/f/176343/x/42a7f33c0c/fb20e.pdf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results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https://assets.roche.com/f/176343/x/dea78e334b/irp260129.pdf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HY 2026 results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https://assets.roche.com/f/176343/x/24b5ddb84d/irp260723.pdf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(informe de gobierno, remuneración y sostenibilidad)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https://assets.roche.com/f/176343/x/fa3c863601/ar25e.pdf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Q3 results beat on revenue, though pharma sales a slight miss (titular)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https://seekingalpha.com/symbol/RHHBY/news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Preview 2026: Big Drugs. Bigger Questions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Evaluate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https://www.evaluate.com/thought-leadership/world-preview-2026/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Global Use of Medicines: outlook through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IQVIA Institute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https://www.iqvia.com/insights/the-iqvia-institute/reports-and-publications/reports/the-global-use-of-medicines-outlook-through-2029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de 2025 de Johnson &amp; Johnson, Merck, AstraZeneca, Novartis, Sanofi y AbbVie (financials)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https://stockanalysis.com/stocks/nvs/financials/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Diagnostics Day 2026 (tamaños de mercado del diagnóstico in vitro, IQVIA y estudios internos)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https://assets.roche.com/f/176343/x/d7d2be3148/diagnositcs-day-2026.pdf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World Preview: Pharma Growth Steady Amid Turbulent Seas (más de 1,75 billones USD en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Evaluate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https://evaluate.com/thought-leadership/2025-world-preview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Evaluate Releases 2030 Forecasts for Global Pharmaceutical Market (World Preview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Evaluate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https://www.evaluate.com/press-release/evaluate-releases-2030-forecasts-for-global-pharmaceutical-market/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Annual General Meeting 2026 (resultados de las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https://www.roche.com/investors/updates/inv-update-2026-03-10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results: guidance fully achieved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https://assets.roche.com/f/176343/x/fca1d76d92/irp220203.pdf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results: guidance achieved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https://assets.roche.com/f/176343/x/07a64bfb85/irp230202.pdf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results: guidance exceeded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https://assets.roche.com/f/176343/x/1a564f0bae/irp240201.pdf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results: guidance exceeded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https://assets.roche.com/f/176343/x/63b9606d3b/irp250130.pdf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ROP.SW (ROG antes del 17-mar-2026), CSSMI.SW (SMI con dividendos) y EXV4.DE (STOXX Europe 600 Health Care), hasta el 23-oct-2026, vía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https://finance.yahoo.com/quote/ROP.SW/history/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Movimiento del precio (1-12 meses, medias de 50 y 200 sesiones, volatilidad de 60 sesiones), vía herramientas/movimiento.mjs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https://finance.yahoo.com/quote/ROP.SW/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(SWX: ROP) stock forecast: 21 analistas, consenso comprar, objetivo medio 386,36 CHF (250-440); BPA 2026e 20,55 y 2027e 22,13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https://stockanalysis.com/quote/swx/ROP/forecast/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(SWX: ROP) statistics: capitalización 317.180 M CHF, PER adelantado 18,33x, ROIC 28,1 %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https://stockanalysis.com/quote/swx/ROP/statistics/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Holding (RHHBY) price target and analyst ratings: 13 analistas, objetivo 60 USD por ADR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https://www.marketbeat.com/stocks/OTCMKTS/RHHBY/forecast/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Post HY 2026 consensus survey (31-ago-2026, 17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https://assets.roche.com/f/176343/x/385dcb4d78/roche-post-hy-2026-consensus.pdf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y forecast de NVS, AZN, MRK, SNY, GSK, JNJ, PFE, ABBV, BMY, LLY y NVO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https://stockanalysis.com/stocks/nvs/statistics/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Rumeurs de marché: nouvel élan pour Roche (Oddo BHF de «underperform» a «outperform», objetivo 440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Vermögenszentrum /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https://www.vermoegenszentrum.ch/fr/bourses-et-marches/news/rumeurs-de-marche-nouvel-elan-pour-roche-et-dksh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Titel von Roche heben nach doppelter Hochstufung ab (20-oct) y Kursteiber fragwürdig: Analyst senkt bei Roche den Daumen (17-mar)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https://www.cash.ch/news/top-news/titel-von-roche-heben-nach-doppelter-hochstufung-ab-rekordstand-im-blick-977952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Partizipationsscheine von Roche nehmen das Allzeithoch ins Visier (subidas de objetivo tras 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https://www.cash.ch/news/top-news/partzipationsscheine-von-roche-nehmen-das-allzeithoch-ins-visier-956330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(Europe), enero de 2026: Drugs (Pharmaceutical)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Termine (fecha estimada de resultados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https://www.finanzen.ch/termine/roche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Pharma Day 2026 (presentación, 28-sep-2026)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https://assets.roche.com/f/176343/x/51deda2587/20260928_final_pharma-day-2026-publish-1.pdf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mensajes sobre $RHHBY de octubre de 2026 (≈30)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https://stocktwits.com/symbol/RHHBY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Ausblick Roche: Wechselkurse, Diagnostik und Pipeline im Blick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https://www.cash.ch/news/top-news/ausblick-roche-wechselkurse-diagnostik-und-pipeline-im-blick-978423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am Mehrjahreshoch abgeprallt: geben die Aktien die Jahresgewinne wieder 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https://www.cash.ch/news/top-news/roche-am-mehrjahreshoch-abgeprallt-geben-die-aktien-die-jahresgewinne-wieder-ab-961353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Government Bond Yields: 10-Year, Switzerland (IRLTLT01CHM156N): 0,59 % en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OCDE vía FRED (Banco de la Reserva Federal de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https://fred.stlouisfed.org/series/IRLTLT01CHM156N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https://pages.stern.nyu.edu/~adamodar/New_Home_Page/datafile/implpr.html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del 23-oct-2026 (USD 1,1193; CHF 0,9227; JPY 175,51)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Chugai Pharmaceutical (4519.T): cierre de 6.795 JPY el 23-oct-2026 y 1.646 M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https://finance.yahoo.com/quote/4519.T/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86,1 %</w:t>
      </w:r>
      <w:r>
        <w:t xml:space="preserve"> · Secciones con menos del 60 % de campos cubiertos: </w:t>
      </w:r>
      <w:r>
        <w:rPr>
          <w:b/>
          <w:bCs/>
        </w:rPr>
        <w:t xml:space="preserve">transacciones, suma_partes</w:t>
      </w:r>
      <w:r>
        <w:t xml:space="preserve"> · Generado el 26 oct 2026.</w:t>
      </w:r>
    </w:p>
    <w:p>
      <w:pPr>
        <w:pStyle w:val="Nota"/>
        <w:spacing w:after="100"/>
      </w:pPr>
      <w:r>
        <w:t xml:space="preserve">Precio: cierre del viernes 23-oct-2026 (390,90 CHF); el análisis se hizo el lunes 26-oct con la sesión abierta (≈397 CHF). El 3T26 fue solo de ventas: el último balance y el último beneficio publicados son del 1S26 (30-jun). Consenso de BPA core de la encuesta de la propia Roche (31-ago) y de S&amp;P Global vía Stock Analysis (20-oct); sin consenso gratuito de 2028e. Comparables sin EV/EBITDA de los próximos 12 meses. Tasa libre: media mensual de septiembre del bono suizo a 10 años (OCDE), porque el dato diario del BNS no estaba actualizado. Sin transacciones precedentes con múltiplos publicados.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Roche Holding AG (ROP (antes ROG))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390,90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(258,20 – 395,00)</c:v>
                </c:pt>
                <c:pt idx="1">
                  <c:v>Precio objetivo de los analistas (250,00 – 440,00)</c:v>
                </c:pt>
                <c:pt idx="2">
                  <c:v>Comparables: PER NTM (224,28 – 378,93)</c:v>
                </c:pt>
                <c:pt idx="3">
                  <c:v>DCF (WACC y g ± 0,5) (302,03 – 439,66)</c:v>
                </c:pt>
                <c:pt idx="4">
                  <c:v>Escenarios (bajista – alcista) (281,75 – 401,11)</c:v>
                </c:pt>
                <c:pt idx="5">
                  <c:v>DCF con la prima implícita del mercado (4,2 %)</c:v>
                </c:pt>
                <c:pt idx="6">
                  <c:v>Precio actual (390,90)</c:v>
                </c:pt>
              </c:strCache>
            </c:strRef>
          </c:cat>
          <c:val>
            <c:numRef>
              <c:f>Hoja1!$B$2:$B$8</c:f>
              <c:numCache>
                <c:formatCode>#,##0</c:formatCode>
                <c:ptCount val="7"/>
                <c:pt idx="0">
                  <c:v>258.2</c:v>
                </c:pt>
                <c:pt idx="1">
                  <c:v>250</c:v>
                </c:pt>
                <c:pt idx="2">
                  <c:v>224.28</c:v>
                </c:pt>
                <c:pt idx="3">
                  <c:v>302.03</c:v>
                </c:pt>
                <c:pt idx="4">
                  <c:v>281.75</c:v>
                </c:pt>
                <c:pt idx="5">
                  <c:v>429.47</c:v>
                </c:pt>
                <c:pt idx="6">
                  <c:v>388.95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(258,20 – 395,00)</c:v>
                </c:pt>
                <c:pt idx="1">
                  <c:v>Precio objetivo de los analistas (250,00 – 440,00)</c:v>
                </c:pt>
                <c:pt idx="2">
                  <c:v>Comparables: PER NTM (224,28 – 378,93)</c:v>
                </c:pt>
                <c:pt idx="3">
                  <c:v>DCF (WACC y g ± 0,5) (302,03 – 439,66)</c:v>
                </c:pt>
                <c:pt idx="4">
                  <c:v>Escenarios (bajista – alcista) (281,75 – 401,11)</c:v>
                </c:pt>
                <c:pt idx="5">
                  <c:v>DCF con la prima implícita del mercado (4,2 %)</c:v>
                </c:pt>
                <c:pt idx="6">
                  <c:v>Precio actual (390,90)</c:v>
                </c:pt>
              </c:strCache>
            </c:strRef>
          </c:cat>
          <c:val>
            <c:numRef>
              <c:f>Hoja1!$C$2:$C$8</c:f>
              <c:numCache>
                <c:formatCode>#,##0</c:formatCode>
                <c:ptCount val="7"/>
                <c:pt idx="0">
                  <c:v>136.8</c:v>
                </c:pt>
                <c:pt idx="1">
                  <c:v>190</c:v>
                </c:pt>
                <c:pt idx="2">
                  <c:v>154.65</c:v>
                </c:pt>
                <c:pt idx="3">
                  <c:v>137.63000000000005</c:v>
                </c:pt>
                <c:pt idx="4">
                  <c:v>119.36000000000001</c:v>
                </c:pt>
                <c:pt idx="5">
                  <c:v>140.18999999999994</c:v>
                </c:pt>
                <c:pt idx="6">
                  <c:v>3.900000000000034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Farma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48010</c:v>
                </c:pt>
                <c:pt idx="1">
                  <c:v>48016</c:v>
                </c:pt>
                <c:pt idx="2">
                  <c:v>46279</c:v>
                </c:pt>
                <c:pt idx="3">
                  <c:v>48042</c:v>
                </c:pt>
                <c:pt idx="4">
                  <c:v>49451</c:v>
                </c:pt>
              </c:numCache>
            </c:numRef>
          </c:val>
        </c:ser>
        <c:ser>
          <c:idx val="1"/>
          <c:order val="1"/>
          <c:tx>
            <c:strRef>
              <c:f>Hoja1!$C$1</c:f>
              <c:strCache>
                <c:ptCount val="1"/>
                <c:pt idx="0">
                  <c:v>Diagnóstico</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17840</c:v>
                </c:pt>
                <c:pt idx="1">
                  <c:v>17798</c:v>
                </c:pt>
                <c:pt idx="2">
                  <c:v>14162</c:v>
                </c:pt>
                <c:pt idx="3">
                  <c:v>14353</c:v>
                </c:pt>
                <c:pt idx="4">
                  <c:v>13905</c:v>
                </c:pt>
              </c:numCache>
            </c:numRef>
          </c:val>
        </c:ser>
        <c:ser>
          <c:idx val="2"/>
          <c:order val="2"/>
          <c:tx>
            <c:strRef>
              <c:f>Hoja1!$D$1</c:f>
              <c:strCache>
                <c:ptCount val="1"/>
                <c:pt idx="0">
                  <c:v>Corporativo</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Farma</c:v>
                </c:pt>
                <c:pt idx="1">
                  <c:v>Diagnóstico</c:v>
                </c:pt>
                <c:pt idx="2">
                  <c:v>Corporativo</c:v>
                </c:pt>
              </c:strCache>
            </c:strRef>
          </c:cat>
          <c:val>
            <c:numRef>
              <c:f>Hoja1!$B$2:$B$4</c:f>
              <c:numCache>
                <c:formatCode>General</c:formatCode>
                <c:ptCount val="3"/>
                <c:pt idx="0">
                  <c:v>78.1</c:v>
                </c:pt>
                <c:pt idx="1">
                  <c:v>21.9</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EE. UU.</c:v>
                </c:pt>
                <c:pt idx="1">
                  <c:v>Europa</c:v>
                </c:pt>
                <c:pt idx="2">
                  <c:v>China</c:v>
                </c:pt>
                <c:pt idx="3">
                  <c:v>Resto de Asia</c:v>
                </c:pt>
                <c:pt idx="4">
                  <c:v>Latinoamérica</c:v>
                </c:pt>
                <c:pt idx="5">
                  <c:v>Japón</c:v>
                </c:pt>
                <c:pt idx="6">
                  <c:v>Otros (resto de Norteamérica, África y Oceanía)</c:v>
                </c:pt>
              </c:strCache>
            </c:strRef>
          </c:cat>
          <c:val>
            <c:numRef>
              <c:f>Hoja1!$B$2:$B$8</c:f>
              <c:numCache>
                <c:formatCode>0"%"</c:formatCode>
                <c:ptCount val="7"/>
                <c:pt idx="0">
                  <c:v>48</c:v>
                </c:pt>
                <c:pt idx="1">
                  <c:v>24.1</c:v>
                </c:pt>
                <c:pt idx="2">
                  <c:v>7.8</c:v>
                </c:pt>
                <c:pt idx="3">
                  <c:v>6.2</c:v>
                </c:pt>
                <c:pt idx="4">
                  <c:v>5.3</c:v>
                </c:pt>
                <c:pt idx="5">
                  <c:v>4.9</c:v>
                </c:pt>
                <c:pt idx="6">
                  <c:v>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(ventas mundiales con receta; Evaluate y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2023</c:v>
                </c:pt>
                <c:pt idx="1">
                  <c:v>2025</c:v>
                </c:pt>
                <c:pt idx="2">
                  <c:v>2030e</c:v>
                </c:pt>
                <c:pt idx="3">
                  <c:v>2032e</c:v>
                </c:pt>
              </c:strCache>
            </c:strRef>
          </c:cat>
          <c:val>
            <c:numRef>
              <c:f>Hoja1!$B$2:$B$5</c:f>
              <c:numCache>
                <c:formatCode>#,##0</c:formatCode>
                <c:ptCount val="4"/>
                <c:pt idx="0">
                  <c:v>1060</c:v>
                </c:pt>
                <c:pt idx="1">
                  <c:v>1250</c:v>
                </c:pt>
                <c:pt idx="2">
                  <c:v>1750</c:v>
                </c:pt>
                <c:pt idx="3">
                  <c:v>2000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Roche</c:v>
                </c:pt>
                <c:pt idx="1">
                  <c:v>Johnson &amp; Johnson</c:v>
                </c:pt>
                <c:pt idx="2">
                  <c:v>Merck &amp; Co</c:v>
                </c:pt>
                <c:pt idx="3">
                  <c:v>AstraZeneca</c:v>
                </c:pt>
                <c:pt idx="4">
                  <c:v>Novartis</c:v>
                </c:pt>
                <c:pt idx="5">
                  <c:v>Sanofi</c:v>
                </c:pt>
                <c:pt idx="6">
                  <c:v>AbbVie</c:v>
                </c:pt>
              </c:strCache>
            </c:strRef>
          </c:cat>
          <c:val>
            <c:numRef>
              <c:f>Hoja1!$B$2:$B$8</c:f>
              <c:numCache>
                <c:formatCode>0.0"%"</c:formatCode>
                <c:ptCount val="7"/>
                <c:pt idx="0">
                  <c:v>30.3</c:v>
                </c:pt>
                <c:pt idx="1">
                  <c:v>28</c:v>
                </c:pt>
                <c:pt idx="2">
                  <c:v>37.6</c:v>
                </c:pt>
                <c:pt idx="3">
                  <c:v>24.3</c:v>
                </c:pt>
                <c:pt idx="4">
                  <c:v>33.5</c:v>
                </c:pt>
                <c:pt idx="5">
                  <c:v>20.7</c:v>
                </c:pt>
                <c:pt idx="6">
                  <c:v>34.5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65850</c:v>
                </c:pt>
                <c:pt idx="1">
                  <c:v>65814</c:v>
                </c:pt>
                <c:pt idx="2">
                  <c:v>60441</c:v>
                </c:pt>
                <c:pt idx="3">
                  <c:v>62395</c:v>
                </c:pt>
                <c:pt idx="4">
                  <c:v>63356</c:v>
                </c:pt>
                <c:pt idx="5">
                  <c:v>64623</c:v>
                </c:pt>
                <c:pt idx="6">
                  <c:v>67531</c:v>
                </c:pt>
                <c:pt idx="7">
                  <c:v>70570</c:v>
                </c:pt>
                <c:pt idx="8">
                  <c:v>73040</c:v>
                </c:pt>
                <c:pt idx="9">
                  <c:v>75231</c:v>
                </c:pt>
                <c:pt idx="10">
                  <c:v>77112</c:v>
                </c:pt>
                <c:pt idx="11">
                  <c:v>78654</c:v>
                </c:pt>
                <c:pt idx="12">
                  <c:v>79834</c:v>
                </c:pt>
                <c:pt idx="13">
                  <c:v>80632</c:v>
                </c:pt>
                <c:pt idx="14">
                  <c:v>81439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23251</c:v>
                </c:pt>
                <c:pt idx="1">
                  <c:v>24285</c:v>
                </c:pt>
                <c:pt idx="2">
                  <c:v>20727</c:v>
                </c:pt>
                <c:pt idx="3">
                  <c:v>22257</c:v>
                </c:pt>
                <c:pt idx="4">
                  <c:v>22577</c:v>
                </c:pt>
                <c:pt idx="5">
                  <c:v>23587</c:v>
                </c:pt>
                <c:pt idx="6">
                  <c:v>24987</c:v>
                </c:pt>
                <c:pt idx="7">
                  <c:v>26464</c:v>
                </c:pt>
                <c:pt idx="8">
                  <c:v>27390</c:v>
                </c:pt>
                <c:pt idx="9">
                  <c:v>28212</c:v>
                </c:pt>
                <c:pt idx="10">
                  <c:v>28917</c:v>
                </c:pt>
                <c:pt idx="11">
                  <c:v>29102</c:v>
                </c:pt>
                <c:pt idx="12">
                  <c:v>29539</c:v>
                </c:pt>
                <c:pt idx="13">
                  <c:v>29834</c:v>
                </c:pt>
                <c:pt idx="14">
                  <c:v>30132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70.2</c:v>
                </c:pt>
                <c:pt idx="1">
                  <c:v>70</c:v>
                </c:pt>
                <c:pt idx="2">
                  <c:v>72.9</c:v>
                </c:pt>
                <c:pt idx="3">
                  <c:v>73.9</c:v>
                </c:pt>
                <c:pt idx="4">
                  <c:v>73.7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35.3</c:v>
                </c:pt>
                <c:pt idx="1">
                  <c:v>36.9</c:v>
                </c:pt>
                <c:pt idx="2">
                  <c:v>34.3</c:v>
                </c:pt>
                <c:pt idx="3">
                  <c:v>35.7</c:v>
                </c:pt>
                <c:pt idx="4">
                  <c:v>35.6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28.6</c:v>
                </c:pt>
                <c:pt idx="1">
                  <c:v>31.1</c:v>
                </c:pt>
                <c:pt idx="2">
                  <c:v>28.6</c:v>
                </c:pt>
                <c:pt idx="3">
                  <c:v>30.2</c:v>
                </c:pt>
                <c:pt idx="4">
                  <c:v>30.3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21.2</c:v>
                </c:pt>
                <c:pt idx="1">
                  <c:v>18.9</c:v>
                </c:pt>
                <c:pt idx="2">
                  <c:v>19</c:v>
                </c:pt>
                <c:pt idx="3">
                  <c:v>13.3</c:v>
                </c:pt>
                <c:pt idx="4">
                  <c:v>20.3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4">
                  <c:v>0.9</c:v>
                </c:pt>
                <c:pt idx="5">
                  <c:v>-4.7</c:v>
                </c:pt>
                <c:pt idx="6">
                  <c:v>0.9</c:v>
                </c:pt>
                <c:pt idx="7">
                  <c:v>8.1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9</c:v>
                </c:pt>
                <c:pt idx="1">
                  <c:v>6</c:v>
                </c:pt>
                <c:pt idx="2">
                  <c:v>8</c:v>
                </c:pt>
                <c:pt idx="3">
                  <c:v>6</c:v>
                </c:pt>
                <c:pt idx="4">
                  <c:v>8</c:v>
                </c:pt>
                <c:pt idx="5">
                  <c:v>6</c:v>
                </c:pt>
                <c:pt idx="6">
                  <c:v>5</c:v>
                </c:pt>
                <c:pt idx="7">
                  <c:v>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60</c:v>
                </c:pt>
                <c:pt idx="1">
                  <c:v>64</c:v>
                </c:pt>
                <c:pt idx="2">
                  <c:v>67</c:v>
                </c:pt>
                <c:pt idx="3">
                  <c:v>66</c:v>
                </c:pt>
                <c:pt idx="4">
                  <c:v>66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143</c:v>
                </c:pt>
                <c:pt idx="1">
                  <c:v>159</c:v>
                </c:pt>
                <c:pt idx="2">
                  <c:v>173</c:v>
                </c:pt>
                <c:pt idx="3">
                  <c:v>170</c:v>
                </c:pt>
                <c:pt idx="4">
                  <c:v>164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86</c:v>
                </c:pt>
                <c:pt idx="1">
                  <c:v>84</c:v>
                </c:pt>
                <c:pt idx="2">
                  <c:v>97</c:v>
                </c:pt>
                <c:pt idx="3">
                  <c:v>110</c:v>
                </c:pt>
                <c:pt idx="4">
                  <c:v>127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15144</c:v>
                </c:pt>
                <c:pt idx="1">
                  <c:v>12289</c:v>
                </c:pt>
                <c:pt idx="2">
                  <c:v>10337</c:v>
                </c:pt>
                <c:pt idx="3">
                  <c:v>13590</c:v>
                </c:pt>
                <c:pt idx="4">
                  <c:v>11520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13930</c:v>
                </c:pt>
                <c:pt idx="1">
                  <c:v>12421</c:v>
                </c:pt>
                <c:pt idx="2">
                  <c:v>11498</c:v>
                </c:pt>
                <c:pt idx="3">
                  <c:v>8277</c:v>
                </c:pt>
                <c:pt idx="4">
                  <c:v>12880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33.7</c:v>
                </c:pt>
                <c:pt idx="1">
                  <c:v>35.1</c:v>
                </c:pt>
                <c:pt idx="2">
                  <c:v>29.6</c:v>
                </c:pt>
                <c:pt idx="3">
                  <c:v>27</c:v>
                </c:pt>
                <c:pt idx="4">
                  <c:v>28.2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6.1</c:v>
                </c:pt>
                <c:pt idx="1">
                  <c:v>6.1</c:v>
                </c:pt>
                <c:pt idx="2">
                  <c:v>6.1</c:v>
                </c:pt>
                <c:pt idx="3">
                  <c:v>6.1</c:v>
                </c:pt>
                <c:pt idx="4">
                  <c:v>6.1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56.9</c:v>
                </c:pt>
                <c:pt idx="1">
                  <c:v>47.3</c:v>
                </c:pt>
                <c:pt idx="2">
                  <c:v>40.1</c:v>
                </c:pt>
                <c:pt idx="3">
                  <c:v>27.1</c:v>
                </c:pt>
                <c:pt idx="4">
                  <c:v>39.3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0.84</c:v>
                </c:pt>
                <c:pt idx="1">
                  <c:v>0.69</c:v>
                </c:pt>
                <c:pt idx="2">
                  <c:v>0.98</c:v>
                </c:pt>
                <c:pt idx="3">
                  <c:v>0.86</c:v>
                </c:pt>
                <c:pt idx="4">
                  <c:v>0.78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(CHF,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2031-2035</c:v>
                </c:pt>
                <c:pt idx="6">
                  <c:v>2036+</c:v>
                </c:pt>
              </c:strCache>
            </c:strRef>
          </c:cat>
          <c:val>
            <c:numRef>
              <c:f>Hoja1!$B$2:$B$8</c:f>
              <c:numCache>
                <c:formatCode>#,##0</c:formatCode>
                <c:ptCount val="7"/>
                <c:pt idx="0">
                  <c:v>1130</c:v>
                </c:pt>
                <c:pt idx="1">
                  <c:v>3074</c:v>
                </c:pt>
                <c:pt idx="2">
                  <c:v>3289</c:v>
                </c:pt>
                <c:pt idx="3">
                  <c:v>2725</c:v>
                </c:pt>
                <c:pt idx="4">
                  <c:v>2747</c:v>
                </c:pt>
                <c:pt idx="5">
                  <c:v>9018</c:v>
                </c:pt>
                <c:pt idx="6">
                  <c:v>6937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2361</c:v>
                </c:pt>
                <c:pt idx="1">
                  <c:v>245</c:v>
                </c:pt>
                <c:pt idx="2">
                  <c:v>6220</c:v>
                </c:pt>
                <c:pt idx="3">
                  <c:v>3119</c:v>
                </c:pt>
                <c:pt idx="4">
                  <c:v>3078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8132</c:v>
                </c:pt>
                <c:pt idx="1">
                  <c:v>7832</c:v>
                </c:pt>
                <c:pt idx="2">
                  <c:v>7926</c:v>
                </c:pt>
                <c:pt idx="3">
                  <c:v>8043</c:v>
                </c:pt>
                <c:pt idx="4">
                  <c:v>8385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20397</c:v>
                </c:pt>
                <c:pt idx="1">
                  <c:v>1257</c:v>
                </c:pt>
                <c:pt idx="2">
                  <c:v>1144</c:v>
                </c:pt>
                <c:pt idx="3">
                  <c:v>1130</c:v>
                </c:pt>
                <c:pt idx="4">
                  <c:v>987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Dominical</c:v>
                </c:pt>
                <c:pt idx="2">
                  <c:v>Independiente</c:v>
                </c:pt>
              </c:strCache>
            </c:strRef>
          </c:cat>
          <c:val>
            <c:numRef>
              <c:f>Hoja1!$B$2:$B$4</c:f>
              <c:numCache>
                <c:formatCode>0</c:formatCode>
                <c:ptCount val="3"/>
                <c:pt idx="0">
                  <c:v>1</c:v>
                </c:pt>
                <c:pt idx="1">
                  <c:v>2</c:v>
                </c:pt>
                <c:pt idx="2">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Pacto de voto de las familias Hoffmann y Oeri (desde 1948)</c:v>
                </c:pt>
                <c:pt idx="1">
                  <c:v>Maja Oeri (fuera del pacto)</c:v>
                </c:pt>
                <c:pt idx="2">
                  <c:v>Melchior Oeri (fuera del pacto)</c:v>
                </c:pt>
                <c:pt idx="3">
                  <c:v>Autocartera</c:v>
                </c:pt>
              </c:strCache>
            </c:strRef>
          </c:cat>
          <c:val>
            <c:numRef>
              <c:f>Hoja1!$B$2:$B$5</c:f>
              <c:numCache>
                <c:formatCode>0.0"%"</c:formatCode>
                <c:ptCount val="4"/>
                <c:pt idx="0">
                  <c:v>8.6</c:v>
                </c:pt>
                <c:pt idx="1">
                  <c:v>0.5</c:v>
                </c:pt>
                <c:pt idx="2">
                  <c:v>0.5</c:v>
                </c:pt>
                <c:pt idx="3">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-13.2</c:v>
                </c:pt>
                <c:pt idx="1">
                  <c:v>9.5</c:v>
                </c:pt>
                <c:pt idx="2">
                  <c:v>2.5</c:v>
                </c:pt>
                <c:pt idx="3">
                  <c:v>33.1</c:v>
                </c:pt>
                <c:pt idx="4">
                  <c:v>1.6</c:v>
                </c:pt>
                <c:pt idx="5">
                  <c:v>26.4</c:v>
                </c:pt>
                <c:pt idx="6">
                  <c:v>-21.3</c:v>
                </c:pt>
                <c:pt idx="7">
                  <c:v>-12.7</c:v>
                </c:pt>
                <c:pt idx="8">
                  <c:v>8.8</c:v>
                </c:pt>
                <c:pt idx="9">
                  <c:v>32.7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-3.9</c:v>
                </c:pt>
                <c:pt idx="1">
                  <c:v>17.3</c:v>
                </c:pt>
                <c:pt idx="2">
                  <c:v>-6.9</c:v>
                </c:pt>
                <c:pt idx="3">
                  <c:v>29.6</c:v>
                </c:pt>
                <c:pt idx="4">
                  <c:v>4.7</c:v>
                </c:pt>
                <c:pt idx="5">
                  <c:v>26</c:v>
                </c:pt>
                <c:pt idx="6">
                  <c:v>-13.6</c:v>
                </c:pt>
                <c:pt idx="7">
                  <c:v>7.2</c:v>
                </c:pt>
                <c:pt idx="8">
                  <c:v>9</c:v>
                </c:pt>
                <c:pt idx="9">
                  <c:v>19.9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15</c:v>
                </c:pt>
                <c:pt idx="1">
                  <c:v>10.5</c:v>
                </c:pt>
                <c:pt idx="2">
                  <c:v>10.7</c:v>
                </c:pt>
                <c:pt idx="3">
                  <c:v>10.3</c:v>
                </c:pt>
                <c:pt idx="4">
                  <c:v>12.6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10.7</c:v>
                </c:pt>
                <c:pt idx="1">
                  <c:v>10.7</c:v>
                </c:pt>
                <c:pt idx="2">
                  <c:v>10.7</c:v>
                </c:pt>
                <c:pt idx="3">
                  <c:v>10.7</c:v>
                </c:pt>
                <c:pt idx="4">
                  <c:v>10.7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Roche</c:v>
                </c:pt>
                <c:pt idx="1">
                  <c:v>Novartis</c:v>
                </c:pt>
                <c:pt idx="2">
                  <c:v>AstraZeneca</c:v>
                </c:pt>
                <c:pt idx="3">
                  <c:v>Merck &amp; Co.</c:v>
                </c:pt>
                <c:pt idx="4">
                  <c:v>Sanofi</c:v>
                </c:pt>
                <c:pt idx="5">
                  <c:v>GSK</c:v>
                </c:pt>
                <c:pt idx="6">
                  <c:v>Johnson &amp; Johnson</c:v>
                </c:pt>
                <c:pt idx="7">
                  <c:v>Pfizer</c:v>
                </c:pt>
                <c:pt idx="8">
                  <c:v>AbbVie</c:v>
                </c:pt>
                <c:pt idx="9">
                  <c:v>Bristol-Myers Squibb</c:v>
                </c:pt>
              </c:strCache>
            </c:strRef>
          </c:cat>
          <c:val>
            <c:numRef>
              <c:f>Hoja1!$B$2:$B$11</c:f>
              <c:numCache>
                <c:formatCode>0.0"x"</c:formatCode>
                <c:ptCount val="10"/>
                <c:pt idx="0">
                  <c:v>14.6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13588</c:v>
                </c:pt>
                <c:pt idx="1">
                  <c:v>14269</c:v>
                </c:pt>
                <c:pt idx="2">
                  <c:v>15365</c:v>
                </c:pt>
                <c:pt idx="3">
                  <c:v>16291</c:v>
                </c:pt>
                <c:pt idx="4">
                  <c:v>17259</c:v>
                </c:pt>
                <c:pt idx="5">
                  <c:v>18182</c:v>
                </c:pt>
                <c:pt idx="6">
                  <c:v>18557</c:v>
                </c:pt>
                <c:pt idx="7">
                  <c:v>19091</c:v>
                </c:pt>
                <c:pt idx="8">
                  <c:v>19380</c:v>
                </c:pt>
                <c:pt idx="9">
                  <c:v>19589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121627</c:v>
                </c:pt>
                <c:pt idx="1">
                  <c:v>215767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390,90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281.75</c:v>
                </c:pt>
                <c:pt idx="1">
                  <c:v>358.1</c:v>
                </c:pt>
                <c:pt idx="2">
                  <c:v>401.11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390,90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(258,20 – 395,00)</c:v>
                </c:pt>
                <c:pt idx="1">
                  <c:v>Precio objetivo de los analistas (250,00 – 440,00)</c:v>
                </c:pt>
                <c:pt idx="2">
                  <c:v>Comparables: PER NTM (224,28 – 378,93)</c:v>
                </c:pt>
                <c:pt idx="3">
                  <c:v>DCF (WACC y g ± 0,5) (302,03 – 439,66)</c:v>
                </c:pt>
                <c:pt idx="4">
                  <c:v>Escenarios (bajista – alcista) (281,75 – 401,11)</c:v>
                </c:pt>
                <c:pt idx="5">
                  <c:v>DCF con la prima implícita del mercado (4,2 %)</c:v>
                </c:pt>
                <c:pt idx="6">
                  <c:v>Precio actual (390,90)</c:v>
                </c:pt>
              </c:strCache>
            </c:strRef>
          </c:cat>
          <c:val>
            <c:numRef>
              <c:f>Hoja1!$B$2:$B$8</c:f>
              <c:numCache>
                <c:formatCode>#,##0</c:formatCode>
                <c:ptCount val="7"/>
                <c:pt idx="0">
                  <c:v>258.2</c:v>
                </c:pt>
                <c:pt idx="1">
                  <c:v>250</c:v>
                </c:pt>
                <c:pt idx="2">
                  <c:v>224.28</c:v>
                </c:pt>
                <c:pt idx="3">
                  <c:v>302.03</c:v>
                </c:pt>
                <c:pt idx="4">
                  <c:v>281.75</c:v>
                </c:pt>
                <c:pt idx="5">
                  <c:v>429.47</c:v>
                </c:pt>
                <c:pt idx="6">
                  <c:v>388.95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(258,20 – 395,00)</c:v>
                </c:pt>
                <c:pt idx="1">
                  <c:v>Precio objetivo de los analistas (250,00 – 440,00)</c:v>
                </c:pt>
                <c:pt idx="2">
                  <c:v>Comparables: PER NTM (224,28 – 378,93)</c:v>
                </c:pt>
                <c:pt idx="3">
                  <c:v>DCF (WACC y g ± 0,5) (302,03 – 439,66)</c:v>
                </c:pt>
                <c:pt idx="4">
                  <c:v>Escenarios (bajista – alcista) (281,75 – 401,11)</c:v>
                </c:pt>
                <c:pt idx="5">
                  <c:v>DCF con la prima implícita del mercado (4,2 %)</c:v>
                </c:pt>
                <c:pt idx="6">
                  <c:v>Precio actual (390,90)</c:v>
                </c:pt>
              </c:strCache>
            </c:strRef>
          </c:cat>
          <c:val>
            <c:numRef>
              <c:f>Hoja1!$C$2:$C$8</c:f>
              <c:numCache>
                <c:formatCode>#,##0</c:formatCode>
                <c:ptCount val="7"/>
                <c:pt idx="0">
                  <c:v>136.8</c:v>
                </c:pt>
                <c:pt idx="1">
                  <c:v>190</c:v>
                </c:pt>
                <c:pt idx="2">
                  <c:v>154.65</c:v>
                </c:pt>
                <c:pt idx="3">
                  <c:v>137.63000000000005</c:v>
                </c:pt>
                <c:pt idx="4">
                  <c:v>119.36000000000001</c:v>
                </c:pt>
                <c:pt idx="5">
                  <c:v>140.18999999999994</c:v>
                </c:pt>
                <c:pt idx="6">
                  <c:v>3.900000000000034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